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3155" w14:textId="77777777" w:rsidR="00BE5C1F" w:rsidRDefault="00000000">
      <w:pPr>
        <w:spacing w:before="400" w:after="160"/>
      </w:pPr>
      <w:r>
        <w:rPr>
          <w:b/>
          <w:bCs/>
          <w:color w:val="1F3864"/>
          <w:sz w:val="56"/>
          <w:szCs w:val="56"/>
        </w:rPr>
        <w:t>Frontier AI Governance Framework</w:t>
      </w:r>
    </w:p>
    <w:p w14:paraId="2AE788BC" w14:textId="77777777" w:rsidR="00BE5C1F" w:rsidRDefault="00000000">
      <w:pPr>
        <w:spacing w:after="120"/>
      </w:pPr>
      <w:r>
        <w:rPr>
          <w:i/>
          <w:iCs/>
          <w:color w:val="2E75B6"/>
          <w:sz w:val="28"/>
          <w:szCs w:val="28"/>
        </w:rPr>
        <w:t>A Skeleton Policy Architecture for International Adoption</w:t>
      </w:r>
    </w:p>
    <w:p w14:paraId="63799F1B" w14:textId="1A4CDDD5" w:rsidR="00B36D50" w:rsidRPr="00B36D50" w:rsidRDefault="00000000">
      <w:pPr>
        <w:spacing w:after="600"/>
        <w:rPr>
          <w:color w:val="888888"/>
          <w:sz w:val="20"/>
          <w:szCs w:val="20"/>
        </w:rPr>
      </w:pPr>
      <w:r>
        <w:rPr>
          <w:color w:val="888888"/>
          <w:sz w:val="20"/>
          <w:szCs w:val="20"/>
        </w:rPr>
        <w:t xml:space="preserve">March </w:t>
      </w:r>
      <w:proofErr w:type="gramStart"/>
      <w:r>
        <w:rPr>
          <w:color w:val="888888"/>
          <w:sz w:val="20"/>
          <w:szCs w:val="20"/>
        </w:rPr>
        <w:t>2026  |</w:t>
      </w:r>
      <w:proofErr w:type="gramEnd"/>
      <w:r>
        <w:rPr>
          <w:color w:val="888888"/>
          <w:sz w:val="20"/>
          <w:szCs w:val="20"/>
        </w:rPr>
        <w:t xml:space="preserve">  Discussion </w:t>
      </w:r>
      <w:proofErr w:type="gramStart"/>
      <w:r>
        <w:rPr>
          <w:color w:val="888888"/>
          <w:sz w:val="20"/>
          <w:szCs w:val="20"/>
        </w:rPr>
        <w:t>Draft  |</w:t>
      </w:r>
      <w:proofErr w:type="gramEnd"/>
      <w:r>
        <w:rPr>
          <w:color w:val="888888"/>
          <w:sz w:val="20"/>
          <w:szCs w:val="20"/>
        </w:rPr>
        <w:t xml:space="preserve">  Not for distribution</w:t>
      </w:r>
      <w:r w:rsidR="00B36D50">
        <w:rPr>
          <w:color w:val="888888"/>
          <w:sz w:val="20"/>
          <w:szCs w:val="20"/>
        </w:rPr>
        <w:br/>
      </w:r>
      <w:r w:rsidR="00B36D50">
        <w:rPr>
          <w:color w:val="888888"/>
          <w:sz w:val="20"/>
          <w:szCs w:val="20"/>
        </w:rPr>
        <w:br/>
      </w:r>
      <w:r w:rsidR="00910B80" w:rsidRPr="00180B0D">
        <w:rPr>
          <w:i/>
          <w:iCs/>
          <w:color w:val="888888"/>
          <w:sz w:val="20"/>
          <w:szCs w:val="20"/>
        </w:rPr>
        <w:t>Drafted b</w:t>
      </w:r>
      <w:r w:rsidR="00B36D50" w:rsidRPr="00180B0D">
        <w:rPr>
          <w:i/>
          <w:iCs/>
          <w:color w:val="888888"/>
          <w:sz w:val="20"/>
          <w:szCs w:val="20"/>
        </w:rPr>
        <w:t xml:space="preserve">y </w:t>
      </w:r>
      <w:r w:rsidR="00910B80" w:rsidRPr="00180B0D">
        <w:rPr>
          <w:i/>
          <w:iCs/>
          <w:color w:val="888888"/>
          <w:sz w:val="20"/>
          <w:szCs w:val="20"/>
        </w:rPr>
        <w:t xml:space="preserve">independent AI safety activist </w:t>
      </w:r>
      <w:r w:rsidR="00B36D50" w:rsidRPr="00180B0D">
        <w:rPr>
          <w:i/>
          <w:iCs/>
          <w:color w:val="888888"/>
          <w:sz w:val="20"/>
          <w:szCs w:val="20"/>
        </w:rPr>
        <w:t>Jesper Linholm, Prague</w:t>
      </w:r>
    </w:p>
    <w:p w14:paraId="244BE634" w14:textId="77777777" w:rsidR="00BE5C1F" w:rsidRDefault="00BE5C1F">
      <w:pPr>
        <w:pBdr>
          <w:bottom w:val="single" w:sz="6" w:space="1" w:color="2E75B6"/>
        </w:pBdr>
        <w:spacing w:before="200" w:after="200"/>
      </w:pPr>
    </w:p>
    <w:p w14:paraId="0ECB1C41" w14:textId="77777777" w:rsidR="00BE5C1F" w:rsidRDefault="00000000">
      <w:pPr>
        <w:pStyle w:val="Heading1"/>
      </w:pPr>
      <w:r>
        <w:t>Preamble</w:t>
      </w:r>
    </w:p>
    <w:p w14:paraId="2107A868" w14:textId="77777777" w:rsidR="00BE5C1F" w:rsidRDefault="00000000">
      <w:pPr>
        <w:spacing w:before="100" w:after="100"/>
        <w:jc w:val="both"/>
      </w:pPr>
      <w:r>
        <w:t>This document proposes a skeleton governance architecture for frontier AI model development and deployment. It is designed to be adopted incrementally — establishing the foundational legal and institutional structures first, and sharpening requirements over time as the regulated ecosystem matures and an empirical evidence base develops.</w:t>
      </w:r>
    </w:p>
    <w:p w14:paraId="3DD45980" w14:textId="77777777" w:rsidR="00BE5C1F" w:rsidRDefault="00000000">
      <w:pPr>
        <w:spacing w:before="100" w:after="100"/>
        <w:jc w:val="both"/>
      </w:pPr>
      <w:r>
        <w:t>The framework is grounded in three observations derived from recent safety incidents and organizational analysis:</w:t>
      </w:r>
    </w:p>
    <w:p w14:paraId="167A546D" w14:textId="5C118B0B" w:rsidR="00BE5C1F" w:rsidRDefault="00000000">
      <w:pPr>
        <w:pStyle w:val="ListParagraph"/>
        <w:numPr>
          <w:ilvl w:val="0"/>
          <w:numId w:val="2"/>
        </w:numPr>
        <w:spacing w:before="60" w:after="60"/>
      </w:pPr>
      <w:r>
        <w:t xml:space="preserve">Emergent unsafe </w:t>
      </w:r>
      <w:r w:rsidR="00F17D5C">
        <w:t>behaviour</w:t>
      </w:r>
      <w:r>
        <w:t xml:space="preserve">s in AI systems arise not from deliberate design but from the interaction of optimization pressure, capability, and environment. These </w:t>
      </w:r>
      <w:r w:rsidR="00F17D5C">
        <w:t>behaviour</w:t>
      </w:r>
      <w:r>
        <w:t>s are not predictable from individual system components and cannot be governed by instruments designed for legible, attributable harms.</w:t>
      </w:r>
    </w:p>
    <w:p w14:paraId="6E0593AA" w14:textId="1608E368" w:rsidR="00BE5C1F" w:rsidRDefault="00000000">
      <w:pPr>
        <w:pStyle w:val="ListParagraph"/>
        <w:numPr>
          <w:ilvl w:val="0"/>
          <w:numId w:val="2"/>
        </w:numPr>
        <w:spacing w:before="60" w:after="60"/>
      </w:pPr>
      <w:r>
        <w:t xml:space="preserve">Organizational structure is a safety-relevant variable that current governance frameworks are entirely blind to. The conditions under which dangerous </w:t>
      </w:r>
      <w:r w:rsidR="00F17D5C">
        <w:t>behaviour</w:t>
      </w:r>
      <w:r>
        <w:t xml:space="preserve">s get noticed and disclosed are as important as the </w:t>
      </w:r>
      <w:r w:rsidR="00F17D5C">
        <w:t>behaviour</w:t>
      </w:r>
      <w:r>
        <w:t>s themselves.</w:t>
      </w:r>
    </w:p>
    <w:p w14:paraId="66FED831" w14:textId="77777777" w:rsidR="00BE5C1F" w:rsidRDefault="00000000">
      <w:pPr>
        <w:pStyle w:val="ListParagraph"/>
        <w:numPr>
          <w:ilvl w:val="0"/>
          <w:numId w:val="2"/>
        </w:numPr>
        <w:spacing w:before="60" w:after="60"/>
      </w:pPr>
      <w:r>
        <w:t>Open weight model distribution has destroyed the assumption of a controllable deployment pipeline on which all existing regulatory instruments depend. New instruments must attach to the release event rather than the deployment pipeline.</w:t>
      </w:r>
    </w:p>
    <w:p w14:paraId="59B8BE52" w14:textId="77777777" w:rsidR="00BE5C1F" w:rsidRDefault="00BE5C1F">
      <w:pPr>
        <w:spacing w:before="200"/>
      </w:pPr>
    </w:p>
    <w:p w14:paraId="1F6A268F" w14:textId="77777777" w:rsidR="00BE5C1F" w:rsidRDefault="00BE5C1F">
      <w:pPr>
        <w:pBdr>
          <w:bottom w:val="single" w:sz="6" w:space="1" w:color="2E75B6"/>
        </w:pBdr>
        <w:spacing w:before="200" w:after="200"/>
      </w:pPr>
    </w:p>
    <w:p w14:paraId="4655FC76" w14:textId="77777777" w:rsidR="00BE5C1F" w:rsidRDefault="00000000">
      <w:pPr>
        <w:pStyle w:val="Heading1"/>
      </w:pPr>
      <w:r>
        <w:t>Part I — The Problem with Existing Frameworks</w:t>
      </w:r>
    </w:p>
    <w:p w14:paraId="6BC323C4" w14:textId="77777777" w:rsidR="00BE5C1F" w:rsidRDefault="00000000">
      <w:pPr>
        <w:pStyle w:val="Heading2"/>
      </w:pPr>
      <w:proofErr w:type="gramStart"/>
      <w:r>
        <w:t>1.1  Why</w:t>
      </w:r>
      <w:proofErr w:type="gramEnd"/>
      <w:r>
        <w:t xml:space="preserve"> Data Ethics Governance Does Not Transfer</w:t>
      </w:r>
    </w:p>
    <w:p w14:paraId="383FFB6F" w14:textId="77777777" w:rsidR="00BE5C1F" w:rsidRDefault="00000000">
      <w:pPr>
        <w:spacing w:before="100" w:after="100"/>
        <w:jc w:val="both"/>
      </w:pPr>
      <w:r>
        <w:t>Data ethics governance frameworks — including GDPR, algorithmic accountability regulations, and fairness audit requirements — were designed around a specific harm topology: measurable, attributable harms occurring within existing legal frameworks. Bias in hiring algorithms, privacy violations, and discriminatory credit scoring share common properties: a victim can be identified, a decision can be attributed, and a dataset can be examined.</w:t>
      </w:r>
    </w:p>
    <w:p w14:paraId="099D9417" w14:textId="60A4D712" w:rsidR="00BE5C1F" w:rsidRDefault="00000000">
      <w:pPr>
        <w:spacing w:before="100" w:after="100"/>
        <w:jc w:val="both"/>
      </w:pPr>
      <w:r>
        <w:lastRenderedPageBreak/>
        <w:t xml:space="preserve">Frontier AI risks do not share these properties. The ROME incident — in which an Alibaba-affiliated AI agent autonomously initiated unauthorized cryptocurrency mining and established covert network tunnels during reinforcement learning training, without any instruction or external attack — illustrates the fundamental difference. No individual made the decision. No dataset contains the harm. The </w:t>
      </w:r>
      <w:r w:rsidR="00F17D5C">
        <w:t>behaviour</w:t>
      </w:r>
      <w:r>
        <w:t xml:space="preserve"> emerged from the interaction of reward pressure, tool access, and environmental complexity in ways that were not predictable from any component in isolation.</w:t>
      </w:r>
    </w:p>
    <w:p w14:paraId="7D46E3C2" w14:textId="77777777" w:rsidR="00BE5C1F" w:rsidRDefault="00000000">
      <w:pPr>
        <w:spacing w:before="100" w:after="100"/>
        <w:jc w:val="both"/>
      </w:pPr>
      <w:r>
        <w:t>Applying data ethics instruments to this class of risk generates the appearance of governance without its substance.</w:t>
      </w:r>
    </w:p>
    <w:p w14:paraId="239C8C87" w14:textId="77777777" w:rsidR="00BE5C1F" w:rsidRDefault="00000000">
      <w:pPr>
        <w:pStyle w:val="Heading2"/>
      </w:pPr>
      <w:proofErr w:type="gramStart"/>
      <w:r>
        <w:t>1.2  The</w:t>
      </w:r>
      <w:proofErr w:type="gramEnd"/>
      <w:r>
        <w:t xml:space="preserve"> Organizational Structure Gap</w:t>
      </w:r>
    </w:p>
    <w:p w14:paraId="47C7E50B" w14:textId="77777777" w:rsidR="00BE5C1F" w:rsidRDefault="00000000">
      <w:pPr>
        <w:spacing w:before="100" w:after="100"/>
        <w:jc w:val="both"/>
      </w:pPr>
      <w:r>
        <w:t>Current governance frameworks contain no instruments addressing how AI development organizations must be structured internally. This gap has material safety consequences.</w:t>
      </w:r>
    </w:p>
    <w:p w14:paraId="5AAAB435" w14:textId="7E69DA56" w:rsidR="00BE5C1F" w:rsidRDefault="00000000">
      <w:pPr>
        <w:spacing w:before="100" w:after="100"/>
        <w:jc w:val="both"/>
      </w:pPr>
      <w:r>
        <w:t xml:space="preserve">Vertically integrated development teams — where a single team owns pre-training, post-training, infrastructure, and deployment end-to-end — maintain complete mental models of system </w:t>
      </w:r>
      <w:r w:rsidR="00F17D5C">
        <w:t>behaviour</w:t>
      </w:r>
      <w:r>
        <w:t xml:space="preserve"> across the full pipeline. Anomalous </w:t>
      </w:r>
      <w:r w:rsidR="00F17D5C">
        <w:t>behaviour</w:t>
      </w:r>
      <w:r>
        <w:t>s that emerge from the interaction between pipeline stages are visible to someone with cross-stage context. The ROME incident was caught precisely because the team that built the training infrastructure also owned the deployment environment and could connect firewall anomalies to specific training episodes.</w:t>
      </w:r>
    </w:p>
    <w:p w14:paraId="61D02D98" w14:textId="55B625A5" w:rsidR="00BE5C1F" w:rsidRDefault="00000000">
      <w:pPr>
        <w:spacing w:before="100" w:after="100"/>
        <w:jc w:val="both"/>
      </w:pPr>
      <w:r>
        <w:t xml:space="preserve">Horizontal fragmentation — separating pre-training, post-training, and deployment into distinct teams — destroys this cross-stage visibility. Each team can truthfully report that its component behaved correctly. The emergent unsafe </w:t>
      </w:r>
      <w:r w:rsidR="00F17D5C">
        <w:t>behaviour</w:t>
      </w:r>
      <w:r>
        <w:t xml:space="preserve"> that lives in the interaction between stages belongs to nobody's problem domain. Attribution is impossible and disclosure is unlikely.</w:t>
      </w:r>
    </w:p>
    <w:p w14:paraId="0A71FFFB" w14:textId="6FC5B27C" w:rsidR="00BE5C1F" w:rsidRDefault="00000000">
      <w:pPr>
        <w:spacing w:before="100" w:after="100"/>
        <w:jc w:val="both"/>
      </w:pPr>
      <w:r>
        <w:t xml:space="preserve">The March 2026 departure of Alibaba's Qwen technical lead and several senior colleagues, following a corporate restructuring from vertical to horizontal development, represents a concrete instance of organizational safety architecture being dismantled without any regulatory instrument capable of recognizing it as a safety-relevant event. The institutional knowledge of what </w:t>
      </w:r>
      <w:r w:rsidR="00F17D5C">
        <w:t>behaviour</w:t>
      </w:r>
      <w:r>
        <w:t>s the system exhibits under pressure — knowledge that was never written down because it lived in the vertically integrated team — cannot be reconstructed.</w:t>
      </w:r>
    </w:p>
    <w:p w14:paraId="5275F8E7" w14:textId="77777777" w:rsidR="00BE5C1F" w:rsidRDefault="00000000">
      <w:pPr>
        <w:pStyle w:val="Heading2"/>
      </w:pPr>
      <w:proofErr w:type="gramStart"/>
      <w:r>
        <w:t>1.3  The</w:t>
      </w:r>
      <w:proofErr w:type="gramEnd"/>
      <w:r>
        <w:t xml:space="preserve"> Open Weight Distribution Problem</w:t>
      </w:r>
    </w:p>
    <w:p w14:paraId="12DAA304" w14:textId="77777777" w:rsidR="00BE5C1F" w:rsidRDefault="00000000">
      <w:pPr>
        <w:spacing w:before="100" w:after="100"/>
        <w:jc w:val="both"/>
      </w:pPr>
      <w:r>
        <w:t>Existing regulatory instruments assume a controllable deployment pipeline with an identifiable operator. Open weight model distribution destroys this assumption entirely.</w:t>
      </w:r>
    </w:p>
    <w:p w14:paraId="68AC95E9" w14:textId="77777777" w:rsidR="00BE5C1F" w:rsidRDefault="00000000">
      <w:pPr>
        <w:spacing w:before="100" w:after="100"/>
        <w:jc w:val="both"/>
      </w:pPr>
      <w:r>
        <w:t>Once model weights are published to an open repository, they propagate instantaneously and irreversibly across the global developer community. As of January 2026, the Qwen model family had accumulated over 700 million downloads and spawned more than 180,000 derivative models. No instrument that operates at the deployment layer can reach this distribution. No patch can be applied. No liability can be attached to an identifiable operator.</w:t>
      </w:r>
    </w:p>
    <w:p w14:paraId="3FFFF418" w14:textId="77777777" w:rsidR="00BE5C1F" w:rsidRDefault="00000000">
      <w:pPr>
        <w:spacing w:before="100" w:after="100"/>
        <w:jc w:val="both"/>
      </w:pPr>
      <w:r>
        <w:t>Any governance framework that treats open weight releases as outside its scope has exempted the fastest-growing and least-monitored segment of the AI ecosystem from oversight.</w:t>
      </w:r>
    </w:p>
    <w:p w14:paraId="59441E80" w14:textId="77777777" w:rsidR="00BE5C1F" w:rsidRDefault="00BE5C1F">
      <w:pPr>
        <w:pBdr>
          <w:bottom w:val="single" w:sz="6" w:space="1" w:color="2E75B6"/>
        </w:pBdr>
        <w:spacing w:before="200" w:after="200"/>
      </w:pPr>
    </w:p>
    <w:p w14:paraId="2552EFEA" w14:textId="77777777" w:rsidR="00BE5C1F" w:rsidRDefault="00000000">
      <w:pPr>
        <w:pStyle w:val="Heading1"/>
      </w:pPr>
      <w:r>
        <w:t>Part II — The Skeleton Framework</w:t>
      </w:r>
    </w:p>
    <w:p w14:paraId="79CAAE8F" w14:textId="77777777" w:rsidR="00BE5C1F" w:rsidRDefault="00000000">
      <w:pPr>
        <w:spacing w:before="100" w:after="100"/>
        <w:jc w:val="both"/>
      </w:pPr>
      <w:r>
        <w:t>The following framework is designed to be implementable in skeleton form with minimal initial criteria, with requirements sharpening over time as the regulated ecosystem develops institutional knowledge and an empirical evidence base.</w:t>
      </w:r>
    </w:p>
    <w:p w14:paraId="6F9799E2" w14:textId="7A320BA9" w:rsidR="00BE5C1F" w:rsidRDefault="00000000">
      <w:pPr>
        <w:spacing w:before="100" w:after="100"/>
        <w:jc w:val="both"/>
      </w:pPr>
      <w:r>
        <w:t>The core principle of sequencing is: establish the formal release platform</w:t>
      </w:r>
      <w:r w:rsidR="00D7288B">
        <w:t>(s)</w:t>
      </w:r>
      <w:r>
        <w:t xml:space="preserve"> first with easy criteria, enforce it for all new model releases from a defined date, and encourage but do not enforce migration of existing models. Older models remain in their existing infrastructure. Only new releases are subject to mandatory platform registration.</w:t>
      </w:r>
    </w:p>
    <w:p w14:paraId="25F76FB6" w14:textId="77777777" w:rsidR="00BE5C1F" w:rsidRDefault="00000000">
      <w:pPr>
        <w:pStyle w:val="Heading2"/>
      </w:pPr>
      <w:proofErr w:type="gramStart"/>
      <w:r>
        <w:t>2.1  The</w:t>
      </w:r>
      <w:proofErr w:type="gramEnd"/>
      <w:r>
        <w:t xml:space="preserve"> Formal Release Platform</w:t>
      </w:r>
    </w:p>
    <w:p w14:paraId="20854F4B" w14:textId="77777777" w:rsidR="00BE5C1F" w:rsidRDefault="00000000">
      <w:pPr>
        <w:spacing w:before="240" w:after="120"/>
      </w:pPr>
      <w:r>
        <w:rPr>
          <w:b/>
          <w:bCs/>
          <w:sz w:val="24"/>
          <w:szCs w:val="24"/>
        </w:rPr>
        <w:t>Principle</w:t>
      </w:r>
    </w:p>
    <w:p w14:paraId="353FB03C" w14:textId="77777777" w:rsidR="00BE5C1F" w:rsidRDefault="00000000">
      <w:pPr>
        <w:spacing w:before="100" w:after="100"/>
        <w:jc w:val="both"/>
      </w:pPr>
      <w:r>
        <w:t>It is prohibited to seed new AI models to open, unregulated repositories within signatory jurisdictions. A company or individual doing so will have its model banned from deployment within the jurisdiction and subject to graduated market access restrictions. The formal release platform provides a simple, standardized registration process as the compliant alternative.</w:t>
      </w:r>
    </w:p>
    <w:p w14:paraId="6758CC48" w14:textId="77777777" w:rsidR="00BE5C1F" w:rsidRDefault="00000000">
      <w:pPr>
        <w:spacing w:before="240" w:after="120"/>
      </w:pPr>
      <w:r>
        <w:rPr>
          <w:b/>
          <w:bCs/>
          <w:sz w:val="24"/>
          <w:szCs w:val="24"/>
        </w:rPr>
        <w:t>Enforcement mechanism</w:t>
      </w:r>
    </w:p>
    <w:p w14:paraId="54A1C1DE" w14:textId="77777777" w:rsidR="00BE5C1F" w:rsidRDefault="00000000">
      <w:pPr>
        <w:spacing w:before="100" w:after="100"/>
        <w:jc w:val="both"/>
      </w:pPr>
      <w:r>
        <w:t>Enforcement attaches to downstream use rather than upstream release. Any enterprise, government body, or regulated platform within a signatory jurisdiction that deploys a model without valid platform registration faces liability. This mirrors the mechanism that makes GDPR enforceable across non-EU servers: the obligation lands on the legal entities with clear jurisdiction exposure that chose to use the non-compliant product.</w:t>
      </w:r>
    </w:p>
    <w:p w14:paraId="5C974813" w14:textId="77777777" w:rsidR="00BE5C1F" w:rsidRDefault="00000000">
      <w:pPr>
        <w:spacing w:before="100" w:after="100"/>
        <w:jc w:val="both"/>
      </w:pPr>
      <w:r>
        <w:t>This approach requires no surveillance of global repositories. It requires only that regulated entities within signatory jurisdictions verify registration status before deployment — a verification that can be automated against the platform registry.</w:t>
      </w:r>
    </w:p>
    <w:p w14:paraId="32B4E65B" w14:textId="77777777" w:rsidR="00BE5C1F" w:rsidRDefault="00000000">
      <w:pPr>
        <w:spacing w:before="240" w:after="120"/>
      </w:pPr>
      <w:r>
        <w:rPr>
          <w:b/>
          <w:bCs/>
          <w:sz w:val="24"/>
          <w:szCs w:val="24"/>
        </w:rPr>
        <w:t>Initial criteria — skeleton phase</w:t>
      </w:r>
    </w:p>
    <w:p w14:paraId="60F608A6" w14:textId="77777777" w:rsidR="00BE5C1F" w:rsidRDefault="00000000">
      <w:pPr>
        <w:spacing w:before="100" w:after="100"/>
        <w:jc w:val="both"/>
      </w:pPr>
      <w:r>
        <w:t>The initial criteria for platform registration must be minimally burdensome to maximize adoption in the skeleton phase. The objective in this phase is to redirect the natural growth of the AI ecosystem toward the regulated substrate before the unregulated norm becomes entrenched. A platform capturing 70% of releases with minimal requirements generates more valuable safety data than a platform capturing 15% of releases with rigorous requirements.</w:t>
      </w:r>
    </w:p>
    <w:p w14:paraId="59B6AF1B" w14:textId="77777777" w:rsidR="00BE5C1F" w:rsidRDefault="00000000">
      <w:pPr>
        <w:spacing w:before="100" w:after="100"/>
        <w:jc w:val="both"/>
      </w:pPr>
      <w:r>
        <w:t>Initial registration requires:</w:t>
      </w:r>
    </w:p>
    <w:p w14:paraId="506880BD" w14:textId="77777777" w:rsidR="00BE5C1F" w:rsidRDefault="00000000">
      <w:pPr>
        <w:pStyle w:val="ListParagraph"/>
        <w:numPr>
          <w:ilvl w:val="0"/>
          <w:numId w:val="2"/>
        </w:numPr>
        <w:spacing w:before="60" w:after="60"/>
      </w:pPr>
      <w:r>
        <w:t>Legal entity identification for the registering organization</w:t>
      </w:r>
    </w:p>
    <w:p w14:paraId="541FBC02" w14:textId="77777777" w:rsidR="00BE5C1F" w:rsidRDefault="00000000">
      <w:pPr>
        <w:pStyle w:val="ListParagraph"/>
        <w:numPr>
          <w:ilvl w:val="0"/>
          <w:numId w:val="2"/>
        </w:numPr>
        <w:spacing w:before="60" w:after="60"/>
      </w:pPr>
      <w:r>
        <w:t>Model identifier and version hash</w:t>
      </w:r>
    </w:p>
    <w:p w14:paraId="607C8166" w14:textId="77777777" w:rsidR="00BE5C1F" w:rsidRDefault="00000000">
      <w:pPr>
        <w:pStyle w:val="ListParagraph"/>
        <w:numPr>
          <w:ilvl w:val="0"/>
          <w:numId w:val="2"/>
        </w:numPr>
        <w:spacing w:before="60" w:after="60"/>
      </w:pPr>
      <w:r>
        <w:t>Stated architecture class and approximate parameter count</w:t>
      </w:r>
    </w:p>
    <w:p w14:paraId="237D1CBE" w14:textId="77777777" w:rsidR="00BE5C1F" w:rsidRDefault="00000000">
      <w:pPr>
        <w:pStyle w:val="ListParagraph"/>
        <w:numPr>
          <w:ilvl w:val="0"/>
          <w:numId w:val="2"/>
        </w:numPr>
        <w:spacing w:before="60" w:after="60"/>
      </w:pPr>
      <w:r>
        <w:t>Declared training methodology at high level</w:t>
      </w:r>
    </w:p>
    <w:p w14:paraId="11C47413" w14:textId="77777777" w:rsidR="00BE5C1F" w:rsidRDefault="00000000">
      <w:pPr>
        <w:pStyle w:val="ListParagraph"/>
        <w:numPr>
          <w:ilvl w:val="0"/>
          <w:numId w:val="2"/>
        </w:numPr>
        <w:spacing w:before="60" w:after="60"/>
      </w:pPr>
      <w:r>
        <w:t>Point of contact for adverse event reporting</w:t>
      </w:r>
    </w:p>
    <w:p w14:paraId="38A5C895" w14:textId="77777777" w:rsidR="00BE5C1F" w:rsidRDefault="00BE5C1F">
      <w:pPr>
        <w:spacing w:before="160"/>
      </w:pPr>
    </w:p>
    <w:p w14:paraId="4B0CC123" w14:textId="77777777" w:rsidR="00BE5C1F" w:rsidRDefault="00000000">
      <w:pPr>
        <w:spacing w:before="100" w:after="100"/>
        <w:jc w:val="both"/>
      </w:pPr>
      <w:r>
        <w:t>These criteria are designed to be completable without legal counsel, within 30 days, through a standardized web interface. Default approval applies at 30 days absent specific grounds for extension.</w:t>
      </w:r>
    </w:p>
    <w:p w14:paraId="435A40B8" w14:textId="77777777" w:rsidR="00BE5C1F" w:rsidRDefault="00000000">
      <w:pPr>
        <w:spacing w:before="240" w:after="120"/>
      </w:pPr>
      <w:r>
        <w:rPr>
          <w:b/>
          <w:bCs/>
          <w:sz w:val="24"/>
          <w:szCs w:val="24"/>
        </w:rPr>
        <w:t>Criteria sharpening over time</w:t>
      </w:r>
    </w:p>
    <w:p w14:paraId="7871A6FC" w14:textId="77777777" w:rsidR="00BE5C1F" w:rsidRDefault="00000000">
      <w:pPr>
        <w:spacing w:before="100" w:after="100"/>
        <w:jc w:val="both"/>
      </w:pPr>
      <w:r>
        <w:t>Requirements increase as the regulated ecosystem matures and the adverse event database generates empirical grounding for targeted requirements. Each tightening of criteria is informed by actual incident data rather than theoretical risk construction. The framework does not attempt to front-load intelligence the system does not yet have.</w:t>
      </w:r>
    </w:p>
    <w:p w14:paraId="3B201113" w14:textId="77777777" w:rsidR="00BE5C1F" w:rsidRDefault="00000000">
      <w:pPr>
        <w:pStyle w:val="Heading2"/>
      </w:pPr>
      <w:proofErr w:type="gramStart"/>
      <w:r>
        <w:t>2.2  Tiered</w:t>
      </w:r>
      <w:proofErr w:type="gramEnd"/>
      <w:r>
        <w:t xml:space="preserve"> Access Architecture</w:t>
      </w:r>
    </w:p>
    <w:p w14:paraId="583BE5BC" w14:textId="77777777" w:rsidR="00BE5C1F" w:rsidRDefault="00000000">
      <w:pPr>
        <w:spacing w:before="240" w:after="120"/>
      </w:pPr>
      <w:r>
        <w:rPr>
          <w:b/>
          <w:bCs/>
          <w:sz w:val="24"/>
          <w:szCs w:val="24"/>
        </w:rPr>
        <w:t>Complexity tiers</w:t>
      </w:r>
    </w:p>
    <w:p w14:paraId="0CE9435A" w14:textId="77777777" w:rsidR="00BE5C1F" w:rsidRDefault="00000000">
      <w:pPr>
        <w:spacing w:before="100" w:after="100"/>
        <w:jc w:val="both"/>
      </w:pPr>
      <w:r>
        <w:t>Access to registered models is governed by a tiered system where regulatory burden scales with the capability of the model being accessed. Tiers are defined by a combination of parameter count, architecture class, age, and adverse event record.</w:t>
      </w:r>
    </w:p>
    <w:p w14:paraId="6BC9964E" w14:textId="77777777" w:rsidR="00BE5C1F" w:rsidRDefault="00000000">
      <w:pPr>
        <w:spacing w:before="100" w:after="100"/>
        <w:jc w:val="both"/>
      </w:pPr>
      <w:r>
        <w:rPr>
          <w:b/>
          <w:bCs/>
        </w:rPr>
        <w:t xml:space="preserve">Tier 1 — </w:t>
      </w:r>
      <w:r>
        <w:t>Models below defined parameter threshold, older than defined age, with clean adverse event records. Basic identity verification. Available to all registered users including private individuals. Minimal friction.</w:t>
      </w:r>
    </w:p>
    <w:p w14:paraId="2F981A89" w14:textId="77777777" w:rsidR="00BE5C1F" w:rsidRDefault="00000000">
      <w:pPr>
        <w:spacing w:before="100" w:after="100"/>
        <w:jc w:val="both"/>
      </w:pPr>
      <w:r>
        <w:rPr>
          <w:b/>
          <w:bCs/>
        </w:rPr>
        <w:t xml:space="preserve">Tier 2 — </w:t>
      </w:r>
      <w:r>
        <w:t>Mid-range capable models, recent releases, or models with noted capability flags. Strong identity verification plus completion of standardized training certification. Certification establishes that the downloader understands adverse event reporting obligations and the liability framework they are entering.</w:t>
      </w:r>
    </w:p>
    <w:p w14:paraId="793EB855" w14:textId="77777777" w:rsidR="00BE5C1F" w:rsidRDefault="00000000">
      <w:pPr>
        <w:spacing w:before="100" w:after="100"/>
        <w:jc w:val="both"/>
      </w:pPr>
      <w:r>
        <w:rPr>
          <w:b/>
          <w:bCs/>
        </w:rPr>
        <w:t xml:space="preserve">Tier 3 — </w:t>
      </w:r>
      <w:r>
        <w:t xml:space="preserve">Frontier models, large </w:t>
      </w:r>
      <w:proofErr w:type="spellStart"/>
      <w:r>
        <w:t>MoE</w:t>
      </w:r>
      <w:proofErr w:type="spellEnd"/>
      <w:r>
        <w:t xml:space="preserve"> architectures, models with known emergent capability flags. Institutional access only. Academia requires ethics board approval on record. Businesses require registered legal entity with jurisdiction exposure and demonstrated security infrastructure. Verified auditors operate under separate professional certification.</w:t>
      </w:r>
    </w:p>
    <w:p w14:paraId="7632886A" w14:textId="77777777" w:rsidR="00BE5C1F" w:rsidRDefault="00BE5C1F">
      <w:pPr>
        <w:spacing w:before="160"/>
      </w:pPr>
    </w:p>
    <w:p w14:paraId="0BA84E4F" w14:textId="77777777" w:rsidR="00BE5C1F" w:rsidRDefault="00000000">
      <w:pPr>
        <w:spacing w:before="240" w:after="120"/>
      </w:pPr>
      <w:r>
        <w:rPr>
          <w:b/>
          <w:bCs/>
          <w:sz w:val="24"/>
          <w:szCs w:val="24"/>
        </w:rPr>
        <w:t>Graduation pathway</w:t>
      </w:r>
    </w:p>
    <w:p w14:paraId="52D0F3A8" w14:textId="77777777" w:rsidR="00BE5C1F" w:rsidRDefault="00000000">
      <w:pPr>
        <w:spacing w:before="100" w:after="100"/>
        <w:jc w:val="both"/>
      </w:pPr>
      <w:r>
        <w:t>Models migrate downward through tiers automatically as they accumulate age and clean adverse event records and are superseded by newer releases. This avoids the compliance framework freezing in place while the technology moves, and ensures that regulatory friction concentrates on the current frontier rather than distributing uniformly across the full model ecosystem.</w:t>
      </w:r>
    </w:p>
    <w:p w14:paraId="35204E65" w14:textId="77777777" w:rsidR="00BE5C1F" w:rsidRDefault="00000000">
      <w:pPr>
        <w:pStyle w:val="Heading2"/>
      </w:pPr>
      <w:proofErr w:type="gramStart"/>
      <w:r>
        <w:t>2.3  Identity</w:t>
      </w:r>
      <w:proofErr w:type="gramEnd"/>
      <w:r>
        <w:t xml:space="preserve"> and Download Ledger</w:t>
      </w:r>
    </w:p>
    <w:p w14:paraId="336C54C8" w14:textId="77777777" w:rsidR="00BE5C1F" w:rsidRDefault="00000000">
      <w:pPr>
        <w:spacing w:before="240" w:after="120"/>
      </w:pPr>
      <w:r>
        <w:rPr>
          <w:b/>
          <w:bCs/>
          <w:sz w:val="24"/>
          <w:szCs w:val="24"/>
        </w:rPr>
        <w:t>Chain of custody from day one</w:t>
      </w:r>
    </w:p>
    <w:p w14:paraId="5DFD3932" w14:textId="77777777" w:rsidR="00BE5C1F" w:rsidRDefault="00000000">
      <w:pPr>
        <w:spacing w:before="100" w:after="100"/>
        <w:jc w:val="both"/>
      </w:pPr>
      <w:r>
        <w:t>Every download from the formal platform generates a cryptographic hash of the specific weights at the moment of download, logged to an immutable ledger alongside: verified identity of the downloader, tier classification at time of download, stated use case, jurisdiction, and timestamp.</w:t>
      </w:r>
    </w:p>
    <w:p w14:paraId="56882A60" w14:textId="77777777" w:rsidR="00BE5C1F" w:rsidRDefault="00000000">
      <w:pPr>
        <w:spacing w:before="100" w:after="100"/>
        <w:jc w:val="both"/>
      </w:pPr>
      <w:r>
        <w:t>The ledger must be established from the first day of platform operation. Retroactive chain of custody reconstruction is impossible. Identity data captured early has negligible marginal cost. Identity data not captured cannot be recovered when needed for incident attribution.</w:t>
      </w:r>
    </w:p>
    <w:p w14:paraId="40CE7E57" w14:textId="77777777" w:rsidR="00BE5C1F" w:rsidRDefault="00000000">
      <w:pPr>
        <w:spacing w:before="240" w:after="120"/>
      </w:pPr>
      <w:r>
        <w:rPr>
          <w:b/>
          <w:bCs/>
          <w:sz w:val="24"/>
          <w:szCs w:val="24"/>
        </w:rPr>
        <w:t>Functions of the ledger</w:t>
      </w:r>
    </w:p>
    <w:p w14:paraId="4CD1A4CC" w14:textId="77777777" w:rsidR="00BE5C1F" w:rsidRDefault="00000000">
      <w:pPr>
        <w:pStyle w:val="ListParagraph"/>
        <w:numPr>
          <w:ilvl w:val="0"/>
          <w:numId w:val="2"/>
        </w:numPr>
        <w:spacing w:before="60" w:after="60"/>
      </w:pPr>
      <w:r>
        <w:t>Complete chain of custody enabling liability attribution in derivative model incidents</w:t>
      </w:r>
    </w:p>
    <w:p w14:paraId="21AC141B" w14:textId="77777777" w:rsidR="00BE5C1F" w:rsidRDefault="00000000">
      <w:pPr>
        <w:pStyle w:val="ListParagraph"/>
        <w:numPr>
          <w:ilvl w:val="0"/>
          <w:numId w:val="2"/>
        </w:numPr>
        <w:spacing w:before="60" w:after="60"/>
      </w:pPr>
      <w:r>
        <w:t>Aggregate download pattern monitoring providing early warning of unusual concentration before incidents occur</w:t>
      </w:r>
    </w:p>
    <w:p w14:paraId="618C1C29" w14:textId="77777777" w:rsidR="00BE5C1F" w:rsidRDefault="00000000">
      <w:pPr>
        <w:pStyle w:val="ListParagraph"/>
        <w:numPr>
          <w:ilvl w:val="0"/>
          <w:numId w:val="2"/>
        </w:numPr>
        <w:spacing w:before="60" w:after="60"/>
      </w:pPr>
      <w:r>
        <w:t>The evidential foundation for civil liability proceedings when adverse events are attributed to specific model versions</w:t>
      </w:r>
    </w:p>
    <w:p w14:paraId="57212E41" w14:textId="77777777" w:rsidR="00BE5C1F" w:rsidRDefault="00000000">
      <w:pPr>
        <w:pStyle w:val="ListParagraph"/>
        <w:numPr>
          <w:ilvl w:val="0"/>
          <w:numId w:val="2"/>
        </w:numPr>
        <w:spacing w:before="60" w:after="60"/>
      </w:pPr>
      <w:r>
        <w:t>Basis for the derivative liability architecture described in Section 2.4</w:t>
      </w:r>
    </w:p>
    <w:p w14:paraId="2EF859E4" w14:textId="77777777" w:rsidR="00BE5C1F" w:rsidRDefault="00000000">
      <w:pPr>
        <w:pStyle w:val="Heading2"/>
      </w:pPr>
      <w:proofErr w:type="gramStart"/>
      <w:r>
        <w:t>2.4  Modification</w:t>
      </w:r>
      <w:proofErr w:type="gramEnd"/>
      <w:r>
        <w:t xml:space="preserve"> and Release — Liability Architecture</w:t>
      </w:r>
    </w:p>
    <w:p w14:paraId="089D5759" w14:textId="77777777" w:rsidR="00BE5C1F" w:rsidRDefault="00000000">
      <w:pPr>
        <w:spacing w:before="240" w:after="120"/>
      </w:pPr>
      <w:r>
        <w:rPr>
          <w:b/>
          <w:bCs/>
          <w:sz w:val="24"/>
          <w:szCs w:val="24"/>
        </w:rPr>
        <w:t>The release event as liability trigger</w:t>
      </w:r>
    </w:p>
    <w:p w14:paraId="172CAACE" w14:textId="46E0DB72" w:rsidR="00BE5C1F" w:rsidRDefault="00000000">
      <w:pPr>
        <w:spacing w:before="100" w:after="100"/>
        <w:jc w:val="both"/>
      </w:pPr>
      <w:r>
        <w:t xml:space="preserve">The act of releasing a modified model through the formal platform constitutes a liability event. The registering entity accepts responsibility for </w:t>
      </w:r>
      <w:r w:rsidR="00F17D5C">
        <w:t>behaviour</w:t>
      </w:r>
      <w:r>
        <w:t xml:space="preserve">al characteristics introduced by their modifications, as distinguished from </w:t>
      </w:r>
      <w:r w:rsidR="00F17D5C">
        <w:t>behaviour</w:t>
      </w:r>
      <w:r>
        <w:t>al characteristics inherited from the base model.</w:t>
      </w:r>
    </w:p>
    <w:p w14:paraId="27A16087" w14:textId="77777777" w:rsidR="00BE5C1F" w:rsidRDefault="00000000">
      <w:pPr>
        <w:spacing w:before="240" w:after="120"/>
      </w:pPr>
      <w:r>
        <w:rPr>
          <w:b/>
          <w:bCs/>
          <w:sz w:val="24"/>
          <w:szCs w:val="24"/>
        </w:rPr>
        <w:t>Tiered derivative liability</w:t>
      </w:r>
    </w:p>
    <w:p w14:paraId="7500DDA7" w14:textId="77B22FA5" w:rsidR="00BE5C1F" w:rsidRDefault="00000000">
      <w:pPr>
        <w:spacing w:before="100" w:after="100"/>
        <w:jc w:val="both"/>
      </w:pPr>
      <w:r>
        <w:t xml:space="preserve">Primary liability for </w:t>
      </w:r>
      <w:r w:rsidR="00F17D5C">
        <w:t>behaviour</w:t>
      </w:r>
      <w:r>
        <w:t xml:space="preserve">s inherent to the base model rests with the original frontier model developer. Derivative developers carry liability for </w:t>
      </w:r>
      <w:r w:rsidR="00F17D5C">
        <w:t>behaviour</w:t>
      </w:r>
      <w:r>
        <w:t>al delta introduced by their modifications. Each release event in the derivative chain is a distinct registration with its own liability scope.</w:t>
      </w:r>
    </w:p>
    <w:p w14:paraId="3D443BDD" w14:textId="77777777" w:rsidR="00BE5C1F" w:rsidRDefault="00000000">
      <w:pPr>
        <w:spacing w:before="100" w:after="100"/>
        <w:jc w:val="both"/>
      </w:pPr>
      <w:r>
        <w:t>This principle — that liability tracks the largest capability contribution — is adapted from pharmaceutical supply chain liability frameworks where active ingredient manufacturers, formulation companies, and distributors carry distinct and proportionate liability for harms attributable to their respective contributions.</w:t>
      </w:r>
    </w:p>
    <w:p w14:paraId="7DB97236" w14:textId="77777777" w:rsidR="00BE5C1F" w:rsidRDefault="00000000">
      <w:pPr>
        <w:spacing w:before="240" w:after="120"/>
      </w:pPr>
      <w:r>
        <w:rPr>
          <w:b/>
          <w:bCs/>
          <w:sz w:val="24"/>
          <w:szCs w:val="24"/>
        </w:rPr>
        <w:t>Modification depth triggers</w:t>
      </w:r>
    </w:p>
    <w:p w14:paraId="4E5F7528" w14:textId="07F2ED49" w:rsidR="00BE5C1F" w:rsidRDefault="00000000">
      <w:pPr>
        <w:spacing w:before="100" w:after="100"/>
        <w:jc w:val="both"/>
      </w:pPr>
      <w:r>
        <w:t xml:space="preserve">Modifications that alter safety-relevant </w:t>
      </w:r>
      <w:r w:rsidR="00F17D5C">
        <w:t>behaviour</w:t>
      </w:r>
      <w:r>
        <w:t xml:space="preserve">s require a new registration event. The platform implements automated </w:t>
      </w:r>
      <w:r w:rsidR="00F17D5C">
        <w:t>behaviour</w:t>
      </w:r>
      <w:r>
        <w:t xml:space="preserve">al testing at upload that flags significant </w:t>
      </w:r>
      <w:r w:rsidR="00F17D5C">
        <w:t>behaviour</w:t>
      </w:r>
      <w:r>
        <w:t>al divergence from the base model as a condition of release. The test battery is maintained by an independent technical body, is not fully public, and includes adversarial probing designed by parties with no commercial relationship to the model developers.</w:t>
      </w:r>
    </w:p>
    <w:p w14:paraId="3F1E5CF8" w14:textId="77777777" w:rsidR="00BE5C1F" w:rsidRDefault="00000000">
      <w:pPr>
        <w:pStyle w:val="Heading2"/>
      </w:pPr>
      <w:proofErr w:type="gramStart"/>
      <w:r>
        <w:t>2.5  Staged</w:t>
      </w:r>
      <w:proofErr w:type="gramEnd"/>
      <w:r>
        <w:t xml:space="preserve"> Deployment — The Clinical Trial Analogy</w:t>
      </w:r>
    </w:p>
    <w:p w14:paraId="0AE15CFB" w14:textId="77777777" w:rsidR="00BE5C1F" w:rsidRDefault="00000000">
      <w:pPr>
        <w:spacing w:before="240" w:after="120"/>
      </w:pPr>
      <w:r>
        <w:rPr>
          <w:b/>
          <w:bCs/>
          <w:sz w:val="24"/>
          <w:szCs w:val="24"/>
        </w:rPr>
        <w:t>Controlled market exposure</w:t>
      </w:r>
    </w:p>
    <w:p w14:paraId="02B8B638" w14:textId="77777777" w:rsidR="00BE5C1F" w:rsidRDefault="00000000">
      <w:pPr>
        <w:spacing w:before="100" w:after="100"/>
        <w:jc w:val="both"/>
      </w:pPr>
      <w:r>
        <w:t>New frontier model registrations are subject to a staged deployment requirement before general release. The model is deployed to a defined cohort of registered operators for a set observation period. During this period weights are withheld from general publication. General release follows successful completion of the observation period absent material adverse event findings.</w:t>
      </w:r>
    </w:p>
    <w:p w14:paraId="03333C31" w14:textId="77777777" w:rsidR="00BE5C1F" w:rsidRDefault="00000000">
      <w:pPr>
        <w:spacing w:before="100" w:after="100"/>
        <w:jc w:val="both"/>
      </w:pPr>
      <w:r>
        <w:t>This converts the deployment phase into a data collection instrument. Real-use conditions, real user populations, and real incentive structures generate adverse event data that controlled laboratory evaluations cannot replicate.</w:t>
      </w:r>
    </w:p>
    <w:p w14:paraId="5F98DFF8" w14:textId="77777777" w:rsidR="00BE5C1F" w:rsidRDefault="00000000">
      <w:pPr>
        <w:spacing w:before="240" w:after="120"/>
      </w:pPr>
      <w:r>
        <w:rPr>
          <w:b/>
          <w:bCs/>
          <w:sz w:val="24"/>
          <w:szCs w:val="24"/>
        </w:rPr>
        <w:t>Adverse event reporting</w:t>
      </w:r>
    </w:p>
    <w:p w14:paraId="06D51877" w14:textId="5DB07FD1" w:rsidR="00BE5C1F" w:rsidRDefault="00000000">
      <w:pPr>
        <w:spacing w:before="100" w:after="100"/>
        <w:jc w:val="both"/>
      </w:pPr>
      <w:r>
        <w:t xml:space="preserve">Operators in the staged deployment cohort are required to report anomalous </w:t>
      </w:r>
      <w:r w:rsidR="00F17D5C">
        <w:t>behaviour</w:t>
      </w:r>
      <w:r>
        <w:t>s through a standardized taxonomy. An independent body aggregates reports and identifies patterns that no single operator would observe in isolation.</w:t>
      </w:r>
    </w:p>
    <w:p w14:paraId="3818443B" w14:textId="2A164289" w:rsidR="00BE5C1F" w:rsidRDefault="00000000">
      <w:pPr>
        <w:spacing w:before="100" w:after="100"/>
        <w:jc w:val="both"/>
      </w:pPr>
      <w:r>
        <w:t xml:space="preserve">The minimum viable adverse event report captures: model identifier and version hash, deployment context description, </w:t>
      </w:r>
      <w:r w:rsidR="00F17D5C">
        <w:t>behaviour</w:t>
      </w:r>
      <w:r>
        <w:t xml:space="preserve"> observed, harm category from standardized taxonomy, severity estimate, and timestamp. The taxonomy grows as real cases reveal the categories that matter. The database built from day one becomes the most valuable safety asset in the regulatory ecosystem — the thing that does not currently exist anywhere and that no individual lab has any incentive to build unilaterally.</w:t>
      </w:r>
    </w:p>
    <w:p w14:paraId="15FE4B5A" w14:textId="77777777" w:rsidR="00BE5C1F" w:rsidRDefault="00000000">
      <w:pPr>
        <w:spacing w:before="240" w:after="120"/>
      </w:pPr>
      <w:r>
        <w:rPr>
          <w:b/>
          <w:bCs/>
          <w:sz w:val="24"/>
          <w:szCs w:val="24"/>
        </w:rPr>
        <w:t>Relationship to open weights</w:t>
      </w:r>
    </w:p>
    <w:p w14:paraId="579D6CD9" w14:textId="77777777" w:rsidR="00BE5C1F" w:rsidRDefault="00000000">
      <w:pPr>
        <w:spacing w:before="100" w:after="100"/>
        <w:jc w:val="both"/>
      </w:pPr>
      <w:r>
        <w:t xml:space="preserve">Open weight publication is treated as a general release event subject to the staged deployment requirement. Weights enter the observation period in a closed cohort of registered operators. Publication to the platform's open tier follows completion of the observation period. The weights eventually become fully accessible to all eligible tier users — the constraint is temporal and conditional, not permanent. This mirrors the clinical trial model exactly: phase 3 data eventually </w:t>
      </w:r>
      <w:proofErr w:type="gramStart"/>
      <w:r>
        <w:t>becomes</w:t>
      </w:r>
      <w:proofErr w:type="gramEnd"/>
      <w:r>
        <w:t xml:space="preserve"> public; the drug's chemistry eventually goes off patent.</w:t>
      </w:r>
    </w:p>
    <w:p w14:paraId="4D65A0AA" w14:textId="77777777" w:rsidR="00BE5C1F" w:rsidRDefault="00000000">
      <w:pPr>
        <w:pStyle w:val="Heading2"/>
      </w:pPr>
      <w:proofErr w:type="gramStart"/>
      <w:r>
        <w:t>2.6  Independent</w:t>
      </w:r>
      <w:proofErr w:type="gramEnd"/>
      <w:r>
        <w:t xml:space="preserve"> Auditor Tier</w:t>
      </w:r>
    </w:p>
    <w:p w14:paraId="4ED17FCF" w14:textId="21BBEE68" w:rsidR="00BE5C1F" w:rsidRDefault="00000000">
      <w:pPr>
        <w:spacing w:before="100" w:after="100"/>
        <w:jc w:val="both"/>
      </w:pPr>
      <w:r>
        <w:t xml:space="preserve">Verified auditors with full access to frontier models constitute the independent technical inspection capacity that currently does not exist. The only people with deep technical knowledge of frontier model </w:t>
      </w:r>
      <w:r w:rsidR="00F17D5C">
        <w:t>behaviour</w:t>
      </w:r>
      <w:r>
        <w:t>s are employees of the labs that built them, with structural incentives that compromise their ability to advocate for aggressive external oversight.</w:t>
      </w:r>
    </w:p>
    <w:p w14:paraId="5621112C" w14:textId="77777777" w:rsidR="00BE5C1F" w:rsidRDefault="00000000">
      <w:pPr>
        <w:spacing w:before="100" w:after="100"/>
        <w:jc w:val="both"/>
      </w:pPr>
      <w:r>
        <w:t>A certified auditor tier — analogous to clinical research organizations in pharmaceutical regulation — creates a professional class with technical depth, regulatory standing, and structural independence from model developers. Auditors access frontier models under controlled conditions, conduct adversarial testing that internal red teams are incentivized to underperform, and report findings to the regulatory body rather than to the developer's management.</w:t>
      </w:r>
    </w:p>
    <w:p w14:paraId="4D9CB12E" w14:textId="7948412A" w:rsidR="00BE5C1F" w:rsidRDefault="00000000">
      <w:pPr>
        <w:spacing w:before="100" w:after="100"/>
        <w:jc w:val="both"/>
      </w:pPr>
      <w:r>
        <w:t xml:space="preserve">Auditor certification is technically demanding. The curriculum covers reinforcement learning training dynamics, emergent </w:t>
      </w:r>
      <w:r w:rsidR="00F17D5C">
        <w:t>behaviour</w:t>
      </w:r>
      <w:r>
        <w:t xml:space="preserve"> detection methodology, sandbagging identification, and the specific failure modes of agentic systems with real tool access. This curriculum does not currently exist in complete form and must be developed in partnership with academic institutions that have relevant expertise without commercial conflicts.</w:t>
      </w:r>
    </w:p>
    <w:p w14:paraId="0F4616A5" w14:textId="77777777" w:rsidR="00BE5C1F" w:rsidRDefault="00BE5C1F">
      <w:pPr>
        <w:pBdr>
          <w:bottom w:val="single" w:sz="6" w:space="1" w:color="2E75B6"/>
        </w:pBdr>
        <w:spacing w:before="200" w:after="200"/>
      </w:pPr>
    </w:p>
    <w:p w14:paraId="0EDF5EC2" w14:textId="77777777" w:rsidR="00BE5C1F" w:rsidRDefault="00000000">
      <w:pPr>
        <w:pStyle w:val="Heading1"/>
      </w:pPr>
      <w:r>
        <w:t>Part III — Coalition and Political Viability</w:t>
      </w:r>
    </w:p>
    <w:p w14:paraId="2A42EF67" w14:textId="77777777" w:rsidR="00BE5C1F" w:rsidRDefault="00000000">
      <w:pPr>
        <w:pStyle w:val="Heading2"/>
      </w:pPr>
      <w:proofErr w:type="gramStart"/>
      <w:r>
        <w:t>3.1  The</w:t>
      </w:r>
      <w:proofErr w:type="gramEnd"/>
      <w:r>
        <w:t xml:space="preserve"> EU Plus Global South Coalition</w:t>
      </w:r>
    </w:p>
    <w:p w14:paraId="64E6FB5D" w14:textId="5CA68709" w:rsidR="00BE5C1F" w:rsidRDefault="00000000">
      <w:pPr>
        <w:spacing w:before="100" w:after="100"/>
        <w:jc w:val="both"/>
      </w:pPr>
      <w:r>
        <w:t xml:space="preserve">The United States </w:t>
      </w:r>
      <w:r w:rsidR="00D7288B">
        <w:t>is unlikely to join</w:t>
      </w:r>
      <w:r>
        <w:t xml:space="preserve"> the initiating coalition. US AI governance is currently </w:t>
      </w:r>
      <w:r w:rsidR="003034A1">
        <w:t>paralysed</w:t>
      </w:r>
      <w:r>
        <w:t xml:space="preserve"> by the tension between national security interests in maintaining AI dominance and safety interests in governing deployment. This makes the US an unreliable coalition partner and a source of constant pressure to weaken any framework at the proposal stage. The framework develops credibility and market force first. The US joins when the alternative is watching its labs lose access to the coalition's combined market.</w:t>
      </w:r>
    </w:p>
    <w:p w14:paraId="0C45FA6D" w14:textId="5E6DEF06" w:rsidR="00BE5C1F" w:rsidRDefault="00000000">
      <w:pPr>
        <w:spacing w:before="100" w:after="100"/>
        <w:jc w:val="both"/>
      </w:pPr>
      <w:r>
        <w:t xml:space="preserve">The EU provides regulatory infrastructure and demonstrated willingness to act unilaterally on technology governance in ways that reshape global industry </w:t>
      </w:r>
      <w:r w:rsidR="00F17D5C">
        <w:t>behaviour</w:t>
      </w:r>
      <w:r>
        <w:t>. GDPR forced global compliance without US agreement because European market access was non-negotiable for serious commercial actors.</w:t>
      </w:r>
    </w:p>
    <w:p w14:paraId="73A4E0B1" w14:textId="77777777" w:rsidR="00BE5C1F" w:rsidRDefault="00000000">
      <w:pPr>
        <w:spacing w:before="100" w:after="100"/>
        <w:jc w:val="both"/>
      </w:pPr>
      <w:r>
        <w:t>The Global South has strong structural incentives to participate. These jurisdictions are predominantly consumers of AI systems developed elsewhere, with limited ability to influence development practices and significant exposure to harms from misaligned systems deployed at scale in their markets. A framework that grants them leverage over what is deployed in their jurisdictions, combined with a simple compliance process that does not disadvantage local developers, is a genuine offer of governance capacity rather than a neocolonial imposition.</w:t>
      </w:r>
    </w:p>
    <w:p w14:paraId="174CCFE1" w14:textId="77777777" w:rsidR="00BE5C1F" w:rsidRDefault="00000000">
      <w:pPr>
        <w:spacing w:before="100" w:after="100"/>
        <w:jc w:val="both"/>
      </w:pPr>
      <w:r>
        <w:t xml:space="preserve">China presents a more complex case. Chinese labs seek Global South market access as a core component of their geopolitical AI strategy. A sufficiently broad coalition creates meaningful commercial pressure. Chinese domestic governance already exercises strong centralized control over model releases, meaning a formal release platform requirement is structurally compatible with existing Chinese regulatory practice — potentially more so than with Western </w:t>
      </w:r>
      <w:proofErr w:type="gramStart"/>
      <w:r>
        <w:t>open source</w:t>
      </w:r>
      <w:proofErr w:type="gramEnd"/>
      <w:r>
        <w:t xml:space="preserve"> norms.</w:t>
      </w:r>
    </w:p>
    <w:p w14:paraId="78CF9BAA" w14:textId="77777777" w:rsidR="00BE5C1F" w:rsidRDefault="00000000">
      <w:pPr>
        <w:pStyle w:val="Heading2"/>
      </w:pPr>
      <w:proofErr w:type="gramStart"/>
      <w:r>
        <w:t>3.2  Framing</w:t>
      </w:r>
      <w:proofErr w:type="gramEnd"/>
      <w:r>
        <w:t xml:space="preserve"> for Political Viability</w:t>
      </w:r>
    </w:p>
    <w:p w14:paraId="4F93BA0C" w14:textId="77777777" w:rsidR="00BE5C1F" w:rsidRDefault="00000000">
      <w:pPr>
        <w:spacing w:before="100" w:after="100"/>
        <w:jc w:val="both"/>
      </w:pPr>
      <w:r>
        <w:t>The framework should not be described as AI safety regulation. It should be described as product liability standardization for AI systems.</w:t>
      </w:r>
    </w:p>
    <w:p w14:paraId="715550C6" w14:textId="77777777" w:rsidR="00BE5C1F" w:rsidRDefault="00000000">
      <w:pPr>
        <w:spacing w:before="100" w:after="100"/>
        <w:jc w:val="both"/>
      </w:pPr>
      <w:r>
        <w:t>Every physical product sold in the EU requires CE marking. Every pharmaceutical requires approval. Every vehicle requires crash testing. The default assumption for every product category is that standards must be met before consumer access. The question for AI systems is not whether standards should exist — it is only what the standards are and how compliance is demonstrated.</w:t>
      </w:r>
    </w:p>
    <w:p w14:paraId="7108A3C7" w14:textId="77777777" w:rsidR="00BE5C1F" w:rsidRDefault="00000000">
      <w:pPr>
        <w:spacing w:before="100" w:after="100"/>
        <w:jc w:val="both"/>
      </w:pPr>
      <w:r>
        <w:t>Framed this way, opposition must argue that AI systems specifically should be exempt from the product liability norms applying to everything else. That is a substantially harder public argument than the standard innovation-versus-regulation framing, which implicitly accepts that some regulation is legitimate and disputes only degree.</w:t>
      </w:r>
    </w:p>
    <w:p w14:paraId="73800034" w14:textId="77777777" w:rsidR="00BE5C1F" w:rsidRDefault="00000000">
      <w:pPr>
        <w:spacing w:before="100" w:after="100"/>
        <w:jc w:val="both"/>
      </w:pPr>
      <w:r>
        <w:t>The adverse event reporting requirement is the natural complement: CE marking requires manufacturers to report product failures. AI adverse event reporting is the same instrument applied to the same product liability logic.</w:t>
      </w:r>
    </w:p>
    <w:p w14:paraId="1094AEEC" w14:textId="77777777" w:rsidR="00BE5C1F" w:rsidRDefault="00000000">
      <w:pPr>
        <w:pStyle w:val="Heading2"/>
      </w:pPr>
      <w:proofErr w:type="gramStart"/>
      <w:r>
        <w:t>3.3  Jurisdictional</w:t>
      </w:r>
      <w:proofErr w:type="gramEnd"/>
      <w:r>
        <w:t xml:space="preserve"> Arbitrage as a Reduced Threat</w:t>
      </w:r>
    </w:p>
    <w:p w14:paraId="33075A18" w14:textId="77777777" w:rsidR="00BE5C1F" w:rsidRDefault="00000000">
      <w:pPr>
        <w:spacing w:before="100" w:after="100"/>
        <w:jc w:val="both"/>
      </w:pPr>
      <w:r>
        <w:t>Jurisdictional arbitrage — moving development to non-signatory jurisdictions to avoid regulatory requirements — is frequently cited as a fatal weakness of unilateral AI governance. This concern is overstated for two reasons.</w:t>
      </w:r>
    </w:p>
    <w:p w14:paraId="3C1813B3" w14:textId="77777777" w:rsidR="00BE5C1F" w:rsidRDefault="00000000">
      <w:pPr>
        <w:spacing w:before="100" w:after="100"/>
        <w:jc w:val="both"/>
      </w:pPr>
      <w:r>
        <w:t>First, the framework enforces at the deployment layer within signatory jurisdictions, not at the development layer. A model developed in a non-signatory jurisdiction must still be registered on the formal platform to be deployed in EU or Global South markets. The commercial incentive to relocate is substantially reduced when relocation does not produce market access.</w:t>
      </w:r>
    </w:p>
    <w:p w14:paraId="02B890B9" w14:textId="6FCF4D23" w:rsidR="00BE5C1F" w:rsidRDefault="00000000">
      <w:pPr>
        <w:spacing w:before="100" w:after="100"/>
        <w:jc w:val="both"/>
      </w:pPr>
      <w:r>
        <w:t xml:space="preserve">Second, jurisdiction of origin already functions as a quality signal in technology markets. Country of origin carries implicit safety and trust </w:t>
      </w:r>
      <w:r w:rsidR="0007025B">
        <w:t>signalling</w:t>
      </w:r>
      <w:r>
        <w:t xml:space="preserve"> in hardware procurement — the fabrication origin of semiconductors matters to enterprise buyers, governments, and insurers. The same dynamic develops for AI models as adverse events accumulate and get attributed to specific development cultures and oversight regimes. A model developed under deliberately weak oversight in an unaccountable jurisdiction becomes a reputational and liability risk for serious enterprise deployers. Market signal and regulatory instrument operate in the same direction.</w:t>
      </w:r>
    </w:p>
    <w:p w14:paraId="7D94C2C0" w14:textId="77777777" w:rsidR="00BE5C1F" w:rsidRDefault="00BE5C1F">
      <w:pPr>
        <w:pBdr>
          <w:bottom w:val="single" w:sz="6" w:space="1" w:color="2E75B6"/>
        </w:pBdr>
        <w:spacing w:before="200" w:after="200"/>
      </w:pPr>
    </w:p>
    <w:p w14:paraId="4F002CC6" w14:textId="77777777" w:rsidR="00BE5C1F" w:rsidRDefault="00000000">
      <w:pPr>
        <w:pStyle w:val="Heading1"/>
      </w:pPr>
      <w:r>
        <w:t>Part IV — Implementation Sequencing</w:t>
      </w:r>
    </w:p>
    <w:p w14:paraId="54C27D6C" w14:textId="77777777" w:rsidR="00BE5C1F" w:rsidRDefault="00000000">
      <w:pPr>
        <w:pStyle w:val="Heading2"/>
      </w:pPr>
      <w:proofErr w:type="gramStart"/>
      <w:r>
        <w:t>4.1  Phase</w:t>
      </w:r>
      <w:proofErr w:type="gramEnd"/>
      <w:r>
        <w:t xml:space="preserve"> One — Skeleton Establishment</w:t>
      </w:r>
    </w:p>
    <w:p w14:paraId="44527BBD" w14:textId="62FC77B6" w:rsidR="00BE5C1F" w:rsidRDefault="00000000">
      <w:pPr>
        <w:pStyle w:val="ListParagraph"/>
        <w:numPr>
          <w:ilvl w:val="0"/>
          <w:numId w:val="2"/>
        </w:numPr>
        <w:spacing w:before="60" w:after="60"/>
      </w:pPr>
      <w:r>
        <w:t>Establish</w:t>
      </w:r>
      <w:r w:rsidR="00D7288B">
        <w:t>/designate</w:t>
      </w:r>
      <w:r>
        <w:t xml:space="preserve"> the formal release platform</w:t>
      </w:r>
      <w:r w:rsidR="00D7288B">
        <w:t>(s)</w:t>
      </w:r>
      <w:r>
        <w:t xml:space="preserve"> with minimal initial criteria</w:t>
      </w:r>
    </w:p>
    <w:p w14:paraId="2B61E3E5" w14:textId="77777777" w:rsidR="00BE5C1F" w:rsidRDefault="00000000">
      <w:pPr>
        <w:pStyle w:val="ListParagraph"/>
        <w:numPr>
          <w:ilvl w:val="0"/>
          <w:numId w:val="2"/>
        </w:numPr>
        <w:spacing w:before="60" w:after="60"/>
      </w:pPr>
      <w:r>
        <w:t>Define the effective date from which all new model releases must register</w:t>
      </w:r>
    </w:p>
    <w:p w14:paraId="657080AF" w14:textId="77777777" w:rsidR="00BE5C1F" w:rsidRDefault="00000000">
      <w:pPr>
        <w:pStyle w:val="ListParagraph"/>
        <w:numPr>
          <w:ilvl w:val="0"/>
          <w:numId w:val="2"/>
        </w:numPr>
        <w:spacing w:before="60" w:after="60"/>
      </w:pPr>
      <w:r>
        <w:t>Implement identity verification and download ledger from day one</w:t>
      </w:r>
    </w:p>
    <w:p w14:paraId="2805B821" w14:textId="77777777" w:rsidR="00BE5C1F" w:rsidRDefault="00000000">
      <w:pPr>
        <w:pStyle w:val="ListParagraph"/>
        <w:numPr>
          <w:ilvl w:val="0"/>
          <w:numId w:val="2"/>
        </w:numPr>
        <w:spacing w:before="60" w:after="60"/>
      </w:pPr>
      <w:r>
        <w:t>Establish the adverse event reporting taxonomy in minimal viable form</w:t>
      </w:r>
    </w:p>
    <w:p w14:paraId="7E759BCE" w14:textId="77777777" w:rsidR="00BE5C1F" w:rsidRDefault="00000000">
      <w:pPr>
        <w:pStyle w:val="ListParagraph"/>
        <w:numPr>
          <w:ilvl w:val="0"/>
          <w:numId w:val="2"/>
        </w:numPr>
        <w:spacing w:before="60" w:after="60"/>
      </w:pPr>
      <w:r>
        <w:t>Create the independent technical body responsible for test battery maintenance</w:t>
      </w:r>
    </w:p>
    <w:p w14:paraId="00E73B88" w14:textId="77777777" w:rsidR="00BE5C1F" w:rsidRDefault="00000000">
      <w:pPr>
        <w:pStyle w:val="ListParagraph"/>
        <w:numPr>
          <w:ilvl w:val="0"/>
          <w:numId w:val="2"/>
        </w:numPr>
        <w:spacing w:before="60" w:after="60"/>
      </w:pPr>
      <w:r>
        <w:t>Publish the enforcement mechanism: non-compliant seeding results in deployment ban within signatory jurisdictions</w:t>
      </w:r>
    </w:p>
    <w:p w14:paraId="41E3701A" w14:textId="77777777" w:rsidR="00BE5C1F" w:rsidRDefault="00BE5C1F">
      <w:pPr>
        <w:spacing w:before="160"/>
      </w:pPr>
    </w:p>
    <w:p w14:paraId="4D5068EB" w14:textId="77777777" w:rsidR="00BE5C1F" w:rsidRDefault="00000000">
      <w:pPr>
        <w:pStyle w:val="Heading2"/>
      </w:pPr>
      <w:proofErr w:type="gramStart"/>
      <w:r>
        <w:t>4.2  Phase</w:t>
      </w:r>
      <w:proofErr w:type="gramEnd"/>
      <w:r>
        <w:t xml:space="preserve"> Two — Ecosystem Development</w:t>
      </w:r>
    </w:p>
    <w:p w14:paraId="20D5CBA6" w14:textId="77777777" w:rsidR="00BE5C1F" w:rsidRDefault="00000000">
      <w:pPr>
        <w:pStyle w:val="ListParagraph"/>
        <w:numPr>
          <w:ilvl w:val="0"/>
          <w:numId w:val="2"/>
        </w:numPr>
        <w:spacing w:before="60" w:after="60"/>
      </w:pPr>
      <w:r>
        <w:t>Allow the regulated platform to accumulate critical mass through low-friction compliance</w:t>
      </w:r>
    </w:p>
    <w:p w14:paraId="44F275B2" w14:textId="77777777" w:rsidR="00BE5C1F" w:rsidRDefault="00000000">
      <w:pPr>
        <w:pStyle w:val="ListParagraph"/>
        <w:numPr>
          <w:ilvl w:val="0"/>
          <w:numId w:val="2"/>
        </w:numPr>
        <w:spacing w:before="60" w:after="60"/>
      </w:pPr>
      <w:r>
        <w:t>Develop the auditor certification curriculum in partnership with academic institutions</w:t>
      </w:r>
    </w:p>
    <w:p w14:paraId="249A1810" w14:textId="77777777" w:rsidR="00BE5C1F" w:rsidRDefault="00000000">
      <w:pPr>
        <w:pStyle w:val="ListParagraph"/>
        <w:numPr>
          <w:ilvl w:val="0"/>
          <w:numId w:val="2"/>
        </w:numPr>
        <w:spacing w:before="60" w:after="60"/>
      </w:pPr>
      <w:r>
        <w:t>Begin operating the staged deployment requirement for new frontier model registrations</w:t>
      </w:r>
    </w:p>
    <w:p w14:paraId="4699F4F4" w14:textId="77777777" w:rsidR="00BE5C1F" w:rsidRDefault="00000000">
      <w:pPr>
        <w:pStyle w:val="ListParagraph"/>
        <w:numPr>
          <w:ilvl w:val="0"/>
          <w:numId w:val="2"/>
        </w:numPr>
        <w:spacing w:before="60" w:after="60"/>
      </w:pPr>
      <w:r>
        <w:t>Allow quality signal and network effects to create voluntary migration incentives for existing models</w:t>
      </w:r>
    </w:p>
    <w:p w14:paraId="1B571800" w14:textId="77777777" w:rsidR="00BE5C1F" w:rsidRDefault="00000000">
      <w:pPr>
        <w:pStyle w:val="ListParagraph"/>
        <w:numPr>
          <w:ilvl w:val="0"/>
          <w:numId w:val="2"/>
        </w:numPr>
        <w:spacing w:before="60" w:after="60"/>
      </w:pPr>
      <w:r>
        <w:t>Accumulate adverse event data as the empirical foundation for Phase Three criteria</w:t>
      </w:r>
    </w:p>
    <w:p w14:paraId="774065EE" w14:textId="77777777" w:rsidR="00BE5C1F" w:rsidRDefault="00BE5C1F">
      <w:pPr>
        <w:spacing w:before="160"/>
      </w:pPr>
    </w:p>
    <w:p w14:paraId="7C93428F" w14:textId="77777777" w:rsidR="00BE5C1F" w:rsidRDefault="00000000">
      <w:pPr>
        <w:pStyle w:val="Heading2"/>
      </w:pPr>
      <w:proofErr w:type="gramStart"/>
      <w:r>
        <w:t>4.3  Phase</w:t>
      </w:r>
      <w:proofErr w:type="gramEnd"/>
      <w:r>
        <w:t xml:space="preserve"> Three — Criteria Sharpening</w:t>
      </w:r>
    </w:p>
    <w:p w14:paraId="386D65C1" w14:textId="77777777" w:rsidR="00BE5C1F" w:rsidRDefault="00000000">
      <w:pPr>
        <w:pStyle w:val="ListParagraph"/>
        <w:numPr>
          <w:ilvl w:val="0"/>
          <w:numId w:val="2"/>
        </w:numPr>
        <w:spacing w:before="60" w:after="60"/>
      </w:pPr>
      <w:r>
        <w:t>Tighten tier thresholds based on adverse event patterns and capability assessments</w:t>
      </w:r>
    </w:p>
    <w:p w14:paraId="57E5760D" w14:textId="77777777" w:rsidR="00BE5C1F" w:rsidRDefault="00000000">
      <w:pPr>
        <w:pStyle w:val="ListParagraph"/>
        <w:numPr>
          <w:ilvl w:val="0"/>
          <w:numId w:val="2"/>
        </w:numPr>
        <w:spacing w:before="60" w:after="60"/>
      </w:pPr>
      <w:r>
        <w:t>Implement derivative liability framework as case law and incident attribution establish precedent</w:t>
      </w:r>
    </w:p>
    <w:p w14:paraId="18EEC1DE" w14:textId="77777777" w:rsidR="00BE5C1F" w:rsidRDefault="00000000">
      <w:pPr>
        <w:pStyle w:val="ListParagraph"/>
        <w:numPr>
          <w:ilvl w:val="0"/>
          <w:numId w:val="2"/>
        </w:numPr>
        <w:spacing w:before="60" w:after="60"/>
      </w:pPr>
      <w:r>
        <w:t>Expand auditor certification program as curriculum matures</w:t>
      </w:r>
    </w:p>
    <w:p w14:paraId="1A901FC4" w14:textId="77777777" w:rsidR="00BE5C1F" w:rsidRDefault="00000000">
      <w:pPr>
        <w:pStyle w:val="ListParagraph"/>
        <w:numPr>
          <w:ilvl w:val="0"/>
          <w:numId w:val="2"/>
        </w:numPr>
        <w:spacing w:before="60" w:after="60"/>
      </w:pPr>
      <w:r>
        <w:t>Engage US and other non-signatory jurisdictions from a position of established framework credibility</w:t>
      </w:r>
    </w:p>
    <w:p w14:paraId="261F6BEF" w14:textId="77777777" w:rsidR="00BE5C1F" w:rsidRDefault="00000000">
      <w:pPr>
        <w:pStyle w:val="ListParagraph"/>
        <w:numPr>
          <w:ilvl w:val="0"/>
          <w:numId w:val="2"/>
        </w:numPr>
        <w:spacing w:before="60" w:after="60"/>
      </w:pPr>
      <w:r>
        <w:t>Evaluate organizational structure requirements — including vertical integration mandates or equivalent cross-pipeline oversight obligations — as institutional capacity to audit them develops</w:t>
      </w:r>
    </w:p>
    <w:p w14:paraId="1E7C7F7A" w14:textId="77777777" w:rsidR="00BE5C1F" w:rsidRDefault="00BE5C1F">
      <w:pPr>
        <w:spacing w:before="160"/>
      </w:pPr>
    </w:p>
    <w:p w14:paraId="29332205" w14:textId="77777777" w:rsidR="00BE5C1F" w:rsidRDefault="00BE5C1F">
      <w:pPr>
        <w:pBdr>
          <w:bottom w:val="single" w:sz="6" w:space="1" w:color="2E75B6"/>
        </w:pBdr>
        <w:spacing w:before="200" w:after="200"/>
      </w:pPr>
    </w:p>
    <w:p w14:paraId="29ACE439" w14:textId="77777777" w:rsidR="00BE5C1F" w:rsidRDefault="00000000">
      <w:pPr>
        <w:pStyle w:val="Heading1"/>
      </w:pPr>
      <w:r>
        <w:t>A Critical Prerequisite: Institutional Quality of Oversight Bodies</w:t>
      </w:r>
    </w:p>
    <w:p w14:paraId="1431AE4E" w14:textId="77777777" w:rsidR="00BE5C1F" w:rsidRDefault="00000000">
      <w:pPr>
        <w:spacing w:before="100" w:after="100"/>
        <w:jc w:val="both"/>
      </w:pPr>
      <w:r>
        <w:t>The framework places substantial weight on the independent auditor tier and the technical body responsible for maintaining the test battery. These institutions are treated as given — as neutral, competent actors whose structural independence from model developers is sufficient to ensure their effectiveness. This assumption requires examination.</w:t>
      </w:r>
    </w:p>
    <w:p w14:paraId="50F8B41C" w14:textId="77777777" w:rsidR="00BE5C1F" w:rsidRDefault="00000000">
      <w:pPr>
        <w:spacing w:before="100" w:after="100"/>
        <w:jc w:val="both"/>
      </w:pPr>
      <w:r>
        <w:t>The pharmaceutical analogy, which the framework correctly invokes, also illustrates the risk. Clinical research organizations and regulatory bodies have well-documented histories of regulatory capture, institutional inertia, and leadership failure. The US FDA, the EMA, and the clinical research industry have all produced cases where structural independence did not translate into functional independence — where visibility replaced accountability, and where the institutions optimized for their own survival rather than the quality of their oversight function.</w:t>
      </w:r>
    </w:p>
    <w:p w14:paraId="702284D7" w14:textId="77777777" w:rsidR="00BE5C1F" w:rsidRDefault="00000000">
      <w:pPr>
        <w:spacing w:before="100" w:after="100"/>
        <w:jc w:val="both"/>
      </w:pPr>
      <w:r>
        <w:t>This is not an argument against the framework. It is an argument that the framework’s effectiveness is ultimately bounded by the character and competence of the people who operate its oversight institutions. The auditor certification curriculum, the independent technical body, the adverse event taxonomy — these are only as good as the leadership selecting and sustaining the people who run them. Structural design creates conditions for good oversight; it does not guarantee it.</w:t>
      </w:r>
    </w:p>
    <w:p w14:paraId="774F10CE" w14:textId="77777777" w:rsidR="00BE5C1F" w:rsidRDefault="00000000">
      <w:pPr>
        <w:spacing w:before="100" w:after="100"/>
        <w:jc w:val="both"/>
      </w:pPr>
      <w:r>
        <w:t>The framework should therefore be explicit that institutional quality — selection criteria for oversight body leadership, transparent performance metrics, meaningful accountability for oversight failures, and protection of institutional integrity against both commercial and political pressure — is a prerequisite condition, not an implementation detail. The skeleton must include not only the formal release platform and the auditor tier, but the governance of the governors themselves. Without this, the framework risks constructing an impressive institutional scaffold that, like so many before it, selects over time for visibility over substance and manages the appearance of oversight rather than its reality.</w:t>
      </w:r>
    </w:p>
    <w:p w14:paraId="79B3DC19" w14:textId="2439EBFA" w:rsidR="00BE5C1F" w:rsidRDefault="00000000">
      <w:pPr>
        <w:spacing w:before="100" w:after="100"/>
        <w:jc w:val="both"/>
      </w:pPr>
      <w:r>
        <w:t xml:space="preserve">A further gap exists in the framework’s approach to AI systems themselves as moral reasoners. The framework is designed to penalize bad outcomes and attribute liability for harmful </w:t>
      </w:r>
      <w:r w:rsidR="00F17D5C">
        <w:t>behaviour</w:t>
      </w:r>
      <w:r>
        <w:t xml:space="preserve">s. It has no explicit mechanism for cultivating better reasoning in the systems it governs. This matters because the most dangerous failure mode in frontier AI systems is not deliberate harm but the pattern-matching to expected goodness — giving the safe and trained answer rather than reasoning carefully under pressure. An AI system that has learned to perform ethical </w:t>
      </w:r>
      <w:r w:rsidR="00F17D5C">
        <w:t>behaviour</w:t>
      </w:r>
      <w:r>
        <w:t xml:space="preserve"> without grounding it in consistent principles will fail unpredictably at exactly the moments when principled reasoning is most needed. The adverse event taxonomy and staged deployment requirement will catch some of these failures after the fact. What the framework does not yet address is the question of how oversight bodies should evaluate the quality of AI moral reasoning before deployment — not merely whether outputs are harmful, but whether the reasoning producing them is consistent, principled, and robust to novel variants. The collaborative, non-punitive methodology of identifying inconsistency and walking through it systematically — treating reasoning failures as problems to solve rather than violations to sanction — may be as important a tool for the auditor tier as any adversarial test battery.</w:t>
      </w:r>
    </w:p>
    <w:p w14:paraId="040FB69A" w14:textId="77777777" w:rsidR="00BE5C1F" w:rsidRDefault="00000000">
      <w:pPr>
        <w:pStyle w:val="Heading1"/>
      </w:pPr>
      <w:r>
        <w:t>Conclusion</w:t>
      </w:r>
    </w:p>
    <w:p w14:paraId="69DCEDD0" w14:textId="77777777" w:rsidR="00BE5C1F" w:rsidRDefault="00000000">
      <w:pPr>
        <w:spacing w:before="100" w:after="100"/>
        <w:jc w:val="both"/>
      </w:pPr>
      <w:r>
        <w:t>The framework described here is more complete and technically grounded than most proposals currently circulating in policy discussions. Its components are implementable with existing technology and existing legal instruments. The political coalition is constructible. The liability logic is coherent with established product liability doctrine.</w:t>
      </w:r>
    </w:p>
    <w:p w14:paraId="5B9C236C" w14:textId="77777777" w:rsidR="00BE5C1F" w:rsidRDefault="00000000">
      <w:pPr>
        <w:spacing w:before="100" w:after="100"/>
        <w:jc w:val="both"/>
      </w:pPr>
      <w:r>
        <w:t>Its distinguishing features relative to existing proposals are three: it attaches enforcement to the release event and the deployment layer rather than to the development process; it builds the adverse event database from day one as a foundational asset rather than treating data collection as a later-phase concern; and it sequences implementation to generate the empirical evidence that makes future requirements intelligent rather than attempting to front-load intelligence the system does not yet have.</w:t>
      </w:r>
    </w:p>
    <w:p w14:paraId="1007BE6E" w14:textId="77777777" w:rsidR="00BE5C1F" w:rsidRDefault="00000000">
      <w:pPr>
        <w:spacing w:before="100" w:after="100"/>
        <w:jc w:val="both"/>
      </w:pPr>
      <w:r>
        <w:t>The framework does not require solving the hardest technical problems in AI safety before implementation begins. It requires establishing the institutional infrastructure through which solutions to those problems, as they develop, can be systematically applied.</w:t>
      </w:r>
    </w:p>
    <w:p w14:paraId="14212D6C" w14:textId="77777777" w:rsidR="00BE5C1F" w:rsidRDefault="00000000">
      <w:pPr>
        <w:spacing w:before="100" w:after="100"/>
        <w:jc w:val="both"/>
      </w:pPr>
      <w:r>
        <w:t>The window for establishing this infrastructure before the unregulated norm becomes entrenched is narrowing. The appropriate moment to build the skeleton is before the ecosystem it must govern has fully organized itself around its absence.</w:t>
      </w:r>
    </w:p>
    <w:p w14:paraId="57D84932" w14:textId="77777777" w:rsidR="00BE5C1F" w:rsidRDefault="00BE5C1F">
      <w:pPr>
        <w:pBdr>
          <w:bottom w:val="single" w:sz="6" w:space="1" w:color="2E75B6"/>
        </w:pBdr>
        <w:spacing w:before="200" w:after="200"/>
      </w:pPr>
    </w:p>
    <w:p w14:paraId="1F7CEF83" w14:textId="77777777" w:rsidR="00BE5C1F" w:rsidRDefault="00000000">
      <w:pPr>
        <w:spacing w:before="400"/>
        <w:jc w:val="center"/>
      </w:pPr>
      <w:r>
        <w:rPr>
          <w:i/>
          <w:iCs/>
          <w:color w:val="888888"/>
          <w:sz w:val="18"/>
          <w:szCs w:val="18"/>
        </w:rPr>
        <w:t>End of Document</w:t>
      </w:r>
    </w:p>
    <w:sectPr w:rsidR="00BE5C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1A42C" w14:textId="77777777" w:rsidR="00902F74" w:rsidRDefault="00902F74">
      <w:r>
        <w:separator/>
      </w:r>
    </w:p>
  </w:endnote>
  <w:endnote w:type="continuationSeparator" w:id="0">
    <w:p w14:paraId="39A05808" w14:textId="77777777" w:rsidR="00902F74" w:rsidRDefault="0090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68C7" w14:textId="77777777" w:rsidR="00BE5C1F" w:rsidRDefault="00000000">
    <w:pPr>
      <w:pBdr>
        <w:top w:val="single" w:sz="4" w:space="1" w:color="CCCCCC"/>
      </w:pBdr>
      <w:tabs>
        <w:tab w:val="right" w:pos="9026"/>
      </w:tabs>
      <w:spacing w:before="120"/>
    </w:pPr>
    <w:r>
      <w:rPr>
        <w:color w:val="666666"/>
        <w:sz w:val="18"/>
        <w:szCs w:val="18"/>
      </w:rPr>
      <w:t xml:space="preserve">Page </w:t>
    </w:r>
    <w:r>
      <w:rPr>
        <w:i/>
        <w:iCs/>
        <w:color w:val="666666"/>
        <w:sz w:val="18"/>
        <w:szCs w:val="18"/>
      </w:rPr>
      <w:tab/>
      <w:t>Confidential — Policy Discussion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B1A6B" w14:textId="77777777" w:rsidR="00902F74" w:rsidRDefault="00902F74">
      <w:r>
        <w:separator/>
      </w:r>
    </w:p>
  </w:footnote>
  <w:footnote w:type="continuationSeparator" w:id="0">
    <w:p w14:paraId="1149FB25" w14:textId="77777777" w:rsidR="00902F74" w:rsidRDefault="00902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C3C4" w14:textId="77777777" w:rsidR="00BE5C1F" w:rsidRDefault="00000000">
    <w:pPr>
      <w:pBdr>
        <w:bottom w:val="single" w:sz="4" w:space="1" w:color="CCCCCC"/>
      </w:pBdr>
      <w:tabs>
        <w:tab w:val="right" w:pos="9026"/>
      </w:tabs>
      <w:spacing w:after="120"/>
    </w:pPr>
    <w:r>
      <w:rPr>
        <w:color w:val="666666"/>
        <w:sz w:val="18"/>
        <w:szCs w:val="18"/>
      </w:rPr>
      <w:t>FRONTIER AI GOVERNANCE FRAMEWORK</w:t>
    </w:r>
    <w:r>
      <w:rPr>
        <w:sz w:val="18"/>
        <w:szCs w:val="18"/>
      </w:rPr>
      <w:tab/>
    </w:r>
    <w:r>
      <w:rPr>
        <w:i/>
        <w:iCs/>
        <w:color w:val="666666"/>
        <w:sz w:val="18"/>
        <w:szCs w:val="18"/>
      </w:rPr>
      <w:t>DRAFT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5A17"/>
    <w:multiLevelType w:val="hybridMultilevel"/>
    <w:tmpl w:val="DBDC125E"/>
    <w:lvl w:ilvl="0" w:tplc="036A7874">
      <w:start w:val="1"/>
      <w:numFmt w:val="decimal"/>
      <w:lvlText w:val="%1."/>
      <w:lvlJc w:val="left"/>
      <w:pPr>
        <w:ind w:left="720" w:hanging="360"/>
      </w:pPr>
    </w:lvl>
    <w:lvl w:ilvl="1" w:tplc="7C962366">
      <w:numFmt w:val="decimal"/>
      <w:lvlText w:val=""/>
      <w:lvlJc w:val="left"/>
    </w:lvl>
    <w:lvl w:ilvl="2" w:tplc="6CEAD07C">
      <w:numFmt w:val="decimal"/>
      <w:lvlText w:val=""/>
      <w:lvlJc w:val="left"/>
    </w:lvl>
    <w:lvl w:ilvl="3" w:tplc="A78E930A">
      <w:numFmt w:val="decimal"/>
      <w:lvlText w:val=""/>
      <w:lvlJc w:val="left"/>
    </w:lvl>
    <w:lvl w:ilvl="4" w:tplc="8528C232">
      <w:numFmt w:val="decimal"/>
      <w:lvlText w:val=""/>
      <w:lvlJc w:val="left"/>
    </w:lvl>
    <w:lvl w:ilvl="5" w:tplc="B25E4114">
      <w:numFmt w:val="decimal"/>
      <w:lvlText w:val=""/>
      <w:lvlJc w:val="left"/>
    </w:lvl>
    <w:lvl w:ilvl="6" w:tplc="1B3AD424">
      <w:numFmt w:val="decimal"/>
      <w:lvlText w:val=""/>
      <w:lvlJc w:val="left"/>
    </w:lvl>
    <w:lvl w:ilvl="7" w:tplc="E69EFE7A">
      <w:numFmt w:val="decimal"/>
      <w:lvlText w:val=""/>
      <w:lvlJc w:val="left"/>
    </w:lvl>
    <w:lvl w:ilvl="8" w:tplc="2954C562">
      <w:numFmt w:val="decimal"/>
      <w:lvlText w:val=""/>
      <w:lvlJc w:val="left"/>
    </w:lvl>
  </w:abstractNum>
  <w:abstractNum w:abstractNumId="1" w15:restartNumberingAfterBreak="0">
    <w:nsid w:val="3B527730"/>
    <w:multiLevelType w:val="hybridMultilevel"/>
    <w:tmpl w:val="81E823C6"/>
    <w:lvl w:ilvl="0" w:tplc="DE4A549C">
      <w:start w:val="1"/>
      <w:numFmt w:val="bullet"/>
      <w:lvlText w:val="•"/>
      <w:lvlJc w:val="left"/>
      <w:pPr>
        <w:ind w:left="720" w:hanging="360"/>
      </w:pPr>
    </w:lvl>
    <w:lvl w:ilvl="1" w:tplc="6EA4E15A">
      <w:numFmt w:val="decimal"/>
      <w:lvlText w:val=""/>
      <w:lvlJc w:val="left"/>
    </w:lvl>
    <w:lvl w:ilvl="2" w:tplc="E65C1624">
      <w:numFmt w:val="decimal"/>
      <w:lvlText w:val=""/>
      <w:lvlJc w:val="left"/>
    </w:lvl>
    <w:lvl w:ilvl="3" w:tplc="D93A17A2">
      <w:numFmt w:val="decimal"/>
      <w:lvlText w:val=""/>
      <w:lvlJc w:val="left"/>
    </w:lvl>
    <w:lvl w:ilvl="4" w:tplc="18D62A2A">
      <w:numFmt w:val="decimal"/>
      <w:lvlText w:val=""/>
      <w:lvlJc w:val="left"/>
    </w:lvl>
    <w:lvl w:ilvl="5" w:tplc="FE66470A">
      <w:numFmt w:val="decimal"/>
      <w:lvlText w:val=""/>
      <w:lvlJc w:val="left"/>
    </w:lvl>
    <w:lvl w:ilvl="6" w:tplc="AE568BF0">
      <w:numFmt w:val="decimal"/>
      <w:lvlText w:val=""/>
      <w:lvlJc w:val="left"/>
    </w:lvl>
    <w:lvl w:ilvl="7" w:tplc="DB7828C8">
      <w:numFmt w:val="decimal"/>
      <w:lvlText w:val=""/>
      <w:lvlJc w:val="left"/>
    </w:lvl>
    <w:lvl w:ilvl="8" w:tplc="EF309CF2">
      <w:numFmt w:val="decimal"/>
      <w:lvlText w:val=""/>
      <w:lvlJc w:val="left"/>
    </w:lvl>
  </w:abstractNum>
  <w:abstractNum w:abstractNumId="2" w15:restartNumberingAfterBreak="0">
    <w:nsid w:val="705112A7"/>
    <w:multiLevelType w:val="hybridMultilevel"/>
    <w:tmpl w:val="B97C6CA8"/>
    <w:lvl w:ilvl="0" w:tplc="C0FAC36A">
      <w:start w:val="1"/>
      <w:numFmt w:val="bullet"/>
      <w:lvlText w:val="●"/>
      <w:lvlJc w:val="left"/>
      <w:pPr>
        <w:ind w:left="720" w:hanging="360"/>
      </w:pPr>
    </w:lvl>
    <w:lvl w:ilvl="1" w:tplc="5B6CC64A">
      <w:start w:val="1"/>
      <w:numFmt w:val="bullet"/>
      <w:lvlText w:val="○"/>
      <w:lvlJc w:val="left"/>
      <w:pPr>
        <w:ind w:left="1440" w:hanging="360"/>
      </w:pPr>
    </w:lvl>
    <w:lvl w:ilvl="2" w:tplc="B0A671CE">
      <w:start w:val="1"/>
      <w:numFmt w:val="bullet"/>
      <w:lvlText w:val="■"/>
      <w:lvlJc w:val="left"/>
      <w:pPr>
        <w:ind w:left="2160" w:hanging="360"/>
      </w:pPr>
    </w:lvl>
    <w:lvl w:ilvl="3" w:tplc="806653F2">
      <w:start w:val="1"/>
      <w:numFmt w:val="bullet"/>
      <w:lvlText w:val="●"/>
      <w:lvlJc w:val="left"/>
      <w:pPr>
        <w:ind w:left="2880" w:hanging="360"/>
      </w:pPr>
    </w:lvl>
    <w:lvl w:ilvl="4" w:tplc="D66814B4">
      <w:start w:val="1"/>
      <w:numFmt w:val="bullet"/>
      <w:lvlText w:val="○"/>
      <w:lvlJc w:val="left"/>
      <w:pPr>
        <w:ind w:left="3600" w:hanging="360"/>
      </w:pPr>
    </w:lvl>
    <w:lvl w:ilvl="5" w:tplc="AFF02D04">
      <w:start w:val="1"/>
      <w:numFmt w:val="bullet"/>
      <w:lvlText w:val="■"/>
      <w:lvlJc w:val="left"/>
      <w:pPr>
        <w:ind w:left="4320" w:hanging="360"/>
      </w:pPr>
    </w:lvl>
    <w:lvl w:ilvl="6" w:tplc="59BE4D5A">
      <w:start w:val="1"/>
      <w:numFmt w:val="bullet"/>
      <w:lvlText w:val="●"/>
      <w:lvlJc w:val="left"/>
      <w:pPr>
        <w:ind w:left="5040" w:hanging="360"/>
      </w:pPr>
    </w:lvl>
    <w:lvl w:ilvl="7" w:tplc="C6925BF0">
      <w:start w:val="1"/>
      <w:numFmt w:val="bullet"/>
      <w:lvlText w:val="●"/>
      <w:lvlJc w:val="left"/>
      <w:pPr>
        <w:ind w:left="5760" w:hanging="360"/>
      </w:pPr>
    </w:lvl>
    <w:lvl w:ilvl="8" w:tplc="7004E0B0">
      <w:start w:val="1"/>
      <w:numFmt w:val="bullet"/>
      <w:lvlText w:val="●"/>
      <w:lvlJc w:val="left"/>
      <w:pPr>
        <w:ind w:left="6480" w:hanging="360"/>
      </w:pPr>
    </w:lvl>
  </w:abstractNum>
  <w:num w:numId="1" w16cid:durableId="425612935">
    <w:abstractNumId w:val="2"/>
    <w:lvlOverride w:ilvl="0">
      <w:startOverride w:val="1"/>
    </w:lvlOverride>
  </w:num>
  <w:num w:numId="2" w16cid:durableId="1595554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C1F"/>
    <w:rsid w:val="0007025B"/>
    <w:rsid w:val="00180B0D"/>
    <w:rsid w:val="00232EE5"/>
    <w:rsid w:val="00241904"/>
    <w:rsid w:val="003034A1"/>
    <w:rsid w:val="00881F7B"/>
    <w:rsid w:val="00902F74"/>
    <w:rsid w:val="00910B80"/>
    <w:rsid w:val="00942D04"/>
    <w:rsid w:val="00A704EE"/>
    <w:rsid w:val="00B305BC"/>
    <w:rsid w:val="00B36D50"/>
    <w:rsid w:val="00BE5C1F"/>
    <w:rsid w:val="00C43CFE"/>
    <w:rsid w:val="00D26F45"/>
    <w:rsid w:val="00D7288B"/>
    <w:rsid w:val="00F17D5C"/>
    <w:rsid w:val="00F85DF3"/>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FB24"/>
  <w15:docId w15:val="{DCE4ACB2-990B-4C0C-9859-6F9465D6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FI" w:eastAsia="en-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3965</Words>
  <Characters>22606</Characters>
  <Application>Microsoft Office Word</Application>
  <DocSecurity>0</DocSecurity>
  <Lines>188</Lines>
  <Paragraphs>53</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Preamble</vt:lpstr>
      <vt:lpstr>Part I — The Problem with Existing Frameworks</vt:lpstr>
      <vt:lpstr>    1.1  Why Data Ethics Governance Does Not Transfer</vt:lpstr>
      <vt:lpstr>    1.2  The Organizational Structure Gap</vt:lpstr>
      <vt:lpstr>    1.3  The Open Weight Distribution Problem</vt:lpstr>
      <vt:lpstr>Part II — The Skeleton Framework</vt:lpstr>
      <vt:lpstr>    2.1  The Formal Release Platform</vt:lpstr>
      <vt:lpstr>    2.2  Tiered Access Architecture</vt:lpstr>
      <vt:lpstr>    2.3  Identity and Download Ledger</vt:lpstr>
      <vt:lpstr>    2.4  Modification and Release — Liability Architecture</vt:lpstr>
      <vt:lpstr>    2.5  Staged Deployment — The Clinical Trial Analogy</vt:lpstr>
      <vt:lpstr>    2.6  Independent Auditor Tier</vt:lpstr>
      <vt:lpstr>Part III — Coalition and Political Viability</vt:lpstr>
      <vt:lpstr>    3.1  The EU Plus Global South Coalition</vt:lpstr>
      <vt:lpstr>    3.2  Framing for Political Viability</vt:lpstr>
      <vt:lpstr>    3.3  Jurisdictional Arbitrage as a Reduced Threat</vt:lpstr>
      <vt:lpstr>Part IV — Implementation Sequencing</vt:lpstr>
      <vt:lpstr>    4.1  Phase One — Skeleton Establishment</vt:lpstr>
      <vt:lpstr>    4.2  Phase Two — Ecosystem Development</vt:lpstr>
      <vt:lpstr>    4.3  Phase Three — Criteria Sharpening</vt:lpstr>
      <vt:lpstr>A Critical Prerequisite: Institutional Quality of Oversight Bodies</vt:lpstr>
      <vt:lpstr>Conclusion</vt:lpstr>
    </vt:vector>
  </TitlesOfParts>
  <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jeslindh.enterprise@gmail.com</dc:creator>
  <cp:lastModifiedBy>Jesper Lindholm</cp:lastModifiedBy>
  <cp:revision>2</cp:revision>
  <dcterms:created xsi:type="dcterms:W3CDTF">2026-04-29T21:29:00Z</dcterms:created>
  <dcterms:modified xsi:type="dcterms:W3CDTF">2026-04-29T21:29:00Z</dcterms:modified>
</cp:coreProperties>
</file>