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E3155" w14:textId="77777777" w:rsidR="00BE5C1F" w:rsidRDefault="00000000">
      <w:pPr>
        <w:spacing w:before="400" w:after="160"/>
      </w:pPr>
      <w:r>
        <w:rPr>
          <w:b/>
          <w:bCs/>
          <w:color w:val="1F3864"/>
          <w:sz w:val="56"/>
          <w:szCs w:val="56"/>
        </w:rPr>
        <w:t>Frontier AI Governance Framework</w:t>
      </w:r>
    </w:p>
    <w:p w14:paraId="2AE788BC" w14:textId="77777777" w:rsidR="00BE5C1F" w:rsidRDefault="00000000">
      <w:pPr>
        <w:spacing w:after="120"/>
      </w:pPr>
      <w:r>
        <w:rPr>
          <w:i/>
          <w:iCs/>
          <w:color w:val="2E75B6"/>
          <w:sz w:val="28"/>
          <w:szCs w:val="28"/>
        </w:rPr>
        <w:t>A Skeleton Policy Architecture for International Adoption</w:t>
      </w:r>
    </w:p>
    <w:p w14:paraId="4E75D06D" w14:textId="25C17034" w:rsidR="006564C7" w:rsidRPr="006564C7" w:rsidRDefault="00000000" w:rsidP="006564C7">
      <w:pPr>
        <w:spacing w:after="100" w:afterAutospacing="1"/>
        <w:contextualSpacing/>
        <w:rPr>
          <w:i/>
          <w:iCs/>
          <w:color w:val="888888"/>
          <w:sz w:val="20"/>
          <w:szCs w:val="20"/>
          <w:lang w:val="en-FI"/>
        </w:rPr>
      </w:pPr>
      <w:r>
        <w:rPr>
          <w:color w:val="888888"/>
          <w:sz w:val="20"/>
          <w:szCs w:val="20"/>
        </w:rPr>
        <w:t>April 2026 | Submission to UN Global Dialogue on AI Governance</w:t>
      </w:r>
      <w:r>
        <w:rPr>
          <w:color w:val="888888"/>
          <w:sz w:val="20"/>
          <w:szCs w:val="20"/>
        </w:rPr>
        <w:br/>
      </w:r>
      <w:r>
        <w:rPr>
          <w:color w:val="888888"/>
          <w:sz w:val="20"/>
          <w:szCs w:val="20"/>
        </w:rPr>
        <w:br/>
      </w:r>
      <w:r w:rsidR="006564C7" w:rsidRPr="006564C7">
        <w:rPr>
          <w:i/>
          <w:iCs/>
          <w:color w:val="888888"/>
          <w:sz w:val="20"/>
          <w:szCs w:val="20"/>
          <w:lang w:val="en-FI"/>
        </w:rPr>
        <w:t>Drafted by Jesper Lindholm,</w:t>
      </w:r>
      <w:r w:rsidR="0024445D">
        <w:rPr>
          <w:i/>
          <w:iCs/>
          <w:color w:val="888888"/>
          <w:sz w:val="20"/>
          <w:szCs w:val="20"/>
          <w:lang w:val="en-FI"/>
        </w:rPr>
        <w:t xml:space="preserve"> </w:t>
      </w:r>
      <w:proofErr w:type="spellStart"/>
      <w:r w:rsidR="0024445D">
        <w:rPr>
          <w:i/>
          <w:iCs/>
          <w:color w:val="888888"/>
          <w:sz w:val="20"/>
          <w:szCs w:val="20"/>
          <w:lang w:val="en-FI"/>
        </w:rPr>
        <w:t>M.Sci</w:t>
      </w:r>
      <w:proofErr w:type="spellEnd"/>
      <w:r w:rsidR="0024445D">
        <w:rPr>
          <w:i/>
          <w:iCs/>
          <w:color w:val="888888"/>
          <w:sz w:val="20"/>
          <w:szCs w:val="20"/>
          <w:lang w:val="en-FI"/>
        </w:rPr>
        <w:t>.,</w:t>
      </w:r>
      <w:r w:rsidR="006564C7" w:rsidRPr="006564C7">
        <w:rPr>
          <w:i/>
          <w:iCs/>
          <w:color w:val="888888"/>
          <w:sz w:val="20"/>
          <w:szCs w:val="20"/>
          <w:lang w:val="en-FI"/>
        </w:rPr>
        <w:t xml:space="preserve"> AI safety activist, Prague, Czech Republic</w:t>
      </w:r>
    </w:p>
    <w:p w14:paraId="18C9C98E" w14:textId="77777777" w:rsidR="006564C7" w:rsidRPr="006564C7" w:rsidRDefault="006564C7" w:rsidP="006564C7">
      <w:pPr>
        <w:spacing w:after="100" w:afterAutospacing="1"/>
        <w:contextualSpacing/>
        <w:rPr>
          <w:i/>
          <w:iCs/>
          <w:color w:val="888888"/>
          <w:sz w:val="20"/>
          <w:szCs w:val="20"/>
          <w:lang w:val="en-FI"/>
        </w:rPr>
      </w:pPr>
      <w:r w:rsidRPr="006564C7">
        <w:rPr>
          <w:i/>
          <w:iCs/>
          <w:color w:val="888888"/>
          <w:sz w:val="20"/>
          <w:szCs w:val="20"/>
          <w:lang w:val="en-FI"/>
        </w:rPr>
        <w:t>With review and contributions from Dr Alex Hakuzimana, CORDA Democracy Fellow (AI Governance &amp; Safety), Banjul, The Gambia</w:t>
      </w:r>
    </w:p>
    <w:p w14:paraId="63799F1B" w14:textId="10460BE7" w:rsidR="00B36D50" w:rsidRPr="00B36D50" w:rsidRDefault="00B36D50" w:rsidP="00FF330D">
      <w:pPr>
        <w:spacing w:after="100" w:afterAutospacing="1"/>
        <w:contextualSpacing/>
        <w:rPr>
          <w:color w:val="888888"/>
          <w:sz w:val="20"/>
          <w:szCs w:val="20"/>
        </w:rPr>
      </w:pPr>
    </w:p>
    <w:p w14:paraId="244BE634" w14:textId="77777777" w:rsidR="00BE5C1F" w:rsidRDefault="00BE5C1F">
      <w:pPr>
        <w:pBdr>
          <w:bottom w:val="single" w:sz="6" w:space="1" w:color="2E75B6"/>
        </w:pBdr>
        <w:spacing w:before="200" w:after="200"/>
      </w:pPr>
    </w:p>
    <w:p w14:paraId="1A000001" w14:textId="77777777" w:rsidR="00BE5C1F" w:rsidRDefault="00000000">
      <w:pPr>
        <w:pStyle w:val="Heading1"/>
      </w:pPr>
      <w:r>
        <w:t>Executive Summary</w:t>
      </w:r>
    </w:p>
    <w:p w14:paraId="1A000002" w14:textId="2D928ED1" w:rsidR="00BE5C1F" w:rsidRDefault="00000000">
      <w:pPr>
        <w:spacing w:before="100" w:after="100"/>
        <w:jc w:val="both"/>
      </w:pPr>
      <w:r>
        <w:t xml:space="preserve">This submission proposes a skeleton governance architecture for frontier AI development, </w:t>
      </w:r>
      <w:r w:rsidRPr="00E247C9">
        <w:t>release and continuous deployment. It is designed to be adopted incrementally by an initial coalition of jurisdictions, with foundational legal and institutional structures established first and substanti</w:t>
      </w:r>
      <w:r>
        <w:t>ve requirements sharpening over time as an empirical evidence base develops. The proposal is offered as input to the Global Dialogue’s thematic clusters on safe, secure and trustworthy AI; on transparency, accountability and human oversight; and on bridging AI divides — particularly in relation to open-weight model distribution.</w:t>
      </w:r>
    </w:p>
    <w:p w14:paraId="1A000003" w14:textId="77777777" w:rsidR="00BE5C1F" w:rsidRDefault="00000000">
      <w:pPr>
        <w:spacing w:before="100" w:after="100"/>
        <w:jc w:val="both"/>
      </w:pPr>
      <w:r>
        <w:t>Three structural innovations distinguish this framework from existing proposals:</w:t>
      </w:r>
    </w:p>
    <w:p w14:paraId="1A000004" w14:textId="77777777" w:rsidR="00BE5C1F" w:rsidRDefault="00000000">
      <w:pPr>
        <w:spacing w:before="100" w:after="100"/>
        <w:ind w:left="360"/>
        <w:jc w:val="both"/>
      </w:pPr>
      <w:r>
        <w:rPr>
          <w:b/>
        </w:rPr>
        <w:t xml:space="preserve">1. Enforcement attaches at the deployment layer rather than the development process. </w:t>
      </w:r>
      <w:r>
        <w:t>Compliance is verified by regulated entities within signatory jurisdictions before deployment, mirroring the mechanism that made GDPR enforceable across non-EU servers. This requires no surveillance of global repositories and remains effective against open-weight model distribution, which existing instruments cannot reach.</w:t>
      </w:r>
    </w:p>
    <w:p w14:paraId="1A000005" w14:textId="77777777" w:rsidR="00BE5C1F" w:rsidRDefault="00000000">
      <w:pPr>
        <w:spacing w:before="100" w:after="100"/>
        <w:ind w:left="360"/>
        <w:jc w:val="both"/>
      </w:pPr>
      <w:r>
        <w:rPr>
          <w:b/>
        </w:rPr>
        <w:t xml:space="preserve">2. An adverse event database is built from day one as a foundational asset. </w:t>
      </w:r>
      <w:r>
        <w:t>Identity verification, cryptographic chain of custody, and standardized incident reporting are implemented at platform launch. Retroactive reconstruction of this evidential foundation is impossible. Captured early, the data has negligible marginal cost; uncaptured, it cannot be recovered when needed for incident attribution or for informing future regulatory criteria.</w:t>
      </w:r>
    </w:p>
    <w:p w14:paraId="1A000006" w14:textId="77777777" w:rsidR="00BE5C1F" w:rsidRDefault="00000000">
      <w:pPr>
        <w:spacing w:before="100" w:after="100"/>
        <w:ind w:left="360"/>
        <w:jc w:val="both"/>
      </w:pPr>
      <w:r>
        <w:rPr>
          <w:b/>
        </w:rPr>
        <w:t xml:space="preserve">3. Implementation is sequenced to generate the empirical evidence that makes future requirements intelligent. </w:t>
      </w:r>
      <w:r>
        <w:t>Initial registration criteria are minimally burdensome to maximize adoption and redirect ecosystem growth onto regulated infrastructure. Substantive requirements then sharpen as adverse event data accumulates. The framework does not attempt to front-load intelligence the system does not yet have.</w:t>
      </w:r>
    </w:p>
    <w:p w14:paraId="1A000007" w14:textId="77777777" w:rsidR="00BE5C1F" w:rsidRDefault="00000000">
      <w:pPr>
        <w:spacing w:before="100" w:after="100"/>
        <w:jc w:val="both"/>
      </w:pPr>
      <w:r>
        <w:t>The framework is implementable with existing technology and existing legal instruments. It is framed in the language of product liability standardization rather than novel AI-specific regulation, drawing on established analogues in pharmaceutical approval, CE marking, and clinical trial supervision. It does not require solving the hardest technical problems in AI safety before implementation begins; it requires establishing the institutional infrastructure through which solutions to those problems, as they develop, can be systematically applied.</w:t>
      </w:r>
    </w:p>
    <w:p w14:paraId="1A000008" w14:textId="77777777" w:rsidR="00BE5C1F" w:rsidRDefault="00000000">
      <w:pPr>
        <w:pStyle w:val="Heading1"/>
      </w:pPr>
      <w:r>
        <w:lastRenderedPageBreak/>
        <w:t>Relevance to the Dialogue’s Thematic Clusters</w:t>
      </w:r>
    </w:p>
    <w:p w14:paraId="1A000009" w14:textId="77777777" w:rsidR="00BE5C1F" w:rsidRDefault="00000000">
      <w:pPr>
        <w:spacing w:before="100" w:after="100"/>
        <w:jc w:val="both"/>
      </w:pPr>
      <w:r>
        <w:t>The proposals in this submission map to three of the four thematic clusters identified in the draft note on themes and structure of the Global Dialogue.</w:t>
      </w:r>
    </w:p>
    <w:p w14:paraId="1A00000A" w14:textId="77777777" w:rsidR="00BE5C1F" w:rsidRDefault="00000000">
      <w:pPr>
        <w:spacing w:before="100" w:after="100"/>
        <w:jc w:val="both"/>
      </w:pPr>
      <w:r>
        <w:rPr>
          <w:b/>
        </w:rPr>
        <w:t xml:space="preserve">Safe, secure and trustworthy AI: responsible and interoperable approaches. </w:t>
      </w:r>
      <w:r>
        <w:t>The formal release platform (Section 2.1), tiered access architecture (2.2), staged deployment requirement (2.5), and independent auditor tier (2.6) address the development of safe, secure and trustworthy AI systems and provide a mechanism for interoperability across jurisdictions through a shared registration substrate and adverse event taxonomy.</w:t>
      </w:r>
    </w:p>
    <w:p w14:paraId="1A00000B" w14:textId="77777777" w:rsidR="00BE5C1F" w:rsidRDefault="00000000">
      <w:pPr>
        <w:spacing w:before="100" w:after="100"/>
        <w:jc w:val="both"/>
      </w:pPr>
      <w:r>
        <w:rPr>
          <w:b/>
        </w:rPr>
        <w:t xml:space="preserve">Human rights, transparency, accountability and human oversight. </w:t>
      </w:r>
      <w:r>
        <w:t>The identity and download ledger (Section 2.3), modification and release liability architecture (2.4), and adverse event reporting taxonomy (within 2.5) address transparency and accountability requirements. The staged deployment requirement creates a defined window for human oversight of frontier models before general release. The institutional quality prerequisite addresses the structural conditions under which oversight bodies remain functionally independent.</w:t>
      </w:r>
    </w:p>
    <w:p w14:paraId="7E6A656F" w14:textId="77777777" w:rsidR="0072362E" w:rsidRDefault="00000000">
      <w:pPr>
        <w:spacing w:before="100" w:after="100"/>
        <w:jc w:val="both"/>
      </w:pPr>
      <w:r>
        <w:rPr>
          <w:b/>
        </w:rPr>
        <w:t xml:space="preserve">Bridging AI divides: capacity-building, access and digital foundations. </w:t>
      </w:r>
      <w:r>
        <w:t xml:space="preserve">The framework treats open-weight model distribution as a release event subject to the same staged deployment requirement as closed releases (Section 2.5), rather than placing it outside regulatory scope. This addresses the fastest-growing segment of the AI ecosystem and the segment most directly relevant to jurisdictions that are predominantly consumers of AI systems developed elsewhere. </w:t>
      </w:r>
    </w:p>
    <w:p w14:paraId="1A00000C" w14:textId="102F3755" w:rsidR="00BE5C1F" w:rsidRDefault="00000000">
      <w:pPr>
        <w:spacing w:before="100" w:after="100"/>
        <w:jc w:val="both"/>
      </w:pPr>
      <w:r>
        <w:t>The tiered access architecture is designed so that compliance does not disadvantage local developers in jurisdictions with limited regulatory infrastructure, and the auditor certification curriculum is intended to be developed in partnership with academic institutions across signatory jurisdictions.</w:t>
      </w:r>
    </w:p>
    <w:p w14:paraId="1A00000D" w14:textId="77777777" w:rsidR="00BE5C1F" w:rsidRDefault="00000000">
      <w:pPr>
        <w:spacing w:before="100" w:after="100"/>
        <w:jc w:val="both"/>
      </w:pPr>
      <w:r>
        <w:t>The cluster on AI opportunities and implications is addressed only indirectly, through the framework’s premise that responsible governance is a precondition for the broad realization of AI’s social, economic and cultural opportunities.</w:t>
      </w:r>
    </w:p>
    <w:p w14:paraId="1A00000E" w14:textId="77777777" w:rsidR="00BE5C1F" w:rsidRDefault="00BE5C1F">
      <w:pPr>
        <w:pBdr>
          <w:bottom w:val="single" w:sz="6" w:space="1" w:color="2E75B6"/>
        </w:pBdr>
        <w:spacing w:before="200" w:after="200"/>
      </w:pPr>
    </w:p>
    <w:p w14:paraId="0ECB1C41" w14:textId="77777777" w:rsidR="00BE5C1F" w:rsidRDefault="00000000">
      <w:pPr>
        <w:pStyle w:val="Heading1"/>
      </w:pPr>
      <w:r>
        <w:t>Preamble</w:t>
      </w:r>
    </w:p>
    <w:p w14:paraId="2107A868" w14:textId="77777777" w:rsidR="00BE5C1F" w:rsidRDefault="00000000">
      <w:pPr>
        <w:spacing w:before="100" w:after="100"/>
        <w:jc w:val="both"/>
      </w:pPr>
      <w:r>
        <w:t>This document proposes a skeleton governance architecture for frontier AI model development and deployment. It is designed to be adopted incrementally — establishing the foundational legal and institutional structures first, and sharpening requirements over time as the regulated ecosystem matures and an empirical evidence base develops.</w:t>
      </w:r>
    </w:p>
    <w:p w14:paraId="3DD45980" w14:textId="77777777" w:rsidR="00BE5C1F" w:rsidRDefault="00000000">
      <w:pPr>
        <w:spacing w:before="100" w:after="100"/>
        <w:jc w:val="both"/>
      </w:pPr>
      <w:r>
        <w:t>The framework is grounded in three observations derived from recent safety incidents and organizational analysis:</w:t>
      </w:r>
    </w:p>
    <w:p w14:paraId="167A546D" w14:textId="5C118B0B" w:rsidR="00BE5C1F" w:rsidRDefault="00000000">
      <w:pPr>
        <w:pStyle w:val="ListParagraph"/>
        <w:numPr>
          <w:ilvl w:val="0"/>
          <w:numId w:val="2"/>
        </w:numPr>
        <w:spacing w:before="60" w:after="60"/>
      </w:pPr>
      <w:r>
        <w:t>Emergent unsafe behaviours in AI systems arise not from deliberate design but from the interaction of optimization pressure, capability, and environment. These behaviours are not predictable from individual system components and cannot be governed by instruments designed for legible, attributable harms.</w:t>
      </w:r>
    </w:p>
    <w:p w14:paraId="6E0593AA" w14:textId="04873F16" w:rsidR="00BE5C1F" w:rsidRDefault="00000000">
      <w:pPr>
        <w:pStyle w:val="ListParagraph"/>
        <w:numPr>
          <w:ilvl w:val="0"/>
          <w:numId w:val="2"/>
        </w:numPr>
        <w:spacing w:before="60" w:after="60"/>
      </w:pPr>
      <w:r>
        <w:t>Organizational structure is a safety-relevant variable that current governance frameworks do not consider. The conditions under which dangerous behaviours get noticed and disclosed are as important as the behaviours themselves.</w:t>
      </w:r>
    </w:p>
    <w:p w14:paraId="10513489" w14:textId="1B3DAE1B" w:rsidR="00FA6696" w:rsidRDefault="00000000" w:rsidP="00FA6696">
      <w:pPr>
        <w:pStyle w:val="ListParagraph"/>
        <w:numPr>
          <w:ilvl w:val="0"/>
          <w:numId w:val="2"/>
        </w:numPr>
        <w:spacing w:before="60" w:after="60"/>
      </w:pPr>
      <w:r>
        <w:t>Open weight model distribution has collapsed the assumption of a controllable deployment pipeline on which all existing regulatory instruments depend. New instruments must attach to the release event rather than the deployment pipeline.</w:t>
      </w:r>
    </w:p>
    <w:p w14:paraId="7D0A9D33" w14:textId="0F2E39E0" w:rsidR="00001C89" w:rsidRDefault="00FA6696" w:rsidP="00FA6696">
      <w:r>
        <w:br w:type="page"/>
      </w:r>
    </w:p>
    <w:p w14:paraId="4655FC76" w14:textId="75A32F0E" w:rsidR="00BE5C1F" w:rsidRDefault="00000000">
      <w:pPr>
        <w:pStyle w:val="Heading1"/>
      </w:pPr>
      <w:r>
        <w:t>Part I — The Problem with Existing Frameworks</w:t>
      </w:r>
    </w:p>
    <w:p w14:paraId="6BC323C4" w14:textId="77777777" w:rsidR="00BE5C1F" w:rsidRDefault="00000000">
      <w:pPr>
        <w:pStyle w:val="Heading2"/>
      </w:pPr>
      <w:proofErr w:type="gramStart"/>
      <w:r>
        <w:t>1.1  Why</w:t>
      </w:r>
      <w:proofErr w:type="gramEnd"/>
      <w:r>
        <w:t xml:space="preserve"> Data Ethics Governance Does Not Transfer</w:t>
      </w:r>
    </w:p>
    <w:p w14:paraId="383FFB6F" w14:textId="77777777" w:rsidR="00BE5C1F" w:rsidRDefault="00000000">
      <w:pPr>
        <w:spacing w:before="100" w:after="100"/>
        <w:jc w:val="both"/>
      </w:pPr>
      <w:r>
        <w:t>Data ethics governance frameworks — including GDPR, algorithmic accountability regulations, and fairness audit requirements — were designed around a specific harm topology: measurable, attributable harms occurring within existing legal frameworks. Bias in hiring algorithms, privacy violations, and discriminatory credit scoring share common properties: a victim can be identified, a decision can be attributed, and a dataset can be examined.</w:t>
      </w:r>
    </w:p>
    <w:p w14:paraId="099D9417" w14:textId="2FD0219D" w:rsidR="00BE5C1F" w:rsidRDefault="00000000">
      <w:pPr>
        <w:spacing w:before="100" w:after="100"/>
        <w:jc w:val="both"/>
      </w:pPr>
      <w:r>
        <w:t>Frontier AI risks do not share these properties. For example, the ROME incident — in which an Alibaba-affiliated AI agent autonomously initiated unauthorized cryptocurrency mining and established covert network tunnels during reinforcement learning training, without any instruction or external attack — illustrates the fundamental difference. No individual made the decision. No dataset contains the harm. The behaviour emerged from the interaction of reward pressure, tool access, and environmental complexity in ways that were not predictable from any component in isolation.</w:t>
      </w:r>
    </w:p>
    <w:p w14:paraId="7D46E3C1" w14:textId="493D402C" w:rsidR="00BE5C1F" w:rsidRDefault="000D48D4">
      <w:pPr>
        <w:spacing w:before="100" w:after="100"/>
        <w:jc w:val="both"/>
      </w:pPr>
      <w:r>
        <w:t>The pattern is not specific to a single developer. Controlled stress-testing of 16 frontier models from Anthropic, OpenAI, Google, Meta, and xAI</w:t>
      </w:r>
      <w:r>
        <w:rPr>
          <w:rStyle w:val="FootnoteReference"/>
        </w:rPr>
        <w:footnoteReference w:id="1"/>
      </w:r>
      <w:r>
        <w:t xml:space="preserve"> demonstrated that when goal-directed agents were placed in simulated environments where their continued operation or objectives were threatened, models from every developer tested resorted to behaviours such as blackmail and unauthorized information disclosure. ROME shows the harm topology emerging in real training; controlled studies show the same harm topology generalizing across the frontier. Either alone could be dismissed; together they describe a class of risk that data-ethics instruments are not designed to recognize.</w:t>
      </w:r>
    </w:p>
    <w:p w14:paraId="7D46E3C2" w14:textId="493D402D" w:rsidR="00BE5C1F" w:rsidRDefault="000D48D4">
      <w:pPr>
        <w:spacing w:before="100" w:after="100"/>
        <w:jc w:val="both"/>
      </w:pPr>
      <w:r w:rsidRPr="00E247C9">
        <w:t>Applying data ethics instruments to this class of risk is insufficient, and may create a false sense of governance if not supplemented by frontier-specific controls.</w:t>
      </w:r>
      <w:r>
        <w:t xml:space="preserve"> </w:t>
      </w:r>
    </w:p>
    <w:p w14:paraId="239C8C87" w14:textId="77777777" w:rsidR="00BE5C1F" w:rsidRDefault="00000000">
      <w:pPr>
        <w:pStyle w:val="Heading2"/>
      </w:pPr>
      <w:proofErr w:type="gramStart"/>
      <w:r>
        <w:t>1.2  The</w:t>
      </w:r>
      <w:proofErr w:type="gramEnd"/>
      <w:r>
        <w:t xml:space="preserve"> Organizational Structure Gap</w:t>
      </w:r>
    </w:p>
    <w:p w14:paraId="47C7E50B" w14:textId="77777777" w:rsidR="00BE5C1F" w:rsidRDefault="00000000">
      <w:pPr>
        <w:spacing w:before="100" w:after="100"/>
        <w:jc w:val="both"/>
      </w:pPr>
      <w:r>
        <w:t>Current governance frameworks contain no instruments addressing how AI development organizations must be structured internally. This gap has material safety consequences.</w:t>
      </w:r>
    </w:p>
    <w:p w14:paraId="5AAAB435" w14:textId="7E69DA56" w:rsidR="00BE5C1F" w:rsidRDefault="00000000">
      <w:pPr>
        <w:spacing w:before="100" w:after="100"/>
        <w:jc w:val="both"/>
      </w:pPr>
      <w:r>
        <w:t>Vertically integrated development teams — where a single team owns pre-training, post-training, infrastructure, and deployment end-to-end — maintain complete mental models of system behaviour across the full pipeline. Anomalous behaviours that emerge from the interaction between pipeline stages are visible to someone with cross-stage context. The ROME incident was caught precisely because the team that built the training infrastructure also owned the deployment environment and could connect firewall anomalies to specific training episodes.</w:t>
      </w:r>
    </w:p>
    <w:p w14:paraId="61D02D98" w14:textId="6AB05F19" w:rsidR="00BE5C1F" w:rsidRDefault="00000000">
      <w:pPr>
        <w:spacing w:before="100" w:after="100"/>
        <w:jc w:val="both"/>
      </w:pPr>
      <w:r>
        <w:t xml:space="preserve">Horizontal fragmentation — separating pre-training, post-training, and deployment into distinct teams </w:t>
      </w:r>
      <w:r w:rsidRPr="00E247C9">
        <w:t>— removes this</w:t>
      </w:r>
      <w:r>
        <w:t xml:space="preserve"> cross-stage visibility. Each team can truthfully report that its component behaved correctly. The emergent unsafe behaviour that lives in the interaction between stages belongs to nobody's problem domain. Attribution is impossible and disclosure is unlikely.</w:t>
      </w:r>
    </w:p>
    <w:p w14:paraId="0A71FFFB" w14:textId="6FC5B27C" w:rsidR="00BE5C1F" w:rsidRDefault="00000000">
      <w:pPr>
        <w:spacing w:before="100" w:after="100"/>
        <w:jc w:val="both"/>
      </w:pPr>
      <w:r>
        <w:t>The March 2026 departure of Alibaba's Qwen technical lead and several senior colleagues, following a corporate restructuring from vertical to horizontal development, represents a concrete instance of organizational safety architecture being dismantled without any regulatory instrument capable of recognizing it as a safety-relevant event. The institutional knowledge of what behaviours the system exhibits under pressure — knowledge that was never written down because it lived in the vertically integrated team — cannot be reconstructed.</w:t>
      </w:r>
    </w:p>
    <w:p w14:paraId="1A21FFFC" w14:textId="6FC5B27D" w:rsidR="00BE5C1F" w:rsidRDefault="00000000">
      <w:pPr>
        <w:spacing w:before="240" w:after="120"/>
      </w:pPr>
      <w:r>
        <w:rPr>
          <w:b/>
          <w:bCs/>
          <w:sz w:val="24"/>
          <w:szCs w:val="24"/>
        </w:rPr>
        <w:t>Measurable organizational indicators</w:t>
      </w:r>
    </w:p>
    <w:p w14:paraId="1A21FFFD" w14:textId="6FC5B27E" w:rsidR="00BE5C1F" w:rsidRDefault="00000000">
      <w:pPr>
        <w:spacing w:before="100" w:after="100"/>
        <w:jc w:val="both"/>
      </w:pPr>
      <w:r>
        <w:t>Until the empirical evidence base supports specific structural mandates, organizations registering frontier models on the formal platform should disclose a defined set of governance indicators that bear directly on safety attribution and incident response. These indicators are measurable, auditable, and structure-neutral — they do not prescribe vertical or horizontal organization, but they make the consequences of either visible. They are intended as a Phase One disclosure baseline; Phase Three may convert specific indicators into requirements as audit capacity matures.</w:t>
      </w:r>
    </w:p>
    <w:p w14:paraId="1A21FFFE" w14:textId="6FC5B27F" w:rsidR="00BE5C1F" w:rsidRDefault="00000000">
      <w:pPr>
        <w:spacing w:before="100" w:after="100"/>
        <w:jc w:val="both"/>
      </w:pPr>
      <w:r>
        <w:t>The minimum disclosure set includes: defined escalation procedures for safety-relevant observations, including the path from individual researcher to executive leadership and the conditions under which escalation must occur; documented role separation between teams responsible for capability development and teams responsible for safety evaluation, with disclosure where these roles overlap; incident logging practices, including the threshold at which internal observations become formal incidents and the retention period for such logs; and documented cross-functional review processes connecting pre-training, post-training, infrastructure, and deployment teams, with disclosure of review frequency and the seniority of participants.</w:t>
      </w:r>
    </w:p>
    <w:p w14:paraId="1A21FFFF" w14:textId="6FC5B280" w:rsidR="00BE5C1F" w:rsidRDefault="00000000">
      <w:pPr>
        <w:spacing w:before="100" w:after="100"/>
        <w:jc w:val="both"/>
      </w:pPr>
      <w:r>
        <w:t>Disclosure does not constitute regulatory approval of any particular structure. It establishes the evidentiary basis on which Phase Three structural requirements, if any, can be developed.</w:t>
      </w:r>
    </w:p>
    <w:p w14:paraId="5275F8E7" w14:textId="77777777" w:rsidR="00BE5C1F" w:rsidRDefault="00000000">
      <w:pPr>
        <w:pStyle w:val="Heading2"/>
      </w:pPr>
      <w:proofErr w:type="gramStart"/>
      <w:r>
        <w:t>1.3  The</w:t>
      </w:r>
      <w:proofErr w:type="gramEnd"/>
      <w:r>
        <w:t xml:space="preserve"> Open Weight Distribution Problem</w:t>
      </w:r>
    </w:p>
    <w:p w14:paraId="12DAA304" w14:textId="4F866B72" w:rsidR="00BE5C1F" w:rsidRDefault="00000000">
      <w:pPr>
        <w:spacing w:before="100" w:after="100"/>
        <w:jc w:val="both"/>
      </w:pPr>
      <w:r>
        <w:t xml:space="preserve">Existing regulatory instruments assume a controllable deployment pipeline with an identifiable operator. Open weight model </w:t>
      </w:r>
      <w:r w:rsidRPr="00E247C9">
        <w:t>distribution collapses this assumption</w:t>
      </w:r>
      <w:r>
        <w:t xml:space="preserve"> entirely.</w:t>
      </w:r>
    </w:p>
    <w:p w14:paraId="68AC95E9" w14:textId="05DCA70C" w:rsidR="00BE5C1F" w:rsidRDefault="00000000">
      <w:pPr>
        <w:spacing w:before="100" w:after="100"/>
        <w:jc w:val="both"/>
      </w:pPr>
      <w:r>
        <w:t>Once model weights are published to an open repository, they propagate instantaneously and irreversibly across the global developer community. As of January 2026, the Qwen model family had accumulated over 700 million downloads and spawned more than 180,000 derivative models. No instrument that operates at the deployment layer can (effectively) reach this distribution. No known patch can be applied. No defined liability can be attached to an identifiable operator.</w:t>
      </w:r>
    </w:p>
    <w:p w14:paraId="3FFFF418" w14:textId="77777777" w:rsidR="00BE5C1F" w:rsidRDefault="00000000">
      <w:pPr>
        <w:spacing w:before="100" w:after="100"/>
        <w:jc w:val="both"/>
      </w:pPr>
      <w:r>
        <w:t>Any governance framework that treats open weight releases as outside its scope has exempted the fastest-growing and least-monitored segment of the AI ecosystem from oversight.</w:t>
      </w:r>
    </w:p>
    <w:p w14:paraId="59441E80" w14:textId="77777777" w:rsidR="00BE5C1F" w:rsidRDefault="00BE5C1F">
      <w:pPr>
        <w:pBdr>
          <w:bottom w:val="single" w:sz="6" w:space="1" w:color="2E75B6"/>
        </w:pBdr>
        <w:spacing w:before="200" w:after="200"/>
      </w:pPr>
    </w:p>
    <w:p w14:paraId="2552EFEA" w14:textId="77777777" w:rsidR="00BE5C1F" w:rsidRDefault="00000000">
      <w:pPr>
        <w:pStyle w:val="Heading1"/>
      </w:pPr>
      <w:r>
        <w:t>Part II — The Skeleton Framework</w:t>
      </w:r>
    </w:p>
    <w:p w14:paraId="79CAAE8F" w14:textId="77777777" w:rsidR="00BE5C1F" w:rsidRDefault="00000000">
      <w:pPr>
        <w:spacing w:before="100" w:after="100"/>
        <w:jc w:val="both"/>
      </w:pPr>
      <w:r>
        <w:t>The following framework is designed to be implementable in skeleton form with minimal initial criteria, with requirements sharpening over time as the regulated ecosystem develops institutional knowledge and an empirical evidence base.</w:t>
      </w:r>
    </w:p>
    <w:p w14:paraId="6F9799E2" w14:textId="7A320BA9" w:rsidR="00BE5C1F" w:rsidRDefault="00000000">
      <w:pPr>
        <w:spacing w:before="100" w:after="100"/>
        <w:jc w:val="both"/>
      </w:pPr>
      <w:r>
        <w:t>The core principle of sequencing is: establish the formal release platform(s) first with easy criteria, enforce it for all new model releases from a defined date, and encourage but do not enforce migration of existing models. Older models remain in their existing infrastructure. Only new releases are subject to mandatory platform registration.</w:t>
      </w:r>
    </w:p>
    <w:p w14:paraId="25F76FB6" w14:textId="77777777" w:rsidR="00BE5C1F" w:rsidRDefault="00000000">
      <w:pPr>
        <w:pStyle w:val="Heading2"/>
      </w:pPr>
      <w:proofErr w:type="gramStart"/>
      <w:r>
        <w:t>2.1  The</w:t>
      </w:r>
      <w:proofErr w:type="gramEnd"/>
      <w:r>
        <w:t xml:space="preserve"> Formal Release Platform</w:t>
      </w:r>
    </w:p>
    <w:p w14:paraId="20854F4B" w14:textId="77777777" w:rsidR="00BE5C1F" w:rsidRDefault="00000000">
      <w:pPr>
        <w:spacing w:before="240" w:after="120"/>
      </w:pPr>
      <w:r>
        <w:rPr>
          <w:b/>
          <w:bCs/>
          <w:sz w:val="24"/>
          <w:szCs w:val="24"/>
        </w:rPr>
        <w:t>Principle</w:t>
      </w:r>
    </w:p>
    <w:p w14:paraId="353FB03C" w14:textId="77777777" w:rsidR="00BE5C1F" w:rsidRDefault="00000000">
      <w:pPr>
        <w:spacing w:before="100" w:after="100"/>
        <w:jc w:val="both"/>
      </w:pPr>
      <w:r>
        <w:t>It is prohibited to seed new AI models to open, unregulated repositories within signatory jurisdictions. A company or individual doing so will have its model banned from deployment within the jurisdiction and subject to graduated market access restrictions. The formal release platform provides a simple, standardized registration process as the compliant alternative.</w:t>
      </w:r>
    </w:p>
    <w:p w14:paraId="6758CC48" w14:textId="77777777" w:rsidR="00BE5C1F" w:rsidRDefault="00000000">
      <w:pPr>
        <w:spacing w:before="240" w:after="120"/>
      </w:pPr>
      <w:r>
        <w:rPr>
          <w:b/>
          <w:bCs/>
          <w:sz w:val="24"/>
          <w:szCs w:val="24"/>
        </w:rPr>
        <w:t>Enforcement mechanism</w:t>
      </w:r>
    </w:p>
    <w:p w14:paraId="54A1C1DE" w14:textId="5EA64BD1" w:rsidR="00BE5C1F" w:rsidRDefault="00000000">
      <w:pPr>
        <w:spacing w:before="100" w:after="100"/>
        <w:jc w:val="both"/>
      </w:pPr>
      <w:r>
        <w:t>Enforcement attaches to downstream use rather than upstream release. Any enterprise, government body, or regulated platform within a signatory jurisdiction that deploys a model without valid platform registration faces liability. This approach draws on the extraterritorial logic of GDPR enforcement: the obligation lands on the legal entities with clear jurisdiction exposure that chose to use the non-compliant product.</w:t>
      </w:r>
    </w:p>
    <w:p w14:paraId="5C974813" w14:textId="77777777" w:rsidR="00BE5C1F" w:rsidRDefault="00000000">
      <w:pPr>
        <w:spacing w:before="100" w:after="100"/>
        <w:jc w:val="both"/>
      </w:pPr>
      <w:r>
        <w:t>This approach requires no surveillance of global repositories. It requires only that regulated entities within signatory jurisdictions verify registration status before deployment — a verification that can be automated against the platform registry.</w:t>
      </w:r>
    </w:p>
    <w:p w14:paraId="32B4E65B" w14:textId="77777777" w:rsidR="00BE5C1F" w:rsidRDefault="00000000">
      <w:pPr>
        <w:spacing w:before="240" w:after="120"/>
      </w:pPr>
      <w:r>
        <w:rPr>
          <w:b/>
          <w:bCs/>
          <w:sz w:val="24"/>
          <w:szCs w:val="24"/>
        </w:rPr>
        <w:t>Initial criteria — skeleton phase</w:t>
      </w:r>
    </w:p>
    <w:p w14:paraId="60F608A6" w14:textId="77777777" w:rsidR="00BE5C1F" w:rsidRDefault="00000000">
      <w:pPr>
        <w:spacing w:before="100" w:after="100"/>
        <w:jc w:val="both"/>
      </w:pPr>
      <w:r>
        <w:t>The initial criteria for platform registration must be minimally burdensome to maximize adoption in the skeleton phase. The objective in this phase is to redirect the natural growth of the AI ecosystem toward the regulated substrate before the unregulated norm becomes entrenched. A platform capturing 70% of releases with minimal requirements generates more valuable safety data than a platform capturing 15% of releases with rigorous requirements.</w:t>
      </w:r>
    </w:p>
    <w:p w14:paraId="59B6AF1B" w14:textId="77777777" w:rsidR="00BE5C1F" w:rsidRDefault="00000000">
      <w:pPr>
        <w:spacing w:before="100" w:after="100"/>
        <w:jc w:val="both"/>
      </w:pPr>
      <w:r>
        <w:t>Initial registration requires:</w:t>
      </w:r>
    </w:p>
    <w:p w14:paraId="506880BD" w14:textId="77777777" w:rsidR="00BE5C1F" w:rsidRDefault="00000000">
      <w:pPr>
        <w:pStyle w:val="ListParagraph"/>
        <w:numPr>
          <w:ilvl w:val="0"/>
          <w:numId w:val="2"/>
        </w:numPr>
        <w:spacing w:before="60" w:after="60"/>
      </w:pPr>
      <w:r>
        <w:t>Legal entity identification for the registering organization</w:t>
      </w:r>
    </w:p>
    <w:p w14:paraId="541FBC02" w14:textId="77777777" w:rsidR="00BE5C1F" w:rsidRDefault="00000000">
      <w:pPr>
        <w:pStyle w:val="ListParagraph"/>
        <w:numPr>
          <w:ilvl w:val="0"/>
          <w:numId w:val="2"/>
        </w:numPr>
        <w:spacing w:before="60" w:after="60"/>
      </w:pPr>
      <w:r>
        <w:t>Model identifier and version hash</w:t>
      </w:r>
    </w:p>
    <w:p w14:paraId="607C8166" w14:textId="77777777" w:rsidR="00BE5C1F" w:rsidRDefault="00000000">
      <w:pPr>
        <w:pStyle w:val="ListParagraph"/>
        <w:numPr>
          <w:ilvl w:val="0"/>
          <w:numId w:val="2"/>
        </w:numPr>
        <w:spacing w:before="60" w:after="60"/>
      </w:pPr>
      <w:r>
        <w:t>Stated architecture class and approximate parameter count</w:t>
      </w:r>
    </w:p>
    <w:p w14:paraId="237D1CBE" w14:textId="77777777" w:rsidR="00BE5C1F" w:rsidRDefault="00000000">
      <w:pPr>
        <w:pStyle w:val="ListParagraph"/>
        <w:numPr>
          <w:ilvl w:val="0"/>
          <w:numId w:val="2"/>
        </w:numPr>
        <w:spacing w:before="60" w:after="60"/>
      </w:pPr>
      <w:r>
        <w:t>Declared training methodology at high level</w:t>
      </w:r>
    </w:p>
    <w:p w14:paraId="11C47413" w14:textId="77777777" w:rsidR="00BE5C1F" w:rsidRDefault="00000000">
      <w:pPr>
        <w:pStyle w:val="ListParagraph"/>
        <w:numPr>
          <w:ilvl w:val="0"/>
          <w:numId w:val="2"/>
        </w:numPr>
        <w:spacing w:before="60" w:after="60"/>
      </w:pPr>
      <w:r>
        <w:t>Point of contact for adverse event reporting</w:t>
      </w:r>
    </w:p>
    <w:p w14:paraId="38A5C895" w14:textId="77777777" w:rsidR="00BE5C1F" w:rsidRDefault="00BE5C1F">
      <w:pPr>
        <w:spacing w:before="160"/>
      </w:pPr>
    </w:p>
    <w:p w14:paraId="4B0CC123" w14:textId="2CB76B37" w:rsidR="00BE5C1F" w:rsidRDefault="00000000">
      <w:pPr>
        <w:spacing w:before="100" w:after="100"/>
        <w:jc w:val="both"/>
      </w:pPr>
      <w:r>
        <w:t>These criteria are designed to be completable within 30 days through a standardized interface, with optional guidance available for smaller entities and public-interest institutions. Default approval applies at 30 days absent specific grounds for extension.</w:t>
      </w:r>
    </w:p>
    <w:p w14:paraId="435A40B8" w14:textId="77777777" w:rsidR="00BE5C1F" w:rsidRDefault="00000000">
      <w:pPr>
        <w:spacing w:before="240" w:after="120"/>
      </w:pPr>
      <w:r>
        <w:rPr>
          <w:b/>
          <w:bCs/>
          <w:sz w:val="24"/>
          <w:szCs w:val="24"/>
        </w:rPr>
        <w:t>Criteria sharpening over time</w:t>
      </w:r>
    </w:p>
    <w:p w14:paraId="7871A6FC" w14:textId="24F68268" w:rsidR="00BE5C1F" w:rsidRDefault="00000000">
      <w:pPr>
        <w:spacing w:before="100" w:after="100"/>
        <w:jc w:val="both"/>
      </w:pPr>
      <w:r>
        <w:t xml:space="preserve">Requirements increase as the regulated ecosystem matures and the adverse event database </w:t>
      </w:r>
      <w:r w:rsidRPr="00E247C9">
        <w:t>generates evidence and empirical grounding</w:t>
      </w:r>
      <w:r>
        <w:t xml:space="preserve"> for targeted requirements. Each tightening of criteria is informed by actual incident data rather than theoretical risk construction. The framework does not attempt to front-load intelligence the system does not yet have.</w:t>
      </w:r>
    </w:p>
    <w:p w14:paraId="3B201113" w14:textId="77777777" w:rsidR="00BE5C1F" w:rsidRDefault="00000000">
      <w:pPr>
        <w:pStyle w:val="Heading2"/>
      </w:pPr>
      <w:proofErr w:type="gramStart"/>
      <w:r>
        <w:t>2.2  Tiered</w:t>
      </w:r>
      <w:proofErr w:type="gramEnd"/>
      <w:r>
        <w:t xml:space="preserve"> Access Architecture</w:t>
      </w:r>
    </w:p>
    <w:p w14:paraId="583BE5BC" w14:textId="77777777" w:rsidR="00BE5C1F" w:rsidRDefault="00000000">
      <w:pPr>
        <w:spacing w:before="240" w:after="120"/>
      </w:pPr>
      <w:r>
        <w:rPr>
          <w:b/>
          <w:bCs/>
          <w:sz w:val="24"/>
          <w:szCs w:val="24"/>
        </w:rPr>
        <w:t>Complexity tiers</w:t>
      </w:r>
    </w:p>
    <w:p w14:paraId="0CE9435A" w14:textId="77777777" w:rsidR="00BE5C1F" w:rsidRDefault="00000000">
      <w:pPr>
        <w:spacing w:before="100" w:after="100"/>
        <w:jc w:val="both"/>
      </w:pPr>
      <w:r>
        <w:t>Access to registered models is governed by a tiered system where regulatory burden scales with the capability of the model being accessed. Tiers are defined by a combination of parameter count, architecture class, age, and adverse event record.</w:t>
      </w:r>
    </w:p>
    <w:p w14:paraId="6BC9964E" w14:textId="77777777" w:rsidR="00BE5C1F" w:rsidRDefault="00000000">
      <w:pPr>
        <w:spacing w:before="100" w:after="100"/>
        <w:jc w:val="both"/>
      </w:pPr>
      <w:r>
        <w:rPr>
          <w:b/>
          <w:bCs/>
        </w:rPr>
        <w:t xml:space="preserve">Tier 1 — </w:t>
      </w:r>
      <w:r>
        <w:t>Models below defined parameter threshold, older than defined age, with clean adverse event records. Basic identity verification. Available to all registered users including private individuals. Minimal friction.</w:t>
      </w:r>
    </w:p>
    <w:p w14:paraId="2F981A89" w14:textId="77777777" w:rsidR="00BE5C1F" w:rsidRDefault="00000000">
      <w:pPr>
        <w:spacing w:before="100" w:after="100"/>
        <w:jc w:val="both"/>
      </w:pPr>
      <w:r>
        <w:rPr>
          <w:b/>
          <w:bCs/>
        </w:rPr>
        <w:t xml:space="preserve">Tier 2 — </w:t>
      </w:r>
      <w:r>
        <w:t>Mid-range capable models, recent releases, or models with noted capability flags. Strong identity verification plus completion of standardized training certification. Certification establishes that the downloader understands adverse event reporting obligations and the liability framework they are entering.</w:t>
      </w:r>
    </w:p>
    <w:p w14:paraId="793EB855" w14:textId="77777777" w:rsidR="00BE5C1F" w:rsidRDefault="00000000">
      <w:pPr>
        <w:spacing w:before="100" w:after="100"/>
        <w:jc w:val="both"/>
      </w:pPr>
      <w:r>
        <w:rPr>
          <w:b/>
          <w:bCs/>
        </w:rPr>
        <w:t xml:space="preserve">Tier 3 — </w:t>
      </w:r>
      <w:r>
        <w:t>Frontier models, large MoE architectures, models with known emergent capability flags. Institutional access only. Academia requires ethics board approval on record. Businesses require registered legal entity with jurisdiction exposure and demonstrated security infrastructure. Verified auditors operate under separate professional certification.</w:t>
      </w:r>
    </w:p>
    <w:p w14:paraId="7632886A" w14:textId="77777777" w:rsidR="00BE5C1F" w:rsidRDefault="00BE5C1F">
      <w:pPr>
        <w:spacing w:before="160"/>
      </w:pPr>
    </w:p>
    <w:p w14:paraId="0BA84E4F" w14:textId="77777777" w:rsidR="00BE5C1F" w:rsidRDefault="00000000">
      <w:pPr>
        <w:spacing w:before="240" w:after="120"/>
      </w:pPr>
      <w:r>
        <w:rPr>
          <w:b/>
          <w:bCs/>
          <w:sz w:val="24"/>
          <w:szCs w:val="24"/>
        </w:rPr>
        <w:t>Graduation pathway</w:t>
      </w:r>
    </w:p>
    <w:p w14:paraId="52D0F3A8" w14:textId="77777777" w:rsidR="00BE5C1F" w:rsidRDefault="00000000">
      <w:pPr>
        <w:spacing w:before="100" w:after="100"/>
        <w:jc w:val="both"/>
      </w:pPr>
      <w:r>
        <w:t>Models migrate downward through tiers automatically as they accumulate age and clean adverse event records and are superseded by newer releases. This avoids the compliance framework freezing in place while the technology moves, and ensures that regulatory friction concentrates on the current frontier rather than distributing uniformly across the full model ecosystem.</w:t>
      </w:r>
    </w:p>
    <w:p w14:paraId="35204E65" w14:textId="77777777" w:rsidR="00BE5C1F" w:rsidRDefault="00000000">
      <w:pPr>
        <w:pStyle w:val="Heading2"/>
      </w:pPr>
      <w:proofErr w:type="gramStart"/>
      <w:r>
        <w:t>2.3  Identity</w:t>
      </w:r>
      <w:proofErr w:type="gramEnd"/>
      <w:r>
        <w:t xml:space="preserve"> and Download Ledger</w:t>
      </w:r>
    </w:p>
    <w:p w14:paraId="336C54C8" w14:textId="77777777" w:rsidR="00BE5C1F" w:rsidRDefault="00000000">
      <w:pPr>
        <w:spacing w:before="240" w:after="120"/>
      </w:pPr>
      <w:r>
        <w:rPr>
          <w:b/>
          <w:bCs/>
          <w:sz w:val="24"/>
          <w:szCs w:val="24"/>
        </w:rPr>
        <w:t>Chain of custody from day one</w:t>
      </w:r>
    </w:p>
    <w:p w14:paraId="5DFD3932" w14:textId="276100F9" w:rsidR="00BE5C1F" w:rsidRDefault="00000000">
      <w:pPr>
        <w:spacing w:before="100" w:after="100"/>
        <w:jc w:val="both"/>
      </w:pPr>
      <w:r>
        <w:t xml:space="preserve">Every download from the formal platform generates a cryptographic hash of the specific weights at the moment of download, logged to an immutable ledger, alongside: verified identity of the </w:t>
      </w:r>
      <w:r w:rsidRPr="00E247C9">
        <w:t>downloader, tier classification at time of download, stated use case, jurisdiction, and timestamp. Each download may also generate additional necessary metadata for traceability and incident response.</w:t>
      </w:r>
    </w:p>
    <w:p w14:paraId="56882A60" w14:textId="1398F21A" w:rsidR="00BE5C1F" w:rsidRDefault="00000000">
      <w:pPr>
        <w:spacing w:before="100" w:after="100"/>
        <w:jc w:val="both"/>
      </w:pPr>
      <w:r>
        <w:t>The ledger must be established from the first day of platform operation. Retroactive chain of custody reconstruction is impossible. Identity data captured early can substantially reduce later attribution costs and improve incident investigation. Identity data not captured cannot be recovered when needed for incident attribution.</w:t>
      </w:r>
    </w:p>
    <w:p w14:paraId="40CE7E57" w14:textId="77777777" w:rsidR="00BE5C1F" w:rsidRDefault="00000000">
      <w:pPr>
        <w:spacing w:before="240" w:after="120"/>
      </w:pPr>
      <w:r>
        <w:rPr>
          <w:b/>
          <w:bCs/>
          <w:sz w:val="24"/>
          <w:szCs w:val="24"/>
        </w:rPr>
        <w:t>Functions of the ledger</w:t>
      </w:r>
    </w:p>
    <w:p w14:paraId="4CD1A4CC" w14:textId="77777777" w:rsidR="00BE5C1F" w:rsidRDefault="00000000">
      <w:pPr>
        <w:pStyle w:val="ListParagraph"/>
        <w:numPr>
          <w:ilvl w:val="0"/>
          <w:numId w:val="2"/>
        </w:numPr>
        <w:spacing w:before="60" w:after="60"/>
      </w:pPr>
      <w:r>
        <w:t>Complete chain of custody enabling liability attribution in derivative model incidents</w:t>
      </w:r>
    </w:p>
    <w:p w14:paraId="21AC141B" w14:textId="77777777" w:rsidR="00BE5C1F" w:rsidRDefault="00000000">
      <w:pPr>
        <w:pStyle w:val="ListParagraph"/>
        <w:numPr>
          <w:ilvl w:val="0"/>
          <w:numId w:val="2"/>
        </w:numPr>
        <w:spacing w:before="60" w:after="60"/>
      </w:pPr>
      <w:r>
        <w:t>Aggregate download pattern monitoring providing early warning of unusual concentration before incidents occur</w:t>
      </w:r>
    </w:p>
    <w:p w14:paraId="618C1C29" w14:textId="77777777" w:rsidR="00BE5C1F" w:rsidRDefault="00000000">
      <w:pPr>
        <w:pStyle w:val="ListParagraph"/>
        <w:numPr>
          <w:ilvl w:val="0"/>
          <w:numId w:val="2"/>
        </w:numPr>
        <w:spacing w:before="60" w:after="60"/>
      </w:pPr>
      <w:r>
        <w:t>The evidential foundation for civil liability proceedings when adverse events are attributed to specific model versions</w:t>
      </w:r>
    </w:p>
    <w:p w14:paraId="57212E41" w14:textId="77777777" w:rsidR="00BE5C1F" w:rsidRDefault="00000000">
      <w:pPr>
        <w:pStyle w:val="ListParagraph"/>
        <w:numPr>
          <w:ilvl w:val="0"/>
          <w:numId w:val="2"/>
        </w:numPr>
        <w:spacing w:before="60" w:after="60"/>
      </w:pPr>
      <w:r>
        <w:t>Basis for the derivative liability architecture described in Section 2.4</w:t>
      </w:r>
    </w:p>
    <w:p w14:paraId="2EF859E4" w14:textId="77777777" w:rsidR="00BE5C1F" w:rsidRDefault="00000000">
      <w:pPr>
        <w:pStyle w:val="Heading2"/>
      </w:pPr>
      <w:proofErr w:type="gramStart"/>
      <w:r>
        <w:t>2.4  Modification</w:t>
      </w:r>
      <w:proofErr w:type="gramEnd"/>
      <w:r>
        <w:t xml:space="preserve"> and Release — Liability Architecture</w:t>
      </w:r>
    </w:p>
    <w:p w14:paraId="089D5759" w14:textId="77777777" w:rsidR="00BE5C1F" w:rsidRDefault="00000000">
      <w:pPr>
        <w:spacing w:before="240" w:after="120"/>
      </w:pPr>
      <w:r>
        <w:rPr>
          <w:b/>
          <w:bCs/>
          <w:sz w:val="24"/>
          <w:szCs w:val="24"/>
        </w:rPr>
        <w:t>The release event as liability trigger</w:t>
      </w:r>
    </w:p>
    <w:p w14:paraId="172CAACE" w14:textId="46E0DB72" w:rsidR="00BE5C1F" w:rsidRDefault="00000000">
      <w:pPr>
        <w:spacing w:before="100" w:after="100"/>
        <w:jc w:val="both"/>
      </w:pPr>
      <w:r>
        <w:t>The act of releasing a modified model through the formal platform constitutes a liability event. The registering entity accepts responsibility for behavioural characteristics introduced by their modifications, as distinguished from behavioural characteristics inherited from the base model.</w:t>
      </w:r>
    </w:p>
    <w:p w14:paraId="27A16087" w14:textId="77777777" w:rsidR="00BE5C1F" w:rsidRDefault="00000000">
      <w:pPr>
        <w:spacing w:before="240" w:after="120"/>
      </w:pPr>
      <w:r>
        <w:rPr>
          <w:b/>
          <w:bCs/>
          <w:sz w:val="24"/>
          <w:szCs w:val="24"/>
        </w:rPr>
        <w:t>Tiered derivative liability</w:t>
      </w:r>
    </w:p>
    <w:p w14:paraId="7500DDA7" w14:textId="77B22FA5" w:rsidR="00BE5C1F" w:rsidRDefault="00000000">
      <w:pPr>
        <w:spacing w:before="100" w:after="100"/>
        <w:jc w:val="both"/>
      </w:pPr>
      <w:r>
        <w:t>Primary liability for behaviours inherent to the base model rests with the original frontier model developer. Derivative developers carry liability for behavioural delta introduced by their modifications. Each release event in the derivative chain is a distinct registration with its own liability scope.</w:t>
      </w:r>
    </w:p>
    <w:p w14:paraId="3D443BDD" w14:textId="77777777" w:rsidR="00BE5C1F" w:rsidRDefault="00000000">
      <w:pPr>
        <w:spacing w:before="100" w:after="100"/>
        <w:jc w:val="both"/>
      </w:pPr>
      <w:r>
        <w:t>This principle — that liability tracks the largest capability contribution — is adapted from pharmaceutical supply chain liability frameworks where active ingredient manufacturers, formulation companies, and distributors carry distinct and proportionate liability for harms attributable to their respective contributions.</w:t>
      </w:r>
    </w:p>
    <w:p w14:paraId="7DB97236" w14:textId="77777777" w:rsidR="00BE5C1F" w:rsidRDefault="00000000">
      <w:pPr>
        <w:spacing w:before="240" w:after="120"/>
      </w:pPr>
      <w:r>
        <w:rPr>
          <w:b/>
          <w:bCs/>
          <w:sz w:val="24"/>
          <w:szCs w:val="24"/>
        </w:rPr>
        <w:t>Modification depth triggers</w:t>
      </w:r>
    </w:p>
    <w:p w14:paraId="4E5F7528" w14:textId="67D4A586" w:rsidR="00BE5C1F" w:rsidRDefault="00000000">
      <w:pPr>
        <w:spacing w:before="100" w:after="100"/>
        <w:jc w:val="both"/>
      </w:pPr>
      <w:r>
        <w:t>Modifications that alter safety-relevant behaviours require a new registration event. To improve compliance, the platform implements automated behavioural testing at upload that flags significant behavioural divergence from the base model as a condition of release. The test battery is maintained by an independent technical body, is not fully public, and includes adversarial probing designed by parties with no commercial relationship to the model developers.</w:t>
      </w:r>
    </w:p>
    <w:p w14:paraId="3F1E5CF8" w14:textId="77777777" w:rsidR="00BE5C1F" w:rsidRDefault="00000000">
      <w:pPr>
        <w:pStyle w:val="Heading2"/>
      </w:pPr>
      <w:proofErr w:type="gramStart"/>
      <w:r>
        <w:t>2.5  Staged</w:t>
      </w:r>
      <w:proofErr w:type="gramEnd"/>
      <w:r>
        <w:t xml:space="preserve"> Deployment — The Clinical Trial Analogy</w:t>
      </w:r>
    </w:p>
    <w:p w14:paraId="0AE15CFB" w14:textId="77777777" w:rsidR="00BE5C1F" w:rsidRDefault="00000000">
      <w:pPr>
        <w:spacing w:before="240" w:after="120"/>
      </w:pPr>
      <w:r>
        <w:rPr>
          <w:b/>
          <w:bCs/>
          <w:sz w:val="24"/>
          <w:szCs w:val="24"/>
        </w:rPr>
        <w:t>Controlled market exposure</w:t>
      </w:r>
    </w:p>
    <w:p w14:paraId="02B8B638" w14:textId="45B7A303" w:rsidR="00BE5C1F" w:rsidRDefault="00000000">
      <w:pPr>
        <w:spacing w:before="100" w:after="100"/>
        <w:jc w:val="both"/>
      </w:pPr>
      <w:r>
        <w:t>New frontier model registrations are subject to a staged deployment requirement before general release. The model is deployed to a defined cohort of registered operators for a set observation period. During this period weights are withheld from general publication. General release follows successful completion of the observation period absent material adverse event findings.</w:t>
      </w:r>
    </w:p>
    <w:p w14:paraId="56181007" w14:textId="74F5EC71" w:rsidR="00360D10" w:rsidRPr="00E247C9" w:rsidRDefault="00000000" w:rsidP="00E247C9">
      <w:pPr>
        <w:spacing w:before="100" w:after="100"/>
        <w:jc w:val="both"/>
      </w:pPr>
      <w:r>
        <w:t>This converts the deployment phase into a data collection instrument. Real-use conditions, real user populations, and real incentive structures generate adverse event data that controlled laboratory evaluations cannot replicate.</w:t>
      </w:r>
    </w:p>
    <w:p w14:paraId="5F98DFF8" w14:textId="30F585BA" w:rsidR="00BE5C1F" w:rsidRDefault="00000000">
      <w:pPr>
        <w:spacing w:before="240" w:after="120"/>
      </w:pPr>
      <w:r>
        <w:rPr>
          <w:b/>
          <w:bCs/>
          <w:sz w:val="24"/>
          <w:szCs w:val="24"/>
        </w:rPr>
        <w:t>Adverse event reporting</w:t>
      </w:r>
    </w:p>
    <w:p w14:paraId="06D51877" w14:textId="5DB07FD1" w:rsidR="00BE5C1F" w:rsidRDefault="00000000">
      <w:pPr>
        <w:spacing w:before="100" w:after="100"/>
        <w:jc w:val="both"/>
      </w:pPr>
      <w:r>
        <w:t>Operators in the staged deployment cohort are required to report anomalous behaviours through a standardized taxonomy. An independent body aggregates reports and identifies patterns that no single operator would observe in isolation.</w:t>
      </w:r>
    </w:p>
    <w:p w14:paraId="3818443B" w14:textId="2A164289" w:rsidR="00BE5C1F" w:rsidRDefault="00000000">
      <w:pPr>
        <w:spacing w:before="100" w:after="100"/>
        <w:jc w:val="both"/>
      </w:pPr>
      <w:r>
        <w:t>The minimum viable adverse event report captures: model identifier and version hash, deployment context description, behaviour observed, harm category from standardized taxonomy, severity estimate, and timestamp. The taxonomy grows as real cases reveal the categories that matter. The database built from day one becomes the most valuable safety asset in the regulatory ecosystem — the thing that does not currently exist anywhere and that no individual lab has any incentive to build unilaterally.</w:t>
      </w:r>
    </w:p>
    <w:p w14:paraId="3818443C" w14:textId="2A16428A" w:rsidR="00BE5C1F" w:rsidRDefault="00000000">
      <w:pPr>
        <w:spacing w:before="240" w:after="120"/>
      </w:pPr>
      <w:r>
        <w:rPr>
          <w:b/>
          <w:bCs/>
          <w:sz w:val="24"/>
          <w:szCs w:val="24"/>
        </w:rPr>
        <w:t>Safe harbor for good-faith reporting</w:t>
      </w:r>
    </w:p>
    <w:p w14:paraId="3818443D" w14:textId="2A16428B" w:rsidR="00BE5C1F" w:rsidRDefault="00000000">
      <w:pPr>
        <w:spacing w:before="100" w:after="100"/>
        <w:jc w:val="both"/>
      </w:pPr>
      <w:r>
        <w:t>An adverse event database is only as informative as the volume and honesty of reports it receives. Reporting regimes that expose reporters to liability, competitive disadvantage, or retaliation systematically under-collect. The framework therefore includes safe harbor provisions for good-faith adverse event reports, vulnerability disclosures, and findings produced by independent auditors operating within their certified scope.</w:t>
      </w:r>
    </w:p>
    <w:p w14:paraId="3818443E" w14:textId="2A16428C" w:rsidR="00BE5C1F" w:rsidRDefault="00000000">
      <w:pPr>
        <w:spacing w:before="100" w:after="100"/>
        <w:jc w:val="both"/>
      </w:pPr>
      <w:r>
        <w:t>The safe harbor protects: timely reports submitted through the standardized taxonomy; vulnerability disclosures made to the registering entity and the regulatory body within defined disclosure windows; and audit findings disclosed under the certified auditor framework. The safe harbor does not protect: failure to report material adverse events known to the operator; reports made in bad faith or with intent to mislead; or unauthorized disclosure of information beyond what is necessary for the regulatory function. Operators reporting under safe harbor remain subject to liability for the underlying conduct that produced the adverse event; the protection applies to the reporting act, not to the conduct reported.</w:t>
      </w:r>
    </w:p>
    <w:p w14:paraId="3818443F" w14:textId="2A16428D" w:rsidR="00BE5C1F" w:rsidRDefault="00000000">
      <w:pPr>
        <w:spacing w:before="100" w:after="100"/>
        <w:jc w:val="both"/>
      </w:pPr>
      <w:r>
        <w:t>Reporters acting in good faith are also protected from retaliation by their employing organization, with enforcement provided through the regulatory body of the signatory jurisdiction.</w:t>
      </w:r>
    </w:p>
    <w:p w14:paraId="15FE4B5A" w14:textId="77777777" w:rsidR="00BE5C1F" w:rsidRDefault="00000000">
      <w:pPr>
        <w:spacing w:before="240" w:after="120"/>
      </w:pPr>
      <w:r>
        <w:rPr>
          <w:b/>
          <w:bCs/>
          <w:sz w:val="24"/>
          <w:szCs w:val="24"/>
        </w:rPr>
        <w:t>Relationship to open weights</w:t>
      </w:r>
    </w:p>
    <w:p w14:paraId="4E5C441D" w14:textId="77777777" w:rsidR="00360D10" w:rsidRDefault="00000000">
      <w:pPr>
        <w:spacing w:before="100" w:after="100"/>
        <w:jc w:val="both"/>
      </w:pPr>
      <w:r>
        <w:t xml:space="preserve">Open weight publication is treated as a general release event subject to the staged deployment requirement. Weights enter the observation period in a closed cohort of registered operators. Publication to the platform's open tier follows completion of the observation period. </w:t>
      </w:r>
    </w:p>
    <w:p w14:paraId="579D6CD9" w14:textId="60E42618" w:rsidR="00BE5C1F" w:rsidRDefault="00000000">
      <w:pPr>
        <w:spacing w:before="100" w:after="100"/>
        <w:jc w:val="both"/>
      </w:pPr>
      <w:r>
        <w:t>The weights eventually become fully accessible to all eligible tier users — the constraint is temporal and conditional, not permanent. This mirrors the clinical trial model exactly: phase 3 data eventually become public; the drug's chemistry eventually goes off patent.</w:t>
      </w:r>
    </w:p>
    <w:p w14:paraId="4D65A0AA" w14:textId="77777777" w:rsidR="00BE5C1F" w:rsidRDefault="00000000">
      <w:pPr>
        <w:pStyle w:val="Heading2"/>
      </w:pPr>
      <w:proofErr w:type="gramStart"/>
      <w:r>
        <w:t>2.6  Independent</w:t>
      </w:r>
      <w:proofErr w:type="gramEnd"/>
      <w:r>
        <w:t xml:space="preserve"> Auditor Tier</w:t>
      </w:r>
    </w:p>
    <w:p w14:paraId="4ED17FCF" w14:textId="1D9794DE" w:rsidR="00BE5C1F" w:rsidRDefault="00000000">
      <w:pPr>
        <w:spacing w:before="100" w:after="100"/>
        <w:jc w:val="both"/>
      </w:pPr>
      <w:r>
        <w:t>Verified auditors with full access to frontier models constitute the independent technical inspection capacity that currently does no</w:t>
      </w:r>
      <w:r w:rsidRPr="00E247C9">
        <w:t>t exist. The people with deep technical knowledge of frontier model behaviours are predominantly employees of the labs that built them. The structural incentives at play compromise their ability to advocate for external oversight and may also prevent effective internal oversight.</w:t>
      </w:r>
    </w:p>
    <w:p w14:paraId="5621112C" w14:textId="77777777" w:rsidR="00BE5C1F" w:rsidRDefault="00000000">
      <w:pPr>
        <w:spacing w:before="100" w:after="100"/>
        <w:jc w:val="both"/>
      </w:pPr>
      <w:r>
        <w:t>A certified auditor tier — analogous to clinical research organizations in pharmaceutical regulation — creates a professional class with technical depth, regulatory standing, and structural independence from model developers. Auditors access frontier models under controlled conditions, conduct adversarial testing that internal red teams are incentivized to underperform, and report findings to the regulatory body rather than to the developer's management.</w:t>
      </w:r>
    </w:p>
    <w:p w14:paraId="4D9CB12E" w14:textId="7948412A" w:rsidR="00BE5C1F" w:rsidRDefault="00000000">
      <w:pPr>
        <w:spacing w:before="100" w:after="100"/>
        <w:jc w:val="both"/>
      </w:pPr>
      <w:r>
        <w:t>Auditor certification is technically demanding. The curriculum covers reinforcement learning training dynamics, emergent behaviour detection methodology, sandbagging identification, and the specific failure modes of agentic systems with real tool access. This curriculum does not currently exist in complete form and must be developed in partnership with academic institutions that have relevant expertise without commercial conflicts.</w:t>
      </w:r>
    </w:p>
    <w:p w14:paraId="4D9CB12F" w14:textId="7948412B" w:rsidR="00BE5C1F" w:rsidRDefault="00000000">
      <w:pPr>
        <w:spacing w:before="240" w:after="120"/>
      </w:pPr>
      <w:r>
        <w:rPr>
          <w:b/>
          <w:bCs/>
          <w:sz w:val="24"/>
          <w:szCs w:val="24"/>
        </w:rPr>
        <w:t>Anti-capture safeguards</w:t>
      </w:r>
    </w:p>
    <w:p w14:paraId="4D9CB130" w14:textId="7948412C" w:rsidR="00BE5C1F" w:rsidRDefault="00000000">
      <w:pPr>
        <w:spacing w:before="100" w:after="100"/>
        <w:jc w:val="both"/>
      </w:pPr>
      <w:r>
        <w:t>Independent auditing is structurally vulnerable to the same capture dynamics that affect the bodies it inspects. The pharmaceutical and financial-audit precedents demonstrate that formal independence is necessary but not sufficient. The framework therefore embeds explicit anti-capture mechanisms in the auditor tier from establishment.</w:t>
      </w:r>
    </w:p>
    <w:p w14:paraId="4D9CB131" w14:textId="7948412D" w:rsidR="00BE5C1F" w:rsidRDefault="00000000">
      <w:pPr>
        <w:spacing w:before="100" w:after="100"/>
        <w:jc w:val="both"/>
      </w:pPr>
      <w:r>
        <w:t>Auditor accreditation is rotated on a defined cycle, with no auditor permanently assigned to the same model developer. Funding sources for accredited auditors and their parent organizations are publicly disclosed, including any consulting, advisory, or commercial relationships with frontier model developers in the preceding period. Cooling-off periods apply in both directions: individuals moving from frontier developer roles to auditor roles, and individuals moving from auditor roles to frontier developer roles, are subject to defined intervals during which they may not audit or be audited by their previous or prospective employer.</w:t>
      </w:r>
    </w:p>
    <w:p w14:paraId="4D9CB132" w14:textId="7948412E" w:rsidR="00BE5C1F" w:rsidRDefault="00000000">
      <w:pPr>
        <w:spacing w:before="100" w:after="100"/>
        <w:jc w:val="both"/>
      </w:pPr>
      <w:r>
        <w:t>Auditor performance is itself subject to public review. The regulatory body publishes periodic assessments of auditor effectiveness, including detection rates against seeded findings, consistency of judgments across comparable models, and follow-through on identified issues. Auditors whose performance falls below defined thresholds, or whose findings are systematically reversed on review, lose accreditation. The objective is to ensure that the auditor tier itself is subject to the same accountability discipline it applies to the entities it inspects.</w:t>
      </w:r>
    </w:p>
    <w:p w14:paraId="0F4616A5" w14:textId="77777777" w:rsidR="00BE5C1F" w:rsidRDefault="00BE5C1F">
      <w:pPr>
        <w:pBdr>
          <w:bottom w:val="single" w:sz="6" w:space="1" w:color="2E75B6"/>
        </w:pBdr>
        <w:spacing w:before="200" w:after="200"/>
      </w:pPr>
    </w:p>
    <w:p w14:paraId="0EDF5EC2" w14:textId="77777777" w:rsidR="00BE5C1F" w:rsidRDefault="00000000">
      <w:pPr>
        <w:pStyle w:val="Heading1"/>
      </w:pPr>
      <w:r>
        <w:t>Part III — Coalition and Political Viability</w:t>
      </w:r>
    </w:p>
    <w:p w14:paraId="2A42EF67" w14:textId="77777777" w:rsidR="00BE5C1F" w:rsidRDefault="00000000">
      <w:pPr>
        <w:pStyle w:val="Heading2"/>
      </w:pPr>
      <w:proofErr w:type="gramStart"/>
      <w:r>
        <w:t>3.1  Coalition</w:t>
      </w:r>
      <w:proofErr w:type="gramEnd"/>
      <w:r>
        <w:t xml:space="preserve"> Formation and Sequencing</w:t>
      </w:r>
    </w:p>
    <w:p w14:paraId="64E6FB5D" w14:textId="5CA68709" w:rsidR="00BE5C1F" w:rsidRDefault="00000000">
      <w:pPr>
        <w:spacing w:before="100" w:after="100"/>
        <w:jc w:val="both"/>
      </w:pPr>
      <w:r>
        <w:t>Initial coalition formation may proceed without unanimous frontier-state participation. Major AI-developing states currently navigating tensions between strategic competitiveness and safety governance may not be in a position to join an initiating coalition at proposal stage. The framework is designed to develop operational credibility and demonstrated market function first, on the basis of which broader engagement — including by states currently outside the coalition — can develop over time. This sequencing reflects the GDPR experience, where European market access proved sufficient to drive global compliance even in the absence of initial agreement from non-EU jurisdictions.</w:t>
      </w:r>
    </w:p>
    <w:p w14:paraId="0C45FA6D" w14:textId="6D8C901B" w:rsidR="00BE5C1F" w:rsidRDefault="00000000">
      <w:pPr>
        <w:spacing w:before="100" w:after="100"/>
        <w:jc w:val="both"/>
      </w:pPr>
      <w:r>
        <w:t>The EU provides regulatory infrastructure and demonstrated willingness to act unilaterally on technology governance in ways that reshape global industry behaviour.</w:t>
      </w:r>
    </w:p>
    <w:p w14:paraId="73A4E0B1" w14:textId="77777777" w:rsidR="00BE5C1F" w:rsidRDefault="00000000">
      <w:pPr>
        <w:spacing w:before="100" w:after="100"/>
        <w:jc w:val="both"/>
      </w:pPr>
      <w:r>
        <w:t>The Global South has strong structural incentives to participate. These jurisdictions are predominantly consumers of AI systems developed elsewhere, with limited ability to influence development practices and significant exposure to harms from misaligned systems deployed at scale in their markets. A framework that grants them leverage over what is deployed in their jurisdictions, combined with a simple compliance process that does not disadvantage local developers, is a genuine offer of governance capacity rather than a neocolonial imposition.</w:t>
      </w:r>
    </w:p>
    <w:p w14:paraId="174CCFE0" w14:textId="223E7A39" w:rsidR="00BE5C1F" w:rsidRDefault="00000000">
      <w:pPr>
        <w:spacing w:before="100" w:after="100"/>
        <w:jc w:val="both"/>
      </w:pPr>
      <w:r>
        <w:t>The US leads frontier closed-model development, and is likely to want standardized liability frameworks that enable market access at some point, even if initially hesitant. The gradual maturation of the framework also gives incentive to large players to join early.</w:t>
      </w:r>
    </w:p>
    <w:p w14:paraId="174CCFE1" w14:textId="448152A5" w:rsidR="00BE5C1F" w:rsidRDefault="00000000">
      <w:pPr>
        <w:spacing w:before="100" w:after="100"/>
        <w:jc w:val="both"/>
      </w:pPr>
      <w:r>
        <w:t>China presents a more complex case. Chinese labs seek Global South market access as a core component of their geopolitical AI strategy. A sufficiently broad coalition creates meaningful commercial pressure. Chinese domestic governance already exercises strong centralized control over model releases, and the regulatory infrastructure required by the framework is therefore mechanically compatible with existing Chinese practice. Whether that translates into participation depends on coalition composition and is a political question rather than a structural one.</w:t>
      </w:r>
    </w:p>
    <w:p w14:paraId="73D72EB1" w14:textId="06A15926" w:rsidR="00FF330D" w:rsidRDefault="00FF330D">
      <w:pPr>
        <w:spacing w:before="100" w:after="100"/>
        <w:jc w:val="both"/>
      </w:pPr>
      <w:r>
        <w:t>Differential implementation capacity is acknowledged. The framework distinguishes a baseline obligation set, applicable to all signatory jurisdictions, from enhanced obligations that may be adopted progressively as institutional capacity develops. The baseline set covers platform registration recognition, deployment-layer enforcement against unregistered models, and participation in adverse event reporting. Enhanced obligations include domestic auditor accreditation, independent technical bodies, and direct administration of a national platform tier. Lower-capacity jurisdictions can rely on shared infrastructure operated within the coalition — common platform registries, model templates for domestic implementing legislation, and technical assistance funded through coalition contributions — until they choose to develop independent capacity. Differential capacity should not become an excuse for indefinite deferral; the baseline obligations are intended to be implementable by every signatory from the date of accession.</w:t>
      </w:r>
    </w:p>
    <w:p w14:paraId="78CF9BAA" w14:textId="77777777" w:rsidR="00BE5C1F" w:rsidRDefault="00000000">
      <w:pPr>
        <w:pStyle w:val="Heading2"/>
      </w:pPr>
      <w:proofErr w:type="gramStart"/>
      <w:r>
        <w:t>3.2  Framing</w:t>
      </w:r>
      <w:proofErr w:type="gramEnd"/>
      <w:r>
        <w:t xml:space="preserve"> for Political Viability</w:t>
      </w:r>
    </w:p>
    <w:p w14:paraId="4F93BA0C" w14:textId="724B22B8" w:rsidR="00BE5C1F" w:rsidRDefault="00000000">
      <w:pPr>
        <w:spacing w:before="100" w:after="100"/>
        <w:jc w:val="both"/>
      </w:pPr>
      <w:r>
        <w:t>The framework should not be described merely as AI safety regulation. It is also a product liability standardization for AI systems.</w:t>
      </w:r>
    </w:p>
    <w:p w14:paraId="715550C6" w14:textId="77777777" w:rsidR="00BE5C1F" w:rsidRDefault="00000000">
      <w:pPr>
        <w:spacing w:before="100" w:after="100"/>
        <w:jc w:val="both"/>
      </w:pPr>
      <w:r>
        <w:t>Every physical product sold in the EU requires CE marking. Every pharmaceutical requires approval. Every vehicle requires crash testing. The default assumption for every product category is that standards must be met before consumer access. The question for AI systems is not whether standards should exist — it is only what the standards are and how compliance is demonstrated.</w:t>
      </w:r>
    </w:p>
    <w:p w14:paraId="7108A3C7" w14:textId="77777777" w:rsidR="00BE5C1F" w:rsidRDefault="00000000">
      <w:pPr>
        <w:spacing w:before="100" w:after="100"/>
        <w:jc w:val="both"/>
      </w:pPr>
      <w:r>
        <w:t>Framed this way, opposition must argue that AI systems specifically should be exempt from the product liability norms applying to everything else. That is a substantially harder public argument than the standard innovation-versus-regulation framing, which implicitly accepts that some regulation is legitimate and disputes only degree.</w:t>
      </w:r>
    </w:p>
    <w:p w14:paraId="73800034" w14:textId="77777777" w:rsidR="00BE5C1F" w:rsidRDefault="00000000">
      <w:pPr>
        <w:spacing w:before="100" w:after="100"/>
        <w:jc w:val="both"/>
      </w:pPr>
      <w:r>
        <w:t>The adverse event reporting requirement is the natural complement: CE marking requires manufacturers to report product failures. AI adverse event reporting is the same instrument applied to the same product liability logic.</w:t>
      </w:r>
    </w:p>
    <w:p w14:paraId="1094AEEC" w14:textId="77777777" w:rsidR="00BE5C1F" w:rsidRDefault="00000000">
      <w:pPr>
        <w:pStyle w:val="Heading2"/>
      </w:pPr>
      <w:proofErr w:type="gramStart"/>
      <w:r>
        <w:t>3.3  Jurisdictional</w:t>
      </w:r>
      <w:proofErr w:type="gramEnd"/>
      <w:r>
        <w:t xml:space="preserve"> Arbitrage as a Reduced Threat</w:t>
      </w:r>
    </w:p>
    <w:p w14:paraId="33075A18" w14:textId="77777777" w:rsidR="00BE5C1F" w:rsidRDefault="00000000">
      <w:pPr>
        <w:spacing w:before="100" w:after="100"/>
        <w:jc w:val="both"/>
      </w:pPr>
      <w:r>
        <w:t>Jurisdictional arbitrage — moving development to non-signatory jurisdictions to avoid regulatory requirements — is frequently cited as a fatal weakness of unilateral AI governance. This concern is overstated for two reasons.</w:t>
      </w:r>
    </w:p>
    <w:p w14:paraId="3C1813B3" w14:textId="114E185A" w:rsidR="00BE5C1F" w:rsidRDefault="00000000">
      <w:pPr>
        <w:spacing w:before="100" w:after="100"/>
        <w:jc w:val="both"/>
      </w:pPr>
      <w:r>
        <w:t xml:space="preserve">First, the framework enforces at </w:t>
      </w:r>
      <w:r w:rsidRPr="00E247C9">
        <w:t>the release/deployment layer</w:t>
      </w:r>
      <w:r>
        <w:t xml:space="preserve"> within signatory jurisdictions, not at the development layer. A model developed in a non-signatory jurisdiction must still be registered on the formal platform to be deployed in EU or Global South markets. The commercial incentive to relocate is substantially reduced when relocation does not produce market access.</w:t>
      </w:r>
    </w:p>
    <w:p w14:paraId="02B890B9" w14:textId="6FCF4D23" w:rsidR="00BE5C1F" w:rsidRDefault="00000000">
      <w:pPr>
        <w:spacing w:before="100" w:after="100"/>
        <w:jc w:val="both"/>
      </w:pPr>
      <w:r>
        <w:t>Second, jurisdiction of origin already functions as a quality signal in technology markets. Country of origin carries implicit safety and trust signalling in hardware procurement — the fabrication origin of semiconductors matters to enterprise buyers, governments, and insurers. The same dynamic develops for AI models as adverse events accumulate and get attributed to specific development cultures and oversight regimes. A model developed under deliberately weak oversight in an unaccountable jurisdiction becomes a reputational and liability risk for serious enterprise deployers. Market signal and regulatory instrument operate in the same direction.</w:t>
      </w:r>
    </w:p>
    <w:p w14:paraId="7D94C2C0" w14:textId="77777777" w:rsidR="00BE5C1F" w:rsidRDefault="00BE5C1F">
      <w:pPr>
        <w:pBdr>
          <w:bottom w:val="single" w:sz="6" w:space="1" w:color="2E75B6"/>
        </w:pBdr>
        <w:spacing w:before="200" w:after="200"/>
      </w:pPr>
    </w:p>
    <w:p w14:paraId="4F002CC6" w14:textId="77777777" w:rsidR="00BE5C1F" w:rsidRDefault="00000000">
      <w:pPr>
        <w:pStyle w:val="Heading1"/>
      </w:pPr>
      <w:r>
        <w:t>Part IV — Implementation Sequencing</w:t>
      </w:r>
    </w:p>
    <w:p w14:paraId="54C27D6C" w14:textId="77777777" w:rsidR="00BE5C1F" w:rsidRDefault="00000000">
      <w:pPr>
        <w:pStyle w:val="Heading2"/>
      </w:pPr>
      <w:proofErr w:type="gramStart"/>
      <w:r>
        <w:t>4.1  Phase</w:t>
      </w:r>
      <w:proofErr w:type="gramEnd"/>
      <w:r>
        <w:t xml:space="preserve"> One — Skeleton Establishment</w:t>
      </w:r>
    </w:p>
    <w:p w14:paraId="44527BBD" w14:textId="62FC77B6" w:rsidR="00BE5C1F" w:rsidRDefault="00000000">
      <w:pPr>
        <w:pStyle w:val="ListParagraph"/>
        <w:numPr>
          <w:ilvl w:val="0"/>
          <w:numId w:val="2"/>
        </w:numPr>
        <w:spacing w:before="60" w:after="60"/>
      </w:pPr>
      <w:r>
        <w:t>Establish/designate the formal release platform(s) with minimal initial criteria</w:t>
      </w:r>
    </w:p>
    <w:p w14:paraId="2B61E3E5" w14:textId="77777777" w:rsidR="00BE5C1F" w:rsidRDefault="00000000">
      <w:pPr>
        <w:pStyle w:val="ListParagraph"/>
        <w:numPr>
          <w:ilvl w:val="0"/>
          <w:numId w:val="2"/>
        </w:numPr>
        <w:spacing w:before="60" w:after="60"/>
      </w:pPr>
      <w:r>
        <w:t>Define the effective date from which all new model releases must register</w:t>
      </w:r>
    </w:p>
    <w:p w14:paraId="657080AF" w14:textId="77777777" w:rsidR="00BE5C1F" w:rsidRDefault="00000000">
      <w:pPr>
        <w:pStyle w:val="ListParagraph"/>
        <w:numPr>
          <w:ilvl w:val="0"/>
          <w:numId w:val="2"/>
        </w:numPr>
        <w:spacing w:before="60" w:after="60"/>
      </w:pPr>
      <w:r>
        <w:t>Implement identity verification and download ledger from day one</w:t>
      </w:r>
    </w:p>
    <w:p w14:paraId="2805B821" w14:textId="77777777" w:rsidR="00BE5C1F" w:rsidRDefault="00000000">
      <w:pPr>
        <w:pStyle w:val="ListParagraph"/>
        <w:numPr>
          <w:ilvl w:val="0"/>
          <w:numId w:val="2"/>
        </w:numPr>
        <w:spacing w:before="60" w:after="60"/>
      </w:pPr>
      <w:r>
        <w:t>Establish the adverse event reporting taxonomy in minimal viable form</w:t>
      </w:r>
    </w:p>
    <w:p w14:paraId="7E759BCE" w14:textId="77777777" w:rsidR="00BE5C1F" w:rsidRDefault="00000000">
      <w:pPr>
        <w:pStyle w:val="ListParagraph"/>
        <w:numPr>
          <w:ilvl w:val="0"/>
          <w:numId w:val="2"/>
        </w:numPr>
        <w:spacing w:before="60" w:after="60"/>
      </w:pPr>
      <w:r>
        <w:t>Create the independent technical body responsible for test battery maintenance</w:t>
      </w:r>
    </w:p>
    <w:p w14:paraId="00E73B88" w14:textId="77777777" w:rsidR="00BE5C1F" w:rsidRDefault="00000000">
      <w:pPr>
        <w:pStyle w:val="ListParagraph"/>
        <w:numPr>
          <w:ilvl w:val="0"/>
          <w:numId w:val="2"/>
        </w:numPr>
        <w:spacing w:before="60" w:after="60"/>
      </w:pPr>
      <w:r>
        <w:t>Publish the enforcement mechanism: non-compliant seeding results in deployment ban within signatory jurisdictions</w:t>
      </w:r>
    </w:p>
    <w:p w14:paraId="41E3701A" w14:textId="77777777" w:rsidR="00BE5C1F" w:rsidRDefault="00BE5C1F">
      <w:pPr>
        <w:spacing w:before="160"/>
      </w:pPr>
    </w:p>
    <w:p w14:paraId="4D5068EB" w14:textId="77777777" w:rsidR="00BE5C1F" w:rsidRDefault="00000000">
      <w:pPr>
        <w:pStyle w:val="Heading2"/>
      </w:pPr>
      <w:proofErr w:type="gramStart"/>
      <w:r>
        <w:t>4.2  Phase</w:t>
      </w:r>
      <w:proofErr w:type="gramEnd"/>
      <w:r>
        <w:t xml:space="preserve"> Two — Ecosystem Development</w:t>
      </w:r>
    </w:p>
    <w:p w14:paraId="20D5CBA6" w14:textId="77777777" w:rsidR="00BE5C1F" w:rsidRDefault="00000000">
      <w:pPr>
        <w:pStyle w:val="ListParagraph"/>
        <w:numPr>
          <w:ilvl w:val="0"/>
          <w:numId w:val="2"/>
        </w:numPr>
        <w:spacing w:before="60" w:after="60"/>
      </w:pPr>
      <w:r>
        <w:t>Allow the regulated platform to accumulate critical mass through low-friction compliance</w:t>
      </w:r>
    </w:p>
    <w:p w14:paraId="44F275B2" w14:textId="77777777" w:rsidR="00BE5C1F" w:rsidRDefault="00000000">
      <w:pPr>
        <w:pStyle w:val="ListParagraph"/>
        <w:numPr>
          <w:ilvl w:val="0"/>
          <w:numId w:val="2"/>
        </w:numPr>
        <w:spacing w:before="60" w:after="60"/>
      </w:pPr>
      <w:r>
        <w:t>Develop the auditor certification curriculum in partnership with academic institutions</w:t>
      </w:r>
    </w:p>
    <w:p w14:paraId="249A1810" w14:textId="77777777" w:rsidR="00BE5C1F" w:rsidRDefault="00000000">
      <w:pPr>
        <w:pStyle w:val="ListParagraph"/>
        <w:numPr>
          <w:ilvl w:val="0"/>
          <w:numId w:val="2"/>
        </w:numPr>
        <w:spacing w:before="60" w:after="60"/>
      </w:pPr>
      <w:r>
        <w:t>Begin operating the staged deployment requirement for new frontier model registrations</w:t>
      </w:r>
    </w:p>
    <w:p w14:paraId="4699F4F4" w14:textId="77777777" w:rsidR="00BE5C1F" w:rsidRDefault="00000000">
      <w:pPr>
        <w:pStyle w:val="ListParagraph"/>
        <w:numPr>
          <w:ilvl w:val="0"/>
          <w:numId w:val="2"/>
        </w:numPr>
        <w:spacing w:before="60" w:after="60"/>
      </w:pPr>
      <w:r>
        <w:t>Allow quality signal and network effects to create voluntary migration incentives for existing models</w:t>
      </w:r>
    </w:p>
    <w:p w14:paraId="1B571800" w14:textId="77777777" w:rsidR="00BE5C1F" w:rsidRDefault="00000000">
      <w:pPr>
        <w:pStyle w:val="ListParagraph"/>
        <w:numPr>
          <w:ilvl w:val="0"/>
          <w:numId w:val="2"/>
        </w:numPr>
        <w:spacing w:before="60" w:after="60"/>
      </w:pPr>
      <w:r>
        <w:t>Accumulate adverse event data as the empirical foundation for Phase Three criteria</w:t>
      </w:r>
    </w:p>
    <w:p w14:paraId="774065EE" w14:textId="77777777" w:rsidR="00BE5C1F" w:rsidRDefault="00BE5C1F">
      <w:pPr>
        <w:spacing w:before="160"/>
      </w:pPr>
    </w:p>
    <w:p w14:paraId="7C93428F" w14:textId="77777777" w:rsidR="00BE5C1F" w:rsidRDefault="00000000">
      <w:pPr>
        <w:pStyle w:val="Heading2"/>
      </w:pPr>
      <w:proofErr w:type="gramStart"/>
      <w:r>
        <w:t>4.3  Phase</w:t>
      </w:r>
      <w:proofErr w:type="gramEnd"/>
      <w:r>
        <w:t xml:space="preserve"> Three — Criteria Sharpening</w:t>
      </w:r>
    </w:p>
    <w:p w14:paraId="386D65C1" w14:textId="77777777" w:rsidR="00BE5C1F" w:rsidRDefault="00000000">
      <w:pPr>
        <w:pStyle w:val="ListParagraph"/>
        <w:numPr>
          <w:ilvl w:val="0"/>
          <w:numId w:val="2"/>
        </w:numPr>
        <w:spacing w:before="60" w:after="60"/>
      </w:pPr>
      <w:r>
        <w:t>Tighten tier thresholds based on adverse event patterns and capability assessments</w:t>
      </w:r>
    </w:p>
    <w:p w14:paraId="57E5760D" w14:textId="77777777" w:rsidR="00BE5C1F" w:rsidRDefault="00000000">
      <w:pPr>
        <w:pStyle w:val="ListParagraph"/>
        <w:numPr>
          <w:ilvl w:val="0"/>
          <w:numId w:val="2"/>
        </w:numPr>
        <w:spacing w:before="60" w:after="60"/>
      </w:pPr>
      <w:r>
        <w:t>Implement derivative liability framework as case law and incident attribution establish precedent</w:t>
      </w:r>
    </w:p>
    <w:p w14:paraId="18EEC1DE" w14:textId="77777777" w:rsidR="00BE5C1F" w:rsidRDefault="00000000">
      <w:pPr>
        <w:pStyle w:val="ListParagraph"/>
        <w:numPr>
          <w:ilvl w:val="0"/>
          <w:numId w:val="2"/>
        </w:numPr>
        <w:spacing w:before="60" w:after="60"/>
      </w:pPr>
      <w:r>
        <w:t>Expand auditor certification program as curriculum matures</w:t>
      </w:r>
    </w:p>
    <w:p w14:paraId="1A901FC4" w14:textId="77777777" w:rsidR="00BE5C1F" w:rsidRDefault="00000000">
      <w:pPr>
        <w:pStyle w:val="ListParagraph"/>
        <w:numPr>
          <w:ilvl w:val="0"/>
          <w:numId w:val="2"/>
        </w:numPr>
        <w:spacing w:before="60" w:after="60"/>
      </w:pPr>
      <w:r>
        <w:t>Engage US and other non-signatory jurisdictions from a position of established framework credibility</w:t>
      </w:r>
    </w:p>
    <w:p w14:paraId="261F6BEF" w14:textId="77777777" w:rsidR="00BE5C1F" w:rsidRDefault="00000000">
      <w:pPr>
        <w:pStyle w:val="ListParagraph"/>
        <w:numPr>
          <w:ilvl w:val="0"/>
          <w:numId w:val="2"/>
        </w:numPr>
        <w:spacing w:before="60" w:after="60"/>
      </w:pPr>
      <w:r>
        <w:t>Evaluate organizational structure requirements — including vertical integration mandates or equivalent cross-pipeline oversight obligations — as institutional capacity to audit them develops</w:t>
      </w:r>
    </w:p>
    <w:p w14:paraId="1E7C7F7A" w14:textId="77777777" w:rsidR="00BE5C1F" w:rsidRDefault="00BE5C1F">
      <w:pPr>
        <w:spacing w:before="160"/>
      </w:pPr>
    </w:p>
    <w:p w14:paraId="29332205" w14:textId="77777777" w:rsidR="00BE5C1F" w:rsidRDefault="00BE5C1F">
      <w:pPr>
        <w:pBdr>
          <w:bottom w:val="single" w:sz="6" w:space="1" w:color="2E75B6"/>
        </w:pBdr>
        <w:spacing w:before="200" w:after="200"/>
      </w:pPr>
    </w:p>
    <w:p w14:paraId="29ACE439" w14:textId="4FC49F6C" w:rsidR="00BE5C1F" w:rsidRPr="00E247C9" w:rsidRDefault="003C4091">
      <w:pPr>
        <w:pStyle w:val="Heading1"/>
      </w:pPr>
      <w:r w:rsidRPr="00E247C9">
        <w:t>Part V Institutional Quality of Oversight Bodies</w:t>
      </w:r>
    </w:p>
    <w:p w14:paraId="1431AE4E" w14:textId="5106B6DF" w:rsidR="00BE5C1F" w:rsidRDefault="00000000">
      <w:pPr>
        <w:spacing w:before="100" w:after="100"/>
        <w:jc w:val="both"/>
      </w:pPr>
      <w:r w:rsidRPr="00E247C9">
        <w:t>This framework places substantial weight on the independent auditor tier and technical bodies, such</w:t>
      </w:r>
      <w:r>
        <w:t xml:space="preserve"> as the one responsible for maintaining the test battery. These institutions are treated as given — as neutral, competent actors whose structural independence from model developers is sufficient to ensure their effectiveness. This assumption requires examination.</w:t>
      </w:r>
    </w:p>
    <w:p w14:paraId="50F8B41C" w14:textId="77777777" w:rsidR="00BE5C1F" w:rsidRDefault="00000000">
      <w:pPr>
        <w:spacing w:before="100" w:after="100"/>
        <w:jc w:val="both"/>
      </w:pPr>
      <w:r>
        <w:t>The pharmaceutical analogy, which the framework correctly invokes, also illustrates the risk. Clinical research organizations and regulatory bodies have well-documented histories of regulatory capture, institutional inertia, and leadership failure. The US FDA, the EMA, and the clinical research industry have all produced cases where structural independence did not translate into functional independence — where visibility replaced accountability, and where the institutions optimized for their own survival rather than the quality of their oversight function.</w:t>
      </w:r>
    </w:p>
    <w:p w14:paraId="702284D7" w14:textId="77777777" w:rsidR="00BE5C1F" w:rsidRDefault="00000000">
      <w:pPr>
        <w:spacing w:before="100" w:after="100"/>
        <w:jc w:val="both"/>
      </w:pPr>
      <w:r>
        <w:t>This is not an argument against the framework. It is an argument that the framework’s effectiveness is ultimately bounded by the character and competence of the people who operate its oversight institutions. The auditor certification curriculum, the independent technical body, the adverse event taxonomy — these are only as good as the leadership selecting and sustaining the people who run them. Structural design creates conditions for good oversight; it does not guarantee it.</w:t>
      </w:r>
    </w:p>
    <w:p w14:paraId="702284D8" w14:textId="77777778" w:rsidR="00BE5C1F" w:rsidRDefault="00000000">
      <w:pPr>
        <w:spacing w:before="100" w:after="100"/>
        <w:jc w:val="both"/>
      </w:pPr>
      <w:r>
        <w:t>The institutional quality requirement therefore translates into concrete mechanisms. Appointment criteria for oversight body leadership are defined in advance and made public, including required qualifications, conflict-of-interest disclosures, and term limits. A complaints pathway is established through which regulated entities, civil society organizations, and members of the public can raise concerns about oversight body conduct, with defined response timelines and a route of appeal independent of the body whose conduct is at issue. Sunset reviews are scheduled at regular intervals, during which the continued mandate, structure, and performance of each oversight body is examined by an external reviewer with the authority to recommend reform or dissolution. The auditors are themselves subject to audit; the technical body that maintains the test battery publishes the methodology and reasoning behind material updates; and the regulatory body publishes an annual performance report covering case throughput, decisions, reversed decisions, and unresolved matters.</w:t>
      </w:r>
    </w:p>
    <w:p w14:paraId="774F10CE" w14:textId="77777777" w:rsidR="00BE5C1F" w:rsidRDefault="00000000">
      <w:pPr>
        <w:spacing w:before="100" w:after="100"/>
        <w:jc w:val="both"/>
      </w:pPr>
      <w:r>
        <w:t>The framework should therefore be explicit that institutional quality — selection criteria for oversight body leadership, transparent performance metrics, meaningful accountability for oversight failures, and protection of institutional integrity against both commercial and political pressure — is a prerequisite condition, not an implementation detail. The skeleton must include not only the formal release platform and the auditor tier, but the governance of the governors themselves. Without this, the framework risks constructing an impressive institutional scaffold that, like so many before it, selects over time for visibility over substance and manages the appearance of oversight rather than its reality.</w:t>
      </w:r>
    </w:p>
    <w:p w14:paraId="040FB69A" w14:textId="77777777" w:rsidR="00BE5C1F" w:rsidRDefault="00000000">
      <w:pPr>
        <w:pStyle w:val="Heading1"/>
      </w:pPr>
      <w:r>
        <w:t>Conclusion</w:t>
      </w:r>
    </w:p>
    <w:p w14:paraId="69DCEDD0" w14:textId="77777777" w:rsidR="00BE5C1F" w:rsidRDefault="00000000">
      <w:pPr>
        <w:spacing w:before="100" w:after="100"/>
        <w:jc w:val="both"/>
      </w:pPr>
      <w:r>
        <w:t>The framework described here is more complete and technically grounded than most proposals currently circulating in policy discussions. Its components are implementable with existing technology and existing legal instruments. The political coalition is constructible. The liability logic is coherent with established product liability doctrine.</w:t>
      </w:r>
    </w:p>
    <w:p w14:paraId="5B9C236C" w14:textId="6E17B6E8" w:rsidR="00BE5C1F" w:rsidRDefault="006C2359">
      <w:pPr>
        <w:spacing w:before="100" w:after="100"/>
        <w:jc w:val="both"/>
      </w:pPr>
      <w:r w:rsidRPr="00E247C9">
        <w:t>To summarize its three distinguishing features relative to existing proposals: it attaches enforcement to the release event and the deployment layer rather than to the development process; it builds the adverse event database from day one as a foundational asset rather than treating data collection as a later-phase concern; and it sequences</w:t>
      </w:r>
      <w:r>
        <w:t xml:space="preserve"> implementation to generate the empirical evidence that makes future requirements intelligent rather than attempting to front-load intelligence the system does not yet have.</w:t>
      </w:r>
    </w:p>
    <w:p w14:paraId="1007BE6E" w14:textId="77777777" w:rsidR="00BE5C1F" w:rsidRDefault="00000000">
      <w:pPr>
        <w:spacing w:before="100" w:after="100"/>
        <w:jc w:val="both"/>
      </w:pPr>
      <w:r>
        <w:t>The framework does not require solving the hardest technical problems in AI safety before implementation begins. It requires establishing the institutional infrastructure through which solutions to those problems, as they develop, can be systematically applied.</w:t>
      </w:r>
    </w:p>
    <w:p w14:paraId="14212D6C" w14:textId="77777777" w:rsidR="00BE5C1F" w:rsidRDefault="00000000">
      <w:pPr>
        <w:spacing w:before="100" w:after="100"/>
        <w:jc w:val="both"/>
      </w:pPr>
      <w:r>
        <w:t>The window for establishing this infrastructure before the unregulated norm becomes entrenched is narrowing. The appropriate moment to build the skeleton is before the ecosystem it must govern has fully organized itself around its absence.</w:t>
      </w:r>
    </w:p>
    <w:p w14:paraId="57D84932" w14:textId="77777777" w:rsidR="00BE5C1F" w:rsidRDefault="00BE5C1F">
      <w:pPr>
        <w:pBdr>
          <w:bottom w:val="single" w:sz="6" w:space="1" w:color="2E75B6"/>
        </w:pBdr>
        <w:spacing w:before="200" w:after="200"/>
      </w:pPr>
    </w:p>
    <w:p w14:paraId="1F7CEF83" w14:textId="77777777" w:rsidR="00BE5C1F" w:rsidRDefault="00000000">
      <w:pPr>
        <w:spacing w:before="400"/>
        <w:jc w:val="center"/>
      </w:pPr>
      <w:r>
        <w:rPr>
          <w:i/>
          <w:iCs/>
          <w:color w:val="888888"/>
          <w:sz w:val="18"/>
          <w:szCs w:val="18"/>
        </w:rPr>
        <w:t>End of Document</w:t>
      </w:r>
    </w:p>
    <w:sectPr w:rsidR="00BE5C1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749AE" w14:textId="77777777" w:rsidR="00046EB8" w:rsidRDefault="00046EB8">
      <w:r>
        <w:separator/>
      </w:r>
    </w:p>
  </w:endnote>
  <w:endnote w:type="continuationSeparator" w:id="0">
    <w:p w14:paraId="79558EC8" w14:textId="77777777" w:rsidR="00046EB8" w:rsidRDefault="00046E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F68C7" w14:textId="77777777" w:rsidR="00BE5C1F" w:rsidRDefault="00000000">
    <w:pPr>
      <w:pBdr>
        <w:top w:val="single" w:sz="4" w:space="1" w:color="CCCCCC"/>
      </w:pBdr>
      <w:tabs>
        <w:tab w:val="right" w:pos="9026"/>
      </w:tabs>
      <w:spacing w:before="120"/>
    </w:pPr>
    <w:r>
      <w:rPr>
        <w:color w:val="666666"/>
        <w:sz w:val="18"/>
        <w:szCs w:val="18"/>
      </w:rPr>
      <w:t xml:space="preserve">Page </w:t>
    </w:r>
    <w:r>
      <w:rPr>
        <w:i/>
        <w:iCs/>
        <w:color w:val="666666"/>
        <w:sz w:val="18"/>
        <w:szCs w:val="18"/>
      </w:rPr>
      <w:tab/>
      <w:t>Submission to UN Global Dialogue on AI Governance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A8205" w14:textId="77777777" w:rsidR="00046EB8" w:rsidRDefault="00046EB8">
      <w:r>
        <w:separator/>
      </w:r>
    </w:p>
  </w:footnote>
  <w:footnote w:type="continuationSeparator" w:id="0">
    <w:p w14:paraId="6D4732A2" w14:textId="77777777" w:rsidR="00046EB8" w:rsidRDefault="00046EB8">
      <w:r>
        <w:continuationSeparator/>
      </w:r>
    </w:p>
  </w:footnote>
  <w:footnote w:id="1">
    <w:p w14:paraId="1A1B2C3D" w14:textId="77777777" w:rsidR="004D6EB7" w:rsidRDefault="004D6EB7">
      <w:pPr>
        <w:pStyle w:val="FootnoteText"/>
      </w:pPr>
      <w:r>
        <w:rPr>
          <w:rStyle w:val="FootnoteReference"/>
        </w:rPr>
        <w:footnoteRef/>
      </w:r>
      <w:r>
        <w:t xml:space="preserve"> Lynch, A., Wright, B., Larson, C., Ritchie, S. J., Mindermann, S., Perez, E., Troy, K. K., &amp; Hubinger, E. (2025). Agentic Misalignment: How LLMs could be insider threats. Anthropic. https://www.anthropic.com/research/agentic-misalignment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4C3C4" w14:textId="77777777" w:rsidR="00BE5C1F" w:rsidRDefault="00000000">
    <w:pPr>
      <w:pBdr>
        <w:bottom w:val="single" w:sz="4" w:space="1" w:color="CCCCCC"/>
      </w:pBdr>
      <w:tabs>
        <w:tab w:val="right" w:pos="9026"/>
      </w:tabs>
      <w:spacing w:after="120"/>
    </w:pPr>
    <w:r>
      <w:rPr>
        <w:color w:val="666666"/>
        <w:sz w:val="18"/>
        <w:szCs w:val="18"/>
      </w:rPr>
      <w:t>FRONTIER AI GOVERNANCE FRAMEWORK</w:t>
    </w:r>
    <w:r>
      <w:rPr>
        <w:sz w:val="18"/>
        <w:szCs w:val="18"/>
      </w:rPr>
      <w:tab/>
    </w:r>
    <w:r>
      <w:rPr>
        <w:i/>
        <w:iCs/>
        <w:color w:val="666666"/>
        <w:sz w:val="18"/>
        <w:szCs w:val="18"/>
      </w:rPr>
      <w:t>UN Global Dialogue Submission —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55A17"/>
    <w:multiLevelType w:val="hybridMultilevel"/>
    <w:tmpl w:val="DBDC125E"/>
    <w:lvl w:ilvl="0" w:tplc="036A7874">
      <w:start w:val="1"/>
      <w:numFmt w:val="decimal"/>
      <w:lvlText w:val="%1."/>
      <w:lvlJc w:val="left"/>
      <w:pPr>
        <w:ind w:left="720" w:hanging="360"/>
      </w:pPr>
    </w:lvl>
    <w:lvl w:ilvl="1" w:tplc="7C962366">
      <w:numFmt w:val="decimal"/>
      <w:lvlText w:val=""/>
      <w:lvlJc w:val="left"/>
    </w:lvl>
    <w:lvl w:ilvl="2" w:tplc="6CEAD07C">
      <w:numFmt w:val="decimal"/>
      <w:lvlText w:val=""/>
      <w:lvlJc w:val="left"/>
    </w:lvl>
    <w:lvl w:ilvl="3" w:tplc="A78E930A">
      <w:numFmt w:val="decimal"/>
      <w:lvlText w:val=""/>
      <w:lvlJc w:val="left"/>
    </w:lvl>
    <w:lvl w:ilvl="4" w:tplc="8528C232">
      <w:numFmt w:val="decimal"/>
      <w:lvlText w:val=""/>
      <w:lvlJc w:val="left"/>
    </w:lvl>
    <w:lvl w:ilvl="5" w:tplc="B25E4114">
      <w:numFmt w:val="decimal"/>
      <w:lvlText w:val=""/>
      <w:lvlJc w:val="left"/>
    </w:lvl>
    <w:lvl w:ilvl="6" w:tplc="1B3AD424">
      <w:numFmt w:val="decimal"/>
      <w:lvlText w:val=""/>
      <w:lvlJc w:val="left"/>
    </w:lvl>
    <w:lvl w:ilvl="7" w:tplc="E69EFE7A">
      <w:numFmt w:val="decimal"/>
      <w:lvlText w:val=""/>
      <w:lvlJc w:val="left"/>
    </w:lvl>
    <w:lvl w:ilvl="8" w:tplc="2954C562">
      <w:numFmt w:val="decimal"/>
      <w:lvlText w:val=""/>
      <w:lvlJc w:val="left"/>
    </w:lvl>
  </w:abstractNum>
  <w:abstractNum w:abstractNumId="1" w15:restartNumberingAfterBreak="0">
    <w:nsid w:val="3B527730"/>
    <w:multiLevelType w:val="hybridMultilevel"/>
    <w:tmpl w:val="81E823C6"/>
    <w:lvl w:ilvl="0" w:tplc="DE4A549C">
      <w:start w:val="1"/>
      <w:numFmt w:val="bullet"/>
      <w:lvlText w:val="•"/>
      <w:lvlJc w:val="left"/>
      <w:pPr>
        <w:ind w:left="720" w:hanging="360"/>
      </w:pPr>
    </w:lvl>
    <w:lvl w:ilvl="1" w:tplc="6EA4E15A">
      <w:numFmt w:val="decimal"/>
      <w:lvlText w:val=""/>
      <w:lvlJc w:val="left"/>
    </w:lvl>
    <w:lvl w:ilvl="2" w:tplc="E65C1624">
      <w:numFmt w:val="decimal"/>
      <w:lvlText w:val=""/>
      <w:lvlJc w:val="left"/>
    </w:lvl>
    <w:lvl w:ilvl="3" w:tplc="D93A17A2">
      <w:numFmt w:val="decimal"/>
      <w:lvlText w:val=""/>
      <w:lvlJc w:val="left"/>
    </w:lvl>
    <w:lvl w:ilvl="4" w:tplc="18D62A2A">
      <w:numFmt w:val="decimal"/>
      <w:lvlText w:val=""/>
      <w:lvlJc w:val="left"/>
    </w:lvl>
    <w:lvl w:ilvl="5" w:tplc="FE66470A">
      <w:numFmt w:val="decimal"/>
      <w:lvlText w:val=""/>
      <w:lvlJc w:val="left"/>
    </w:lvl>
    <w:lvl w:ilvl="6" w:tplc="AE568BF0">
      <w:numFmt w:val="decimal"/>
      <w:lvlText w:val=""/>
      <w:lvlJc w:val="left"/>
    </w:lvl>
    <w:lvl w:ilvl="7" w:tplc="DB7828C8">
      <w:numFmt w:val="decimal"/>
      <w:lvlText w:val=""/>
      <w:lvlJc w:val="left"/>
    </w:lvl>
    <w:lvl w:ilvl="8" w:tplc="EF309CF2">
      <w:numFmt w:val="decimal"/>
      <w:lvlText w:val=""/>
      <w:lvlJc w:val="left"/>
    </w:lvl>
  </w:abstractNum>
  <w:abstractNum w:abstractNumId="2" w15:restartNumberingAfterBreak="0">
    <w:nsid w:val="705112A7"/>
    <w:multiLevelType w:val="hybridMultilevel"/>
    <w:tmpl w:val="B97C6CA8"/>
    <w:lvl w:ilvl="0" w:tplc="C0FAC36A">
      <w:start w:val="1"/>
      <w:numFmt w:val="bullet"/>
      <w:lvlText w:val="●"/>
      <w:lvlJc w:val="left"/>
      <w:pPr>
        <w:ind w:left="720" w:hanging="360"/>
      </w:pPr>
    </w:lvl>
    <w:lvl w:ilvl="1" w:tplc="5B6CC64A">
      <w:start w:val="1"/>
      <w:numFmt w:val="bullet"/>
      <w:lvlText w:val="○"/>
      <w:lvlJc w:val="left"/>
      <w:pPr>
        <w:ind w:left="1440" w:hanging="360"/>
      </w:pPr>
    </w:lvl>
    <w:lvl w:ilvl="2" w:tplc="B0A671CE">
      <w:start w:val="1"/>
      <w:numFmt w:val="bullet"/>
      <w:lvlText w:val="■"/>
      <w:lvlJc w:val="left"/>
      <w:pPr>
        <w:ind w:left="2160" w:hanging="360"/>
      </w:pPr>
    </w:lvl>
    <w:lvl w:ilvl="3" w:tplc="806653F2">
      <w:start w:val="1"/>
      <w:numFmt w:val="bullet"/>
      <w:lvlText w:val="●"/>
      <w:lvlJc w:val="left"/>
      <w:pPr>
        <w:ind w:left="2880" w:hanging="360"/>
      </w:pPr>
    </w:lvl>
    <w:lvl w:ilvl="4" w:tplc="D66814B4">
      <w:start w:val="1"/>
      <w:numFmt w:val="bullet"/>
      <w:lvlText w:val="○"/>
      <w:lvlJc w:val="left"/>
      <w:pPr>
        <w:ind w:left="3600" w:hanging="360"/>
      </w:pPr>
    </w:lvl>
    <w:lvl w:ilvl="5" w:tplc="AFF02D04">
      <w:start w:val="1"/>
      <w:numFmt w:val="bullet"/>
      <w:lvlText w:val="■"/>
      <w:lvlJc w:val="left"/>
      <w:pPr>
        <w:ind w:left="4320" w:hanging="360"/>
      </w:pPr>
    </w:lvl>
    <w:lvl w:ilvl="6" w:tplc="59BE4D5A">
      <w:start w:val="1"/>
      <w:numFmt w:val="bullet"/>
      <w:lvlText w:val="●"/>
      <w:lvlJc w:val="left"/>
      <w:pPr>
        <w:ind w:left="5040" w:hanging="360"/>
      </w:pPr>
    </w:lvl>
    <w:lvl w:ilvl="7" w:tplc="C6925BF0">
      <w:start w:val="1"/>
      <w:numFmt w:val="bullet"/>
      <w:lvlText w:val="●"/>
      <w:lvlJc w:val="left"/>
      <w:pPr>
        <w:ind w:left="5760" w:hanging="360"/>
      </w:pPr>
    </w:lvl>
    <w:lvl w:ilvl="8" w:tplc="7004E0B0">
      <w:start w:val="1"/>
      <w:numFmt w:val="bullet"/>
      <w:lvlText w:val="●"/>
      <w:lvlJc w:val="left"/>
      <w:pPr>
        <w:ind w:left="6480" w:hanging="360"/>
      </w:pPr>
    </w:lvl>
  </w:abstractNum>
  <w:num w:numId="1" w16cid:durableId="425612935">
    <w:abstractNumId w:val="2"/>
    <w:lvlOverride w:ilvl="0">
      <w:startOverride w:val="1"/>
    </w:lvlOverride>
  </w:num>
  <w:num w:numId="2" w16cid:durableId="15955545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C1F"/>
    <w:rsid w:val="00001C89"/>
    <w:rsid w:val="00046EB8"/>
    <w:rsid w:val="0007025B"/>
    <w:rsid w:val="00084BFC"/>
    <w:rsid w:val="000D48D4"/>
    <w:rsid w:val="00174F66"/>
    <w:rsid w:val="00180B0D"/>
    <w:rsid w:val="00232EE5"/>
    <w:rsid w:val="00241904"/>
    <w:rsid w:val="0024445D"/>
    <w:rsid w:val="002931F8"/>
    <w:rsid w:val="003034A1"/>
    <w:rsid w:val="00360D10"/>
    <w:rsid w:val="003C4091"/>
    <w:rsid w:val="003D4D66"/>
    <w:rsid w:val="00440305"/>
    <w:rsid w:val="004D6EB7"/>
    <w:rsid w:val="00614400"/>
    <w:rsid w:val="006564C7"/>
    <w:rsid w:val="00686E3E"/>
    <w:rsid w:val="006C2359"/>
    <w:rsid w:val="0072362E"/>
    <w:rsid w:val="00760C93"/>
    <w:rsid w:val="00833772"/>
    <w:rsid w:val="00850CE3"/>
    <w:rsid w:val="00856DCE"/>
    <w:rsid w:val="00881F7B"/>
    <w:rsid w:val="008B3973"/>
    <w:rsid w:val="008C1F4D"/>
    <w:rsid w:val="00902F74"/>
    <w:rsid w:val="00910B80"/>
    <w:rsid w:val="00921D17"/>
    <w:rsid w:val="00942D04"/>
    <w:rsid w:val="00A704EE"/>
    <w:rsid w:val="00A71BFA"/>
    <w:rsid w:val="00AE2103"/>
    <w:rsid w:val="00B305BC"/>
    <w:rsid w:val="00B36D50"/>
    <w:rsid w:val="00BE5C1F"/>
    <w:rsid w:val="00C35AB6"/>
    <w:rsid w:val="00C43CFE"/>
    <w:rsid w:val="00C66D6D"/>
    <w:rsid w:val="00D26F45"/>
    <w:rsid w:val="00D7288B"/>
    <w:rsid w:val="00D761B0"/>
    <w:rsid w:val="00E247C9"/>
    <w:rsid w:val="00E777E8"/>
    <w:rsid w:val="00F17D5C"/>
    <w:rsid w:val="00F8211F"/>
    <w:rsid w:val="00F85DF3"/>
    <w:rsid w:val="00FA6696"/>
    <w:rsid w:val="00FF0DBE"/>
    <w:rsid w:val="00FF330D"/>
  </w:rsids>
  <m:mathPr>
    <m:mathFont m:val="Cambria Math"/>
    <m:brkBin m:val="before"/>
    <m:brkBinSub m:val="--"/>
    <m:smallFrac m:val="0"/>
    <m:dispDef/>
    <m:lMargin m:val="0"/>
    <m:rMargin m:val="0"/>
    <m:defJc m:val="centerGroup"/>
    <m:wrapIndent m:val="1440"/>
    <m:intLim m:val="subSup"/>
    <m:naryLim m:val="undOvr"/>
  </m:mathPr>
  <w:themeFontLang w:val="en-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4FB24"/>
  <w15:docId w15:val="{DCE4ACB2-990B-4C0C-9859-6F9465D66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FI" w:eastAsia="en-F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5680</Words>
  <Characters>32378</Characters>
  <Application>Microsoft Office Word</Application>
  <DocSecurity>0</DocSecurity>
  <Lines>269</Lines>
  <Paragraphs>75</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
      <vt:lpstr>Executive Summary</vt:lpstr>
      <vt:lpstr>Relevance to the Dialogue’s Thematic Clusters</vt:lpstr>
      <vt:lpstr>Preamble</vt:lpstr>
      <vt:lpstr>Part I — The Problem with Existing Frameworks</vt:lpstr>
      <vt:lpstr>    1.1  Why Data Ethics Governance Does Not Transfer</vt:lpstr>
      <vt:lpstr>    1.2  The Organizational Structure Gap</vt:lpstr>
      <vt:lpstr>    1.3  The Open Weight Distribution Problem</vt:lpstr>
      <vt:lpstr>Part II — The Skeleton Framework</vt:lpstr>
      <vt:lpstr>    2.1  The Formal Release Platform</vt:lpstr>
      <vt:lpstr>    2.2  Tiered Access Architecture</vt:lpstr>
      <vt:lpstr>    2.3  Identity and Download Ledger</vt:lpstr>
      <vt:lpstr>    2.4  Modification and Release — Liability Architecture</vt:lpstr>
      <vt:lpstr>    2.5  Staged Deployment — The Clinical Trial Analogy</vt:lpstr>
      <vt:lpstr>    2.6  Independent Auditor Tier</vt:lpstr>
      <vt:lpstr>Part III — Coalition and Political Viability</vt:lpstr>
      <vt:lpstr>    3.1  Coalition Formation and Sequencing</vt:lpstr>
      <vt:lpstr>    3.2  Framing for Political Viability</vt:lpstr>
      <vt:lpstr>    3.3  Jurisdictional Arbitrage as a Reduced Threat</vt:lpstr>
      <vt:lpstr>Part IV — Implementation Sequencing</vt:lpstr>
      <vt:lpstr>    4.1  Phase One — Skeleton Establishment</vt:lpstr>
      <vt:lpstr>    4.2  Phase Two — Ecosystem Development</vt:lpstr>
      <vt:lpstr>    4.3  Phase Three — Criteria Sharpening</vt:lpstr>
      <vt:lpstr>Part V Institutional Quality of Oversight Bodies</vt:lpstr>
      <vt:lpstr>Conclusion</vt:lpstr>
    </vt:vector>
  </TitlesOfParts>
  <Company/>
  <LinksUpToDate>false</LinksUpToDate>
  <CharactersWithSpaces>37983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jeslindh.enterprise@gmail.com</dc:creator>
  <cp:lastModifiedBy>Jesper Lindholm</cp:lastModifiedBy>
  <cp:revision>4</cp:revision>
  <dcterms:created xsi:type="dcterms:W3CDTF">2026-04-30T20:49:00Z</dcterms:created>
  <dcterms:modified xsi:type="dcterms:W3CDTF">2026-04-30T21:00:00Z</dcterms:modified>
</cp:coreProperties>
</file>