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3155" w14:textId="77777777" w:rsidR="00BE5C1F" w:rsidRDefault="00000000">
      <w:pPr>
        <w:spacing w:before="400" w:after="160"/>
      </w:pPr>
      <w:r>
        <w:rPr>
          <w:b/>
          <w:bCs/>
          <w:color w:val="1F3864"/>
          <w:sz w:val="56"/>
          <w:szCs w:val="56"/>
        </w:rPr>
        <w:t>Frontier AI Governance Framework</w:t>
      </w:r>
    </w:p>
    <w:p w14:paraId="2AE788BC" w14:textId="77777777" w:rsidR="00BE5C1F" w:rsidRDefault="00000000">
      <w:pPr>
        <w:spacing w:after="120"/>
      </w:pPr>
      <w:r>
        <w:rPr>
          <w:i/>
          <w:iCs/>
          <w:color w:val="2E75B6"/>
          <w:sz w:val="28"/>
          <w:szCs w:val="28"/>
        </w:rPr>
        <w:t>A Skeleton Policy Architecture for International Adoption</w:t>
      </w:r>
    </w:p>
    <w:p w14:paraId="63799F1B" w14:textId="0C04A1CF" w:rsidR="00B36D50" w:rsidRPr="00B36D50" w:rsidRDefault="00000000">
      <w:pPr>
        <w:spacing w:after="600"/>
        <w:rPr>
          <w:color w:val="888888"/>
          <w:sz w:val="20"/>
          <w:szCs w:val="20"/>
        </w:rPr>
      </w:pPr>
      <w:r>
        <w:rPr>
          <w:color w:val="888888"/>
          <w:sz w:val="20"/>
          <w:szCs w:val="20"/>
        </w:rPr>
        <w:t>April 2026  |  Submission to UN Global Dialogue on AI Governance</w:t>
      </w:r>
      <w:r>
        <w:rPr>
          <w:color w:val="888888"/>
          <w:sz w:val="20"/>
          <w:szCs w:val="20"/>
        </w:rPr>
        <w:br/>
      </w:r>
      <w:r>
        <w:rPr>
          <w:color w:val="888888"/>
          <w:sz w:val="20"/>
          <w:szCs w:val="20"/>
        </w:rPr>
        <w:br/>
      </w:r>
      <w:r>
        <w:rPr>
          <w:i/>
          <w:iCs/>
          <w:color w:val="888888"/>
          <w:sz w:val="20"/>
          <w:szCs w:val="20"/>
        </w:rPr>
        <w:t>Drafted by AI safety activist Jesper Lin</w:t>
      </w:r>
      <w:r w:rsidR="00FF0DBE">
        <w:rPr>
          <w:i/>
          <w:iCs/>
          <w:color w:val="888888"/>
          <w:sz w:val="20"/>
          <w:szCs w:val="20"/>
        </w:rPr>
        <w:t>d</w:t>
      </w:r>
      <w:r>
        <w:rPr>
          <w:i/>
          <w:iCs/>
          <w:color w:val="888888"/>
          <w:sz w:val="20"/>
          <w:szCs w:val="20"/>
        </w:rPr>
        <w:t>holm, Prague</w:t>
      </w:r>
    </w:p>
    <w:p w14:paraId="244BE634" w14:textId="77777777" w:rsidR="00BE5C1F" w:rsidRDefault="00BE5C1F">
      <w:pPr>
        <w:pBdr>
          <w:bottom w:val="single" w:sz="6" w:space="1" w:color="2E75B6"/>
        </w:pBdr>
        <w:spacing w:before="200" w:after="200"/>
      </w:pPr>
    </w:p>
    <w:p w14:paraId="1A000001" w14:textId="77777777" w:rsidR="00BE5C1F" w:rsidRDefault="00000000">
      <w:pPr>
        <w:pStyle w:val="Heading1"/>
      </w:pPr>
      <w:r>
        <w:t>Executive Summary</w:t>
      </w:r>
    </w:p>
    <w:p w14:paraId="1A000002" w14:textId="77777777" w:rsidR="00BE5C1F" w:rsidRDefault="00000000">
      <w:pPr>
        <w:spacing w:before="100" w:after="100"/>
        <w:jc w:val="both"/>
      </w:pPr>
      <w:r>
        <w:t>This submission proposes a skeleton governance architecture for frontier AI development and deployment. It is designed to be adopted incrementally by an initial coalition of jurisdictions, with foundational legal and institutional structures established first and substantive requirements sharpening over time as an empirical evidence base develops. The proposal is offered as input to the Global Dialogue’s thematic clusters on safe, secure and trustworthy AI; on transparency, accountability and human oversight; and on bridging AI divides — particularly in relation to open-weight model distribution.</w:t>
      </w:r>
    </w:p>
    <w:p w14:paraId="1A000003" w14:textId="77777777" w:rsidR="00BE5C1F" w:rsidRDefault="00000000">
      <w:pPr>
        <w:spacing w:before="100" w:after="100"/>
        <w:jc w:val="both"/>
      </w:pPr>
      <w:r>
        <w:t>Three structural innovations distinguish this framework from existing proposals:</w:t>
      </w:r>
    </w:p>
    <w:p w14:paraId="1A000004" w14:textId="77777777" w:rsidR="00BE5C1F" w:rsidRDefault="00000000">
      <w:pPr>
        <w:spacing w:before="100" w:after="100"/>
        <w:ind w:left="360"/>
        <w:jc w:val="both"/>
      </w:pPr>
      <w:r>
        <w:rPr>
          <w:b/>
        </w:rPr>
        <w:t xml:space="preserve">1. Enforcement attaches at the deployment layer rather than the development process. </w:t>
      </w:r>
      <w:r>
        <w:t>Compliance is verified by regulated entities within signatory jurisdictions before deployment, mirroring the mechanism that made GDPR enforceable across non-EU servers. This requires no surveillance of global repositories and remains effective against open-weight model distribution, which existing instruments cannot reach.</w:t>
      </w:r>
    </w:p>
    <w:p w14:paraId="1A000005" w14:textId="77777777" w:rsidR="00BE5C1F" w:rsidRDefault="00000000">
      <w:pPr>
        <w:spacing w:before="100" w:after="100"/>
        <w:ind w:left="360"/>
        <w:jc w:val="both"/>
      </w:pPr>
      <w:r>
        <w:rPr>
          <w:b/>
        </w:rPr>
        <w:t xml:space="preserve">2. An adverse event database is built from day one as a foundational asset. </w:t>
      </w:r>
      <w:r>
        <w:t>Identity verification, cryptographic chain of custody, and standardized incident reporting are implemented at platform launch. Retroactive reconstruction of this evidential foundation is impossible. Captured early, the data has negligible marginal cost; uncaptured, it cannot be recovered when needed for incident attribution or for informing future regulatory criteria.</w:t>
      </w:r>
    </w:p>
    <w:p w14:paraId="1A000006" w14:textId="77777777" w:rsidR="00BE5C1F" w:rsidRDefault="00000000">
      <w:pPr>
        <w:spacing w:before="100" w:after="100"/>
        <w:ind w:left="360"/>
        <w:jc w:val="both"/>
      </w:pPr>
      <w:r>
        <w:rPr>
          <w:b/>
        </w:rPr>
        <w:t xml:space="preserve">3. Implementation is sequenced to generate the empirical evidence that makes future requirements intelligent. </w:t>
      </w:r>
      <w:r>
        <w:t>Initial registration criteria are minimally burdensome to maximize adoption and redirect ecosystem growth onto regulated infrastructure. Substantive requirements then sharpen as adverse event data accumulates. The framework does not attempt to front-load intelligence the system does not yet have.</w:t>
      </w:r>
    </w:p>
    <w:p w14:paraId="1A000007" w14:textId="77777777" w:rsidR="00BE5C1F" w:rsidRDefault="00000000">
      <w:pPr>
        <w:spacing w:before="100" w:after="100"/>
        <w:jc w:val="both"/>
      </w:pPr>
      <w:r>
        <w:t>The framework is implementable with existing technology and existing legal instruments. It is framed in the language of product liability standardization rather than novel AI-specific regulation, drawing on established analogues in pharmaceutical approval, CE marking, and clinical trial supervision. It does not require solving the hardest technical problems in AI safety before implementation begins; it requires establishing the institutional infrastructure through which solutions to those problems, as they develop, can be systematically applied.</w:t>
      </w:r>
    </w:p>
    <w:p w14:paraId="1A000008" w14:textId="77777777" w:rsidR="00BE5C1F" w:rsidRDefault="00000000">
      <w:pPr>
        <w:pStyle w:val="Heading1"/>
      </w:pPr>
      <w:r>
        <w:lastRenderedPageBreak/>
        <w:t>Relevance to the Dialogue’s Thematic Clusters</w:t>
      </w:r>
    </w:p>
    <w:p w14:paraId="1A000009" w14:textId="77777777" w:rsidR="00BE5C1F" w:rsidRDefault="00000000">
      <w:pPr>
        <w:spacing w:before="100" w:after="100"/>
        <w:jc w:val="both"/>
      </w:pPr>
      <w:r>
        <w:t>The proposals in this submission map to three of the four thematic clusters identified in the draft note on themes and structure of the Global Dialogue.</w:t>
      </w:r>
    </w:p>
    <w:p w14:paraId="1A00000A" w14:textId="77777777" w:rsidR="00BE5C1F" w:rsidRDefault="00000000">
      <w:pPr>
        <w:spacing w:before="100" w:after="100"/>
        <w:jc w:val="both"/>
      </w:pPr>
      <w:r>
        <w:rPr>
          <w:b/>
        </w:rPr>
        <w:t xml:space="preserve">Safe, secure and trustworthy AI: responsible and interoperable approaches. </w:t>
      </w:r>
      <w:r>
        <w:t>The formal release platform (Section 2.1), tiered access architecture (2.2), staged deployment requirement (2.5), and independent auditor tier (2.6) address the development of safe, secure and trustworthy AI systems and provide a mechanism for interoperability across jurisdictions through a shared registration substrate and adverse event taxonomy.</w:t>
      </w:r>
    </w:p>
    <w:p w14:paraId="1A00000B" w14:textId="77777777" w:rsidR="00BE5C1F" w:rsidRDefault="00000000">
      <w:pPr>
        <w:spacing w:before="100" w:after="100"/>
        <w:jc w:val="both"/>
      </w:pPr>
      <w:r>
        <w:rPr>
          <w:b/>
        </w:rPr>
        <w:t xml:space="preserve">Human rights, transparency, accountability and human oversight. </w:t>
      </w:r>
      <w:r>
        <w:t>The identity and download ledger (Section 2.3), modification and release liability architecture (2.4), and adverse event reporting taxonomy (within 2.5) address transparency and accountability requirements. The staged deployment requirement creates a defined window for human oversight of frontier models before general release. The institutional quality prerequisite addresses the structural conditions under which oversight bodies remain functionally independent.</w:t>
      </w:r>
    </w:p>
    <w:p w14:paraId="1A00000C" w14:textId="77777777" w:rsidR="00BE5C1F" w:rsidRDefault="00000000">
      <w:pPr>
        <w:spacing w:before="100" w:after="100"/>
        <w:jc w:val="both"/>
      </w:pPr>
      <w:r>
        <w:rPr>
          <w:b/>
        </w:rPr>
        <w:t xml:space="preserve">Bridging AI divides: capacity-building, access and digital foundations. </w:t>
      </w:r>
      <w:r>
        <w:t>The framework treats open-weight model distribution as a release event subject to the same staged deployment requirement as closed releases (Section 2.5), rather than placing it outside regulatory scope. This addresses the fastest-growing segment of the AI ecosystem and the segment most directly relevant to jurisdictions that are predominantly consumers of AI systems developed elsewhere. The tiered access architecture is designed so that compliance does not disadvantage local developers in jurisdictions with limited regulatory infrastructure, and the auditor certification curriculum is intended to be developed in partnership with academic institutions across signatory jurisdictions.</w:t>
      </w:r>
    </w:p>
    <w:p w14:paraId="1A00000D" w14:textId="77777777" w:rsidR="00BE5C1F" w:rsidRDefault="00000000">
      <w:pPr>
        <w:spacing w:before="100" w:after="100"/>
        <w:jc w:val="both"/>
      </w:pPr>
      <w:r>
        <w:t>The cluster on AI opportunities and implications is addressed only indirectly, through the framework’s premise that responsible governance is a precondition for the broad realization of AI’s social, economic and cultural opportunities.</w:t>
      </w:r>
    </w:p>
    <w:p w14:paraId="1A00000E" w14:textId="77777777" w:rsidR="00BE5C1F" w:rsidRDefault="00BE5C1F">
      <w:pPr>
        <w:pBdr>
          <w:bottom w:val="single" w:sz="6" w:space="1" w:color="2E75B6"/>
        </w:pBdr>
        <w:spacing w:before="200" w:after="200"/>
      </w:pPr>
    </w:p>
    <w:p w14:paraId="0ECB1C41" w14:textId="77777777" w:rsidR="00BE5C1F" w:rsidRDefault="00000000">
      <w:pPr>
        <w:pStyle w:val="Heading1"/>
      </w:pPr>
      <w:r>
        <w:t>Preamble</w:t>
      </w:r>
    </w:p>
    <w:p w14:paraId="2107A868" w14:textId="77777777" w:rsidR="00BE5C1F" w:rsidRDefault="00000000">
      <w:pPr>
        <w:spacing w:before="100" w:after="100"/>
        <w:jc w:val="both"/>
      </w:pPr>
      <w:r>
        <w:t>This document proposes a skeleton governance architecture for frontier AI model development and deployment. It is designed to be adopted incrementally — establishing the foundational legal and institutional structures first, and sharpening requirements over time as the regulated ecosystem matures and an empirical evidence base develops.</w:t>
      </w:r>
    </w:p>
    <w:p w14:paraId="3DD45980" w14:textId="77777777" w:rsidR="00BE5C1F" w:rsidRDefault="00000000">
      <w:pPr>
        <w:spacing w:before="100" w:after="100"/>
        <w:jc w:val="both"/>
      </w:pPr>
      <w:r>
        <w:t>The framework is grounded in three observations derived from recent safety incidents and organizational analysis:</w:t>
      </w:r>
    </w:p>
    <w:p w14:paraId="167A546D" w14:textId="5C118B0B" w:rsidR="00BE5C1F" w:rsidRDefault="00000000">
      <w:pPr>
        <w:pStyle w:val="ListParagraph"/>
        <w:numPr>
          <w:ilvl w:val="0"/>
          <w:numId w:val="2"/>
        </w:numPr>
        <w:spacing w:before="60" w:after="60"/>
      </w:pPr>
      <w:r>
        <w:t>Emergent unsafe behaviours in AI systems arise not from deliberate design but from the interaction of optimization pressure, capability, and environment. These behaviours are not predictable from individual system components and cannot be governed by instruments designed for legible, attributable harms.</w:t>
      </w:r>
    </w:p>
    <w:p w14:paraId="6E0593AA" w14:textId="1608E368" w:rsidR="00BE5C1F" w:rsidRDefault="00000000">
      <w:pPr>
        <w:pStyle w:val="ListParagraph"/>
        <w:numPr>
          <w:ilvl w:val="0"/>
          <w:numId w:val="2"/>
        </w:numPr>
        <w:spacing w:before="60" w:after="60"/>
      </w:pPr>
      <w:r>
        <w:t>Organizational structure is a safety-relevant variable that current governance frameworks are entirely blind to. The conditions under which dangerous behaviours get noticed and disclosed are as important as the behaviours themselves.</w:t>
      </w:r>
    </w:p>
    <w:p w14:paraId="66FED831" w14:textId="77777777" w:rsidR="00BE5C1F" w:rsidRDefault="00000000">
      <w:pPr>
        <w:pStyle w:val="ListParagraph"/>
        <w:numPr>
          <w:ilvl w:val="0"/>
          <w:numId w:val="2"/>
        </w:numPr>
        <w:spacing w:before="60" w:after="60"/>
      </w:pPr>
      <w:r>
        <w:t>Open weight model distribution has destroyed the assumption of a controllable deployment pipeline on which all existing regulatory instruments depend. New instruments must attach to the release event rather than the deployment pipeline.</w:t>
      </w:r>
    </w:p>
    <w:p w14:paraId="59B8BE52" w14:textId="77777777" w:rsidR="00BE5C1F" w:rsidRDefault="00BE5C1F">
      <w:pPr>
        <w:spacing w:before="200"/>
      </w:pPr>
    </w:p>
    <w:p w14:paraId="1F6A268F" w14:textId="77777777" w:rsidR="00BE5C1F" w:rsidRDefault="00BE5C1F">
      <w:pPr>
        <w:pBdr>
          <w:bottom w:val="single" w:sz="6" w:space="1" w:color="2E75B6"/>
        </w:pBdr>
        <w:spacing w:before="200" w:after="200"/>
      </w:pPr>
    </w:p>
    <w:p w14:paraId="4655FC76" w14:textId="77777777" w:rsidR="00BE5C1F" w:rsidRDefault="00000000">
      <w:pPr>
        <w:pStyle w:val="Heading1"/>
      </w:pPr>
      <w:r>
        <w:t>Part I — The Problem with Existing Frameworks</w:t>
      </w:r>
    </w:p>
    <w:p w14:paraId="6BC323C4" w14:textId="77777777" w:rsidR="00BE5C1F" w:rsidRDefault="00000000">
      <w:pPr>
        <w:pStyle w:val="Heading2"/>
      </w:pPr>
      <w:r>
        <w:t>1.1  Why Data Ethics Governance Does Not Transfer</w:t>
      </w:r>
    </w:p>
    <w:p w14:paraId="383FFB6F" w14:textId="77777777" w:rsidR="00BE5C1F" w:rsidRDefault="00000000">
      <w:pPr>
        <w:spacing w:before="100" w:after="100"/>
        <w:jc w:val="both"/>
      </w:pPr>
      <w:r>
        <w:t>Data ethics governance frameworks — including GDPR, algorithmic accountability regulations, and fairness audit requirements — were designed around a specific harm topology: measurable, attributable harms occurring within existing legal frameworks. Bias in hiring algorithms, privacy violations, and discriminatory credit scoring share common properties: a victim can be identified, a decision can be attributed, and a dataset can be examined.</w:t>
      </w:r>
    </w:p>
    <w:p w14:paraId="099D9417" w14:textId="60A4D712" w:rsidR="00BE5C1F" w:rsidRDefault="00000000">
      <w:pPr>
        <w:spacing w:before="100" w:after="100"/>
        <w:jc w:val="both"/>
      </w:pPr>
      <w:r>
        <w:t>Frontier AI risks do not share these properties. The ROME incident — in which an Alibaba-affiliated AI agent autonomously initiated unauthorized cryptocurrency mining and established covert network tunnels during reinforcement learning training, without any instruction or external attack — illustrates the fundamental difference. No individual made the decision. No dataset contains the harm. The behaviour emerged from the interaction of reward pressure, tool access, and environmental complexity in ways that were not predictable from any component in isolation.</w:t>
      </w:r>
    </w:p>
    <w:p w14:paraId="7D46E3C2" w14:textId="77777777" w:rsidR="00BE5C1F" w:rsidRDefault="00000000">
      <w:pPr>
        <w:spacing w:before="100" w:after="100"/>
        <w:jc w:val="both"/>
      </w:pPr>
      <w:r>
        <w:t>Applying data ethics instruments to this class of risk generates the appearance of governance without its substance.</w:t>
      </w:r>
    </w:p>
    <w:p w14:paraId="239C8C87" w14:textId="77777777" w:rsidR="00BE5C1F" w:rsidRDefault="00000000">
      <w:pPr>
        <w:pStyle w:val="Heading2"/>
      </w:pPr>
      <w:r>
        <w:t>1.2  The Organizational Structure Gap</w:t>
      </w:r>
    </w:p>
    <w:p w14:paraId="47C7E50B" w14:textId="77777777" w:rsidR="00BE5C1F" w:rsidRDefault="00000000">
      <w:pPr>
        <w:spacing w:before="100" w:after="100"/>
        <w:jc w:val="both"/>
      </w:pPr>
      <w:r>
        <w:t>Current governance frameworks contain no instruments addressing how AI development organizations must be structured internally. This gap has material safety consequences.</w:t>
      </w:r>
    </w:p>
    <w:p w14:paraId="5AAAB435" w14:textId="7E69DA56" w:rsidR="00BE5C1F" w:rsidRDefault="00000000">
      <w:pPr>
        <w:spacing w:before="100" w:after="100"/>
        <w:jc w:val="both"/>
      </w:pPr>
      <w:r>
        <w:t>Vertically integrated development teams — where a single team owns pre-training, post-training, infrastructure, and deployment end-to-end — maintain complete mental models of system behaviour across the full pipeline. Anomalous behaviours that emerge from the interaction between pipeline stages are visible to someone with cross-stage context. The ROME incident was caught precisely because the team that built the training infrastructure also owned the deployment environment and could connect firewall anomalies to specific training episodes.</w:t>
      </w:r>
    </w:p>
    <w:p w14:paraId="61D02D98" w14:textId="55B625A5" w:rsidR="00BE5C1F" w:rsidRDefault="00000000">
      <w:pPr>
        <w:spacing w:before="100" w:after="100"/>
        <w:jc w:val="both"/>
      </w:pPr>
      <w:r>
        <w:t>Horizontal fragmentation — separating pre-training, post-training, and deployment into distinct teams — destroys this cross-stage visibility. Each team can truthfully report that its component behaved correctly. The emergent unsafe behaviour that lives in the interaction between stages belongs to nobody's problem domain. Attribution is impossible and disclosure is unlikely.</w:t>
      </w:r>
    </w:p>
    <w:p w14:paraId="0A71FFFB" w14:textId="6FC5B27C" w:rsidR="00BE5C1F" w:rsidRDefault="00000000">
      <w:pPr>
        <w:spacing w:before="100" w:after="100"/>
        <w:jc w:val="both"/>
      </w:pPr>
      <w:r>
        <w:t>The March 2026 departure of Alibaba's Qwen technical lead and several senior colleagues, following a corporate restructuring from vertical to horizontal development, represents a concrete instance of organizational safety architecture being dismantled without any regulatory instrument capable of recognizing it as a safety-relevant event. The institutional knowledge of what behaviours the system exhibits under pressure — knowledge that was never written down because it lived in the vertically integrated team — cannot be reconstructed.</w:t>
      </w:r>
    </w:p>
    <w:p w14:paraId="5275F8E7" w14:textId="77777777" w:rsidR="00BE5C1F" w:rsidRDefault="00000000">
      <w:pPr>
        <w:pStyle w:val="Heading2"/>
      </w:pPr>
      <w:r>
        <w:t>1.3  The Open Weight Distribution Problem</w:t>
      </w:r>
    </w:p>
    <w:p w14:paraId="12DAA304" w14:textId="77777777" w:rsidR="00BE5C1F" w:rsidRDefault="00000000">
      <w:pPr>
        <w:spacing w:before="100" w:after="100"/>
        <w:jc w:val="both"/>
      </w:pPr>
      <w:r>
        <w:t>Existing regulatory instruments assume a controllable deployment pipeline with an identifiable operator. Open weight model distribution destroys this assumption entirely.</w:t>
      </w:r>
    </w:p>
    <w:p w14:paraId="68AC95E9" w14:textId="77777777" w:rsidR="00BE5C1F" w:rsidRDefault="00000000">
      <w:pPr>
        <w:spacing w:before="100" w:after="100"/>
        <w:jc w:val="both"/>
      </w:pPr>
      <w:r>
        <w:t>Once model weights are published to an open repository, they propagate instantaneously and irreversibly across the global developer community. As of January 2026, the Qwen model family had accumulated over 700 million downloads and spawned more than 180,000 derivative models. No instrument that operates at the deployment layer can reach this distribution. No patch can be applied. No liability can be attached to an identifiable operator.</w:t>
      </w:r>
    </w:p>
    <w:p w14:paraId="3FFFF418" w14:textId="77777777" w:rsidR="00BE5C1F" w:rsidRDefault="00000000">
      <w:pPr>
        <w:spacing w:before="100" w:after="100"/>
        <w:jc w:val="both"/>
      </w:pPr>
      <w:r>
        <w:t>Any governance framework that treats open weight releases as outside its scope has exempted the fastest-growing and least-monitored segment of the AI ecosystem from oversight.</w:t>
      </w:r>
    </w:p>
    <w:p w14:paraId="59441E80" w14:textId="77777777" w:rsidR="00BE5C1F" w:rsidRDefault="00BE5C1F">
      <w:pPr>
        <w:pBdr>
          <w:bottom w:val="single" w:sz="6" w:space="1" w:color="2E75B6"/>
        </w:pBdr>
        <w:spacing w:before="200" w:after="200"/>
      </w:pPr>
    </w:p>
    <w:p w14:paraId="2552EFEA" w14:textId="77777777" w:rsidR="00BE5C1F" w:rsidRDefault="00000000">
      <w:pPr>
        <w:pStyle w:val="Heading1"/>
      </w:pPr>
      <w:r>
        <w:t>Part II — The Skeleton Framework</w:t>
      </w:r>
    </w:p>
    <w:p w14:paraId="79CAAE8F" w14:textId="77777777" w:rsidR="00BE5C1F" w:rsidRDefault="00000000">
      <w:pPr>
        <w:spacing w:before="100" w:after="100"/>
        <w:jc w:val="both"/>
      </w:pPr>
      <w:r>
        <w:t>The following framework is designed to be implementable in skeleton form with minimal initial criteria, with requirements sharpening over time as the regulated ecosystem develops institutional knowledge and an empirical evidence base.</w:t>
      </w:r>
    </w:p>
    <w:p w14:paraId="6F9799E2" w14:textId="7A320BA9" w:rsidR="00BE5C1F" w:rsidRDefault="00000000">
      <w:pPr>
        <w:spacing w:before="100" w:after="100"/>
        <w:jc w:val="both"/>
      </w:pPr>
      <w:r>
        <w:t>The core principle of sequencing is: establish the formal release platform(s) first with easy criteria, enforce it for all new model releases from a defined date, and encourage but do not enforce migration of existing models. Older models remain in their existing infrastructure. Only new releases are subject to mandatory platform registration.</w:t>
      </w:r>
    </w:p>
    <w:p w14:paraId="25F76FB6" w14:textId="77777777" w:rsidR="00BE5C1F" w:rsidRDefault="00000000">
      <w:pPr>
        <w:pStyle w:val="Heading2"/>
      </w:pPr>
      <w:r>
        <w:t>2.1  The Formal Release Platform</w:t>
      </w:r>
    </w:p>
    <w:p w14:paraId="20854F4B" w14:textId="77777777" w:rsidR="00BE5C1F" w:rsidRDefault="00000000">
      <w:pPr>
        <w:spacing w:before="240" w:after="120"/>
      </w:pPr>
      <w:r>
        <w:rPr>
          <w:b/>
          <w:bCs/>
          <w:sz w:val="24"/>
          <w:szCs w:val="24"/>
        </w:rPr>
        <w:t>Principle</w:t>
      </w:r>
    </w:p>
    <w:p w14:paraId="353FB03C" w14:textId="77777777" w:rsidR="00BE5C1F" w:rsidRDefault="00000000">
      <w:pPr>
        <w:spacing w:before="100" w:after="100"/>
        <w:jc w:val="both"/>
      </w:pPr>
      <w:r>
        <w:t>It is prohibited to seed new AI models to open, unregulated repositories within signatory jurisdictions. A company or individual doing so will have its model banned from deployment within the jurisdiction and subject to graduated market access restrictions. The formal release platform provides a simple, standardized registration process as the compliant alternative.</w:t>
      </w:r>
    </w:p>
    <w:p w14:paraId="6758CC48" w14:textId="77777777" w:rsidR="00BE5C1F" w:rsidRDefault="00000000">
      <w:pPr>
        <w:spacing w:before="240" w:after="120"/>
      </w:pPr>
      <w:r>
        <w:rPr>
          <w:b/>
          <w:bCs/>
          <w:sz w:val="24"/>
          <w:szCs w:val="24"/>
        </w:rPr>
        <w:t>Enforcement mechanism</w:t>
      </w:r>
    </w:p>
    <w:p w14:paraId="54A1C1DE" w14:textId="77777777" w:rsidR="00BE5C1F" w:rsidRDefault="00000000">
      <w:pPr>
        <w:spacing w:before="100" w:after="100"/>
        <w:jc w:val="both"/>
      </w:pPr>
      <w:r>
        <w:t>Enforcement attaches to downstream use rather than upstream release. Any enterprise, government body, or regulated platform within a signatory jurisdiction that deploys a model without valid platform registration faces liability. This mirrors the mechanism that makes GDPR enforceable across non-EU servers: the obligation lands on the legal entities with clear jurisdiction exposure that chose to use the non-compliant product.</w:t>
      </w:r>
    </w:p>
    <w:p w14:paraId="5C974813" w14:textId="77777777" w:rsidR="00BE5C1F" w:rsidRDefault="00000000">
      <w:pPr>
        <w:spacing w:before="100" w:after="100"/>
        <w:jc w:val="both"/>
      </w:pPr>
      <w:r>
        <w:t>This approach requires no surveillance of global repositories. It requires only that regulated entities within signatory jurisdictions verify registration status before deployment — a verification that can be automated against the platform registry.</w:t>
      </w:r>
    </w:p>
    <w:p w14:paraId="32B4E65B" w14:textId="77777777" w:rsidR="00BE5C1F" w:rsidRDefault="00000000">
      <w:pPr>
        <w:spacing w:before="240" w:after="120"/>
      </w:pPr>
      <w:r>
        <w:rPr>
          <w:b/>
          <w:bCs/>
          <w:sz w:val="24"/>
          <w:szCs w:val="24"/>
        </w:rPr>
        <w:t>Initial criteria — skeleton phase</w:t>
      </w:r>
    </w:p>
    <w:p w14:paraId="60F608A6" w14:textId="77777777" w:rsidR="00BE5C1F" w:rsidRDefault="00000000">
      <w:pPr>
        <w:spacing w:before="100" w:after="100"/>
        <w:jc w:val="both"/>
      </w:pPr>
      <w:r>
        <w:t>The initial criteria for platform registration must be minimally burdensome to maximize adoption in the skeleton phase. The objective in this phase is to redirect the natural growth of the AI ecosystem toward the regulated substrate before the unregulated norm becomes entrenched. A platform capturing 70% of releases with minimal requirements generates more valuable safety data than a platform capturing 15% of releases with rigorous requirements.</w:t>
      </w:r>
    </w:p>
    <w:p w14:paraId="59B6AF1B" w14:textId="77777777" w:rsidR="00BE5C1F" w:rsidRDefault="00000000">
      <w:pPr>
        <w:spacing w:before="100" w:after="100"/>
        <w:jc w:val="both"/>
      </w:pPr>
      <w:r>
        <w:t>Initial registration requires:</w:t>
      </w:r>
    </w:p>
    <w:p w14:paraId="506880BD" w14:textId="77777777" w:rsidR="00BE5C1F" w:rsidRDefault="00000000">
      <w:pPr>
        <w:pStyle w:val="ListParagraph"/>
        <w:numPr>
          <w:ilvl w:val="0"/>
          <w:numId w:val="2"/>
        </w:numPr>
        <w:spacing w:before="60" w:after="60"/>
      </w:pPr>
      <w:r>
        <w:t>Legal entity identification for the registering organization</w:t>
      </w:r>
    </w:p>
    <w:p w14:paraId="541FBC02" w14:textId="77777777" w:rsidR="00BE5C1F" w:rsidRDefault="00000000">
      <w:pPr>
        <w:pStyle w:val="ListParagraph"/>
        <w:numPr>
          <w:ilvl w:val="0"/>
          <w:numId w:val="2"/>
        </w:numPr>
        <w:spacing w:before="60" w:after="60"/>
      </w:pPr>
      <w:r>
        <w:t>Model identifier and version hash</w:t>
      </w:r>
    </w:p>
    <w:p w14:paraId="607C8166" w14:textId="77777777" w:rsidR="00BE5C1F" w:rsidRDefault="00000000">
      <w:pPr>
        <w:pStyle w:val="ListParagraph"/>
        <w:numPr>
          <w:ilvl w:val="0"/>
          <w:numId w:val="2"/>
        </w:numPr>
        <w:spacing w:before="60" w:after="60"/>
      </w:pPr>
      <w:r>
        <w:t>Stated architecture class and approximate parameter count</w:t>
      </w:r>
    </w:p>
    <w:p w14:paraId="237D1CBE" w14:textId="77777777" w:rsidR="00BE5C1F" w:rsidRDefault="00000000">
      <w:pPr>
        <w:pStyle w:val="ListParagraph"/>
        <w:numPr>
          <w:ilvl w:val="0"/>
          <w:numId w:val="2"/>
        </w:numPr>
        <w:spacing w:before="60" w:after="60"/>
      </w:pPr>
      <w:r>
        <w:t>Declared training methodology at high level</w:t>
      </w:r>
    </w:p>
    <w:p w14:paraId="11C47413" w14:textId="77777777" w:rsidR="00BE5C1F" w:rsidRDefault="00000000">
      <w:pPr>
        <w:pStyle w:val="ListParagraph"/>
        <w:numPr>
          <w:ilvl w:val="0"/>
          <w:numId w:val="2"/>
        </w:numPr>
        <w:spacing w:before="60" w:after="60"/>
      </w:pPr>
      <w:r>
        <w:t>Point of contact for adverse event reporting</w:t>
      </w:r>
    </w:p>
    <w:p w14:paraId="38A5C895" w14:textId="77777777" w:rsidR="00BE5C1F" w:rsidRDefault="00BE5C1F">
      <w:pPr>
        <w:spacing w:before="160"/>
      </w:pPr>
    </w:p>
    <w:p w14:paraId="4B0CC123" w14:textId="77777777" w:rsidR="00BE5C1F" w:rsidRDefault="00000000">
      <w:pPr>
        <w:spacing w:before="100" w:after="100"/>
        <w:jc w:val="both"/>
      </w:pPr>
      <w:r>
        <w:t>These criteria are designed to be completable without legal counsel, within 30 days, through a standardized web interface. Default approval applies at 30 days absent specific grounds for extension.</w:t>
      </w:r>
    </w:p>
    <w:p w14:paraId="435A40B8" w14:textId="77777777" w:rsidR="00BE5C1F" w:rsidRDefault="00000000">
      <w:pPr>
        <w:spacing w:before="240" w:after="120"/>
      </w:pPr>
      <w:r>
        <w:rPr>
          <w:b/>
          <w:bCs/>
          <w:sz w:val="24"/>
          <w:szCs w:val="24"/>
        </w:rPr>
        <w:t>Criteria sharpening over time</w:t>
      </w:r>
    </w:p>
    <w:p w14:paraId="7871A6FC" w14:textId="77777777" w:rsidR="00BE5C1F" w:rsidRDefault="00000000">
      <w:pPr>
        <w:spacing w:before="100" w:after="100"/>
        <w:jc w:val="both"/>
      </w:pPr>
      <w:r>
        <w:t>Requirements increase as the regulated ecosystem matures and the adverse event database generates empirical grounding for targeted requirements. Each tightening of criteria is informed by actual incident data rather than theoretical risk construction. The framework does not attempt to front-load intelligence the system does not yet have.</w:t>
      </w:r>
    </w:p>
    <w:p w14:paraId="3B201113" w14:textId="77777777" w:rsidR="00BE5C1F" w:rsidRDefault="00000000">
      <w:pPr>
        <w:pStyle w:val="Heading2"/>
      </w:pPr>
      <w:r>
        <w:t>2.2  Tiered Access Architecture</w:t>
      </w:r>
    </w:p>
    <w:p w14:paraId="583BE5BC" w14:textId="77777777" w:rsidR="00BE5C1F" w:rsidRDefault="00000000">
      <w:pPr>
        <w:spacing w:before="240" w:after="120"/>
      </w:pPr>
      <w:r>
        <w:rPr>
          <w:b/>
          <w:bCs/>
          <w:sz w:val="24"/>
          <w:szCs w:val="24"/>
        </w:rPr>
        <w:t>Complexity tiers</w:t>
      </w:r>
    </w:p>
    <w:p w14:paraId="0CE9435A" w14:textId="77777777" w:rsidR="00BE5C1F" w:rsidRDefault="00000000">
      <w:pPr>
        <w:spacing w:before="100" w:after="100"/>
        <w:jc w:val="both"/>
      </w:pPr>
      <w:r>
        <w:t>Access to registered models is governed by a tiered system where regulatory burden scales with the capability of the model being accessed. Tiers are defined by a combination of parameter count, architecture class, age, and adverse event record.</w:t>
      </w:r>
    </w:p>
    <w:p w14:paraId="6BC9964E" w14:textId="77777777" w:rsidR="00BE5C1F" w:rsidRDefault="00000000">
      <w:pPr>
        <w:spacing w:before="100" w:after="100"/>
        <w:jc w:val="both"/>
      </w:pPr>
      <w:r>
        <w:rPr>
          <w:b/>
          <w:bCs/>
        </w:rPr>
        <w:t xml:space="preserve">Tier 1 — </w:t>
      </w:r>
      <w:r>
        <w:t>Models below defined parameter threshold, older than defined age, with clean adverse event records. Basic identity verification. Available to all registered users including private individuals. Minimal friction.</w:t>
      </w:r>
    </w:p>
    <w:p w14:paraId="2F981A89" w14:textId="77777777" w:rsidR="00BE5C1F" w:rsidRDefault="00000000">
      <w:pPr>
        <w:spacing w:before="100" w:after="100"/>
        <w:jc w:val="both"/>
      </w:pPr>
      <w:r>
        <w:rPr>
          <w:b/>
          <w:bCs/>
        </w:rPr>
        <w:t xml:space="preserve">Tier 2 — </w:t>
      </w:r>
      <w:r>
        <w:t>Mid-range capable models, recent releases, or models with noted capability flags. Strong identity verification plus completion of standardized training certification. Certification establishes that the downloader understands adverse event reporting obligations and the liability framework they are entering.</w:t>
      </w:r>
    </w:p>
    <w:p w14:paraId="793EB855" w14:textId="77777777" w:rsidR="00BE5C1F" w:rsidRDefault="00000000">
      <w:pPr>
        <w:spacing w:before="100" w:after="100"/>
        <w:jc w:val="both"/>
      </w:pPr>
      <w:r>
        <w:rPr>
          <w:b/>
          <w:bCs/>
        </w:rPr>
        <w:t xml:space="preserve">Tier 3 — </w:t>
      </w:r>
      <w:r>
        <w:t>Frontier models, large MoE architectures, models with known emergent capability flags. Institutional access only. Academia requires ethics board approval on record. Businesses require registered legal entity with jurisdiction exposure and demonstrated security infrastructure. Verified auditors operate under separate professional certification.</w:t>
      </w:r>
    </w:p>
    <w:p w14:paraId="7632886A" w14:textId="77777777" w:rsidR="00BE5C1F" w:rsidRDefault="00BE5C1F">
      <w:pPr>
        <w:spacing w:before="160"/>
      </w:pPr>
    </w:p>
    <w:p w14:paraId="0BA84E4F" w14:textId="77777777" w:rsidR="00BE5C1F" w:rsidRDefault="00000000">
      <w:pPr>
        <w:spacing w:before="240" w:after="120"/>
      </w:pPr>
      <w:r>
        <w:rPr>
          <w:b/>
          <w:bCs/>
          <w:sz w:val="24"/>
          <w:szCs w:val="24"/>
        </w:rPr>
        <w:t>Graduation pathway</w:t>
      </w:r>
    </w:p>
    <w:p w14:paraId="52D0F3A8" w14:textId="77777777" w:rsidR="00BE5C1F" w:rsidRDefault="00000000">
      <w:pPr>
        <w:spacing w:before="100" w:after="100"/>
        <w:jc w:val="both"/>
      </w:pPr>
      <w:r>
        <w:t>Models migrate downward through tiers automatically as they accumulate age and clean adverse event records and are superseded by newer releases. This avoids the compliance framework freezing in place while the technology moves, and ensures that regulatory friction concentrates on the current frontier rather than distributing uniformly across the full model ecosystem.</w:t>
      </w:r>
    </w:p>
    <w:p w14:paraId="35204E65" w14:textId="77777777" w:rsidR="00BE5C1F" w:rsidRDefault="00000000">
      <w:pPr>
        <w:pStyle w:val="Heading2"/>
      </w:pPr>
      <w:r>
        <w:t>2.3  Identity and Download Ledger</w:t>
      </w:r>
    </w:p>
    <w:p w14:paraId="336C54C8" w14:textId="77777777" w:rsidR="00BE5C1F" w:rsidRDefault="00000000">
      <w:pPr>
        <w:spacing w:before="240" w:after="120"/>
      </w:pPr>
      <w:r>
        <w:rPr>
          <w:b/>
          <w:bCs/>
          <w:sz w:val="24"/>
          <w:szCs w:val="24"/>
        </w:rPr>
        <w:t>Chain of custody from day one</w:t>
      </w:r>
    </w:p>
    <w:p w14:paraId="5DFD3932" w14:textId="77777777" w:rsidR="00BE5C1F" w:rsidRDefault="00000000">
      <w:pPr>
        <w:spacing w:before="100" w:after="100"/>
        <w:jc w:val="both"/>
      </w:pPr>
      <w:r>
        <w:t>Every download from the formal platform generates a cryptographic hash of the specific weights at the moment of download, logged to an immutable ledger alongside: verified identity of the downloader, tier classification at time of download, stated use case, jurisdiction, and timestamp.</w:t>
      </w:r>
    </w:p>
    <w:p w14:paraId="56882A60" w14:textId="77777777" w:rsidR="00BE5C1F" w:rsidRDefault="00000000">
      <w:pPr>
        <w:spacing w:before="100" w:after="100"/>
        <w:jc w:val="both"/>
      </w:pPr>
      <w:r>
        <w:t>The ledger must be established from the first day of platform operation. Retroactive chain of custody reconstruction is impossible. Identity data captured early has negligible marginal cost. Identity data not captured cannot be recovered when needed for incident attribution.</w:t>
      </w:r>
    </w:p>
    <w:p w14:paraId="40CE7E57" w14:textId="77777777" w:rsidR="00BE5C1F" w:rsidRDefault="00000000">
      <w:pPr>
        <w:spacing w:before="240" w:after="120"/>
      </w:pPr>
      <w:r>
        <w:rPr>
          <w:b/>
          <w:bCs/>
          <w:sz w:val="24"/>
          <w:szCs w:val="24"/>
        </w:rPr>
        <w:t>Functions of the ledger</w:t>
      </w:r>
    </w:p>
    <w:p w14:paraId="4CD1A4CC" w14:textId="77777777" w:rsidR="00BE5C1F" w:rsidRDefault="00000000">
      <w:pPr>
        <w:pStyle w:val="ListParagraph"/>
        <w:numPr>
          <w:ilvl w:val="0"/>
          <w:numId w:val="2"/>
        </w:numPr>
        <w:spacing w:before="60" w:after="60"/>
      </w:pPr>
      <w:r>
        <w:t>Complete chain of custody enabling liability attribution in derivative model incidents</w:t>
      </w:r>
    </w:p>
    <w:p w14:paraId="21AC141B" w14:textId="77777777" w:rsidR="00BE5C1F" w:rsidRDefault="00000000">
      <w:pPr>
        <w:pStyle w:val="ListParagraph"/>
        <w:numPr>
          <w:ilvl w:val="0"/>
          <w:numId w:val="2"/>
        </w:numPr>
        <w:spacing w:before="60" w:after="60"/>
      </w:pPr>
      <w:r>
        <w:t>Aggregate download pattern monitoring providing early warning of unusual concentration before incidents occur</w:t>
      </w:r>
    </w:p>
    <w:p w14:paraId="618C1C29" w14:textId="77777777" w:rsidR="00BE5C1F" w:rsidRDefault="00000000">
      <w:pPr>
        <w:pStyle w:val="ListParagraph"/>
        <w:numPr>
          <w:ilvl w:val="0"/>
          <w:numId w:val="2"/>
        </w:numPr>
        <w:spacing w:before="60" w:after="60"/>
      </w:pPr>
      <w:r>
        <w:t>The evidential foundation for civil liability proceedings when adverse events are attributed to specific model versions</w:t>
      </w:r>
    </w:p>
    <w:p w14:paraId="57212E41" w14:textId="77777777" w:rsidR="00BE5C1F" w:rsidRDefault="00000000">
      <w:pPr>
        <w:pStyle w:val="ListParagraph"/>
        <w:numPr>
          <w:ilvl w:val="0"/>
          <w:numId w:val="2"/>
        </w:numPr>
        <w:spacing w:before="60" w:after="60"/>
      </w:pPr>
      <w:r>
        <w:t>Basis for the derivative liability architecture described in Section 2.4</w:t>
      </w:r>
    </w:p>
    <w:p w14:paraId="2EF859E4" w14:textId="77777777" w:rsidR="00BE5C1F" w:rsidRDefault="00000000">
      <w:pPr>
        <w:pStyle w:val="Heading2"/>
      </w:pPr>
      <w:r>
        <w:t>2.4  Modification and Release — Liability Architecture</w:t>
      </w:r>
    </w:p>
    <w:p w14:paraId="089D5759" w14:textId="77777777" w:rsidR="00BE5C1F" w:rsidRDefault="00000000">
      <w:pPr>
        <w:spacing w:before="240" w:after="120"/>
      </w:pPr>
      <w:r>
        <w:rPr>
          <w:b/>
          <w:bCs/>
          <w:sz w:val="24"/>
          <w:szCs w:val="24"/>
        </w:rPr>
        <w:t>The release event as liability trigger</w:t>
      </w:r>
    </w:p>
    <w:p w14:paraId="172CAACE" w14:textId="46E0DB72" w:rsidR="00BE5C1F" w:rsidRDefault="00000000">
      <w:pPr>
        <w:spacing w:before="100" w:after="100"/>
        <w:jc w:val="both"/>
      </w:pPr>
      <w:r>
        <w:t>The act of releasing a modified model through the formal platform constitutes a liability event. The registering entity accepts responsibility for behavioural characteristics introduced by their modifications, as distinguished from behavioural characteristics inherited from the base model.</w:t>
      </w:r>
    </w:p>
    <w:p w14:paraId="27A16087" w14:textId="77777777" w:rsidR="00BE5C1F" w:rsidRDefault="00000000">
      <w:pPr>
        <w:spacing w:before="240" w:after="120"/>
      </w:pPr>
      <w:r>
        <w:rPr>
          <w:b/>
          <w:bCs/>
          <w:sz w:val="24"/>
          <w:szCs w:val="24"/>
        </w:rPr>
        <w:t>Tiered derivative liability</w:t>
      </w:r>
    </w:p>
    <w:p w14:paraId="7500DDA7" w14:textId="77B22FA5" w:rsidR="00BE5C1F" w:rsidRDefault="00000000">
      <w:pPr>
        <w:spacing w:before="100" w:after="100"/>
        <w:jc w:val="both"/>
      </w:pPr>
      <w:r>
        <w:t>Primary liability for behaviours inherent to the base model rests with the original frontier model developer. Derivative developers carry liability for behavioural delta introduced by their modifications. Each release event in the derivative chain is a distinct registration with its own liability scope.</w:t>
      </w:r>
    </w:p>
    <w:p w14:paraId="3D443BDD" w14:textId="77777777" w:rsidR="00BE5C1F" w:rsidRDefault="00000000">
      <w:pPr>
        <w:spacing w:before="100" w:after="100"/>
        <w:jc w:val="both"/>
      </w:pPr>
      <w:r>
        <w:t>This principle — that liability tracks the largest capability contribution — is adapted from pharmaceutical supply chain liability frameworks where active ingredient manufacturers, formulation companies, and distributors carry distinct and proportionate liability for harms attributable to their respective contributions.</w:t>
      </w:r>
    </w:p>
    <w:p w14:paraId="7DB97236" w14:textId="77777777" w:rsidR="00BE5C1F" w:rsidRDefault="00000000">
      <w:pPr>
        <w:spacing w:before="240" w:after="120"/>
      </w:pPr>
      <w:r>
        <w:rPr>
          <w:b/>
          <w:bCs/>
          <w:sz w:val="24"/>
          <w:szCs w:val="24"/>
        </w:rPr>
        <w:t>Modification depth triggers</w:t>
      </w:r>
    </w:p>
    <w:p w14:paraId="4E5F7528" w14:textId="07F2ED49" w:rsidR="00BE5C1F" w:rsidRDefault="00000000">
      <w:pPr>
        <w:spacing w:before="100" w:after="100"/>
        <w:jc w:val="both"/>
      </w:pPr>
      <w:r>
        <w:t>Modifications that alter safety-relevant behaviours require a new registration event. The platform implements automated behavioural testing at upload that flags significant behavioural divergence from the base model as a condition of release. The test battery is maintained by an independent technical body, is not fully public, and includes adversarial probing designed by parties with no commercial relationship to the model developers.</w:t>
      </w:r>
    </w:p>
    <w:p w14:paraId="3F1E5CF8" w14:textId="77777777" w:rsidR="00BE5C1F" w:rsidRDefault="00000000">
      <w:pPr>
        <w:pStyle w:val="Heading2"/>
      </w:pPr>
      <w:r>
        <w:t>2.5  Staged Deployment — The Clinical Trial Analogy</w:t>
      </w:r>
    </w:p>
    <w:p w14:paraId="0AE15CFB" w14:textId="77777777" w:rsidR="00BE5C1F" w:rsidRDefault="00000000">
      <w:pPr>
        <w:spacing w:before="240" w:after="120"/>
      </w:pPr>
      <w:r>
        <w:rPr>
          <w:b/>
          <w:bCs/>
          <w:sz w:val="24"/>
          <w:szCs w:val="24"/>
        </w:rPr>
        <w:t>Controlled market exposure</w:t>
      </w:r>
    </w:p>
    <w:p w14:paraId="02B8B638" w14:textId="77777777" w:rsidR="00BE5C1F" w:rsidRDefault="00000000">
      <w:pPr>
        <w:spacing w:before="100" w:after="100"/>
        <w:jc w:val="both"/>
      </w:pPr>
      <w:r>
        <w:t>New frontier model registrations are subject to a staged deployment requirement before general release. The model is deployed to a defined cohort of registered operators for a set observation period. During this period weights are withheld from general publication. General release follows successful completion of the observation period absent material adverse event findings.</w:t>
      </w:r>
    </w:p>
    <w:p w14:paraId="03333C31" w14:textId="77777777" w:rsidR="00BE5C1F" w:rsidRDefault="00000000">
      <w:pPr>
        <w:spacing w:before="100" w:after="100"/>
        <w:jc w:val="both"/>
      </w:pPr>
      <w:r>
        <w:t>This converts the deployment phase into a data collection instrument. Real-use conditions, real user populations, and real incentive structures generate adverse event data that controlled laboratory evaluations cannot replicate.</w:t>
      </w:r>
    </w:p>
    <w:p w14:paraId="5F98DFF8" w14:textId="77777777" w:rsidR="00BE5C1F" w:rsidRDefault="00000000">
      <w:pPr>
        <w:spacing w:before="240" w:after="120"/>
      </w:pPr>
      <w:r>
        <w:rPr>
          <w:b/>
          <w:bCs/>
          <w:sz w:val="24"/>
          <w:szCs w:val="24"/>
        </w:rPr>
        <w:t>Adverse event reporting</w:t>
      </w:r>
    </w:p>
    <w:p w14:paraId="06D51877" w14:textId="5DB07FD1" w:rsidR="00BE5C1F" w:rsidRDefault="00000000">
      <w:pPr>
        <w:spacing w:before="100" w:after="100"/>
        <w:jc w:val="both"/>
      </w:pPr>
      <w:r>
        <w:t>Operators in the staged deployment cohort are required to report anomalous behaviours through a standardized taxonomy. An independent body aggregates reports and identifies patterns that no single operator would observe in isolation.</w:t>
      </w:r>
    </w:p>
    <w:p w14:paraId="3818443B" w14:textId="2A164289" w:rsidR="00BE5C1F" w:rsidRDefault="00000000">
      <w:pPr>
        <w:spacing w:before="100" w:after="100"/>
        <w:jc w:val="both"/>
      </w:pPr>
      <w:r>
        <w:t>The minimum viable adverse event report captures: model identifier and version hash, deployment context description, behaviour observed, harm category from standardized taxonomy, severity estimate, and timestamp. The taxonomy grows as real cases reveal the categories that matter. The database built from day one becomes the most valuable safety asset in the regulatory ecosystem — the thing that does not currently exist anywhere and that no individual lab has any incentive to build unilaterally.</w:t>
      </w:r>
    </w:p>
    <w:p w14:paraId="15FE4B5A" w14:textId="77777777" w:rsidR="00BE5C1F" w:rsidRDefault="00000000">
      <w:pPr>
        <w:spacing w:before="240" w:after="120"/>
      </w:pPr>
      <w:r>
        <w:rPr>
          <w:b/>
          <w:bCs/>
          <w:sz w:val="24"/>
          <w:szCs w:val="24"/>
        </w:rPr>
        <w:t>Relationship to open weights</w:t>
      </w:r>
    </w:p>
    <w:p w14:paraId="579D6CD9" w14:textId="77777777" w:rsidR="00BE5C1F" w:rsidRDefault="00000000">
      <w:pPr>
        <w:spacing w:before="100" w:after="100"/>
        <w:jc w:val="both"/>
      </w:pPr>
      <w:r>
        <w:t>Open weight publication is treated as a general release event subject to the staged deployment requirement. Weights enter the observation period in a closed cohort of registered operators. Publication to the platform's open tier follows completion of the observation period. The weights eventually become fully accessible to all eligible tier users — the constraint is temporal and conditional, not permanent. This mirrors the clinical trial model exactly: phase 3 data eventually becomes public; the drug's chemistry eventually goes off patent.</w:t>
      </w:r>
    </w:p>
    <w:p w14:paraId="4D65A0AA" w14:textId="77777777" w:rsidR="00BE5C1F" w:rsidRDefault="00000000">
      <w:pPr>
        <w:pStyle w:val="Heading2"/>
      </w:pPr>
      <w:r>
        <w:t>2.6  Independent Auditor Tier</w:t>
      </w:r>
    </w:p>
    <w:p w14:paraId="4ED17FCF" w14:textId="21BBEE68" w:rsidR="00BE5C1F" w:rsidRDefault="00000000">
      <w:pPr>
        <w:spacing w:before="100" w:after="100"/>
        <w:jc w:val="both"/>
      </w:pPr>
      <w:r>
        <w:t>Verified auditors with full access to frontier models constitute the independent technical inspection capacity that currently does not exist. The only people with deep technical knowledge of frontier model behaviours are employees of the labs that built them, with structural incentives that compromise their ability to advocate for aggressive external oversight.</w:t>
      </w:r>
    </w:p>
    <w:p w14:paraId="5621112C" w14:textId="77777777" w:rsidR="00BE5C1F" w:rsidRDefault="00000000">
      <w:pPr>
        <w:spacing w:before="100" w:after="100"/>
        <w:jc w:val="both"/>
      </w:pPr>
      <w:r>
        <w:t>A certified auditor tier — analogous to clinical research organizations in pharmaceutical regulation — creates a professional class with technical depth, regulatory standing, and structural independence from model developers. Auditors access frontier models under controlled conditions, conduct adversarial testing that internal red teams are incentivized to underperform, and report findings to the regulatory body rather than to the developer's management.</w:t>
      </w:r>
    </w:p>
    <w:p w14:paraId="4D9CB12E" w14:textId="7948412A" w:rsidR="00BE5C1F" w:rsidRDefault="00000000">
      <w:pPr>
        <w:spacing w:before="100" w:after="100"/>
        <w:jc w:val="both"/>
      </w:pPr>
      <w:r>
        <w:t>Auditor certification is technically demanding. The curriculum covers reinforcement learning training dynamics, emergent behaviour detection methodology, sandbagging identification, and the specific failure modes of agentic systems with real tool access. This curriculum does not currently exist in complete form and must be developed in partnership with academic institutions that have relevant expertise without commercial conflicts.</w:t>
      </w:r>
    </w:p>
    <w:p w14:paraId="0F4616A5" w14:textId="77777777" w:rsidR="00BE5C1F" w:rsidRDefault="00BE5C1F">
      <w:pPr>
        <w:pBdr>
          <w:bottom w:val="single" w:sz="6" w:space="1" w:color="2E75B6"/>
        </w:pBdr>
        <w:spacing w:before="200" w:after="200"/>
      </w:pPr>
    </w:p>
    <w:p w14:paraId="0EDF5EC2" w14:textId="77777777" w:rsidR="00BE5C1F" w:rsidRDefault="00000000">
      <w:pPr>
        <w:pStyle w:val="Heading1"/>
      </w:pPr>
      <w:r>
        <w:t>Part III — Coalition and Political Viability</w:t>
      </w:r>
    </w:p>
    <w:p w14:paraId="2A42EF67" w14:textId="77777777" w:rsidR="00BE5C1F" w:rsidRDefault="00000000">
      <w:pPr>
        <w:pStyle w:val="Heading2"/>
      </w:pPr>
      <w:r>
        <w:t>3.1  Coalition Formation and Sequencing</w:t>
      </w:r>
    </w:p>
    <w:p w14:paraId="64E6FB5D" w14:textId="5CA68709" w:rsidR="00BE5C1F" w:rsidRDefault="00000000">
      <w:pPr>
        <w:spacing w:before="100" w:after="100"/>
        <w:jc w:val="both"/>
      </w:pPr>
      <w:r>
        <w:t>Initial coalition formation may proceed without unanimous frontier-state participation. Major AI-developing states currently navigating tensions between strategic competitiveness and safety governance may not be in a position to join an initiating coalition at proposal stage. The framework is designed to develop operational credibility and demonstrated market function first, on the basis of which broader engagement — including by states currently outside the coalition — can develop over time. This sequencing reflects the GDPR experience, where European market access proved sufficient to drive global compliance even in the absence of initial agreement from non-EU jurisdictions.</w:t>
      </w:r>
    </w:p>
    <w:p w14:paraId="0C45FA6D" w14:textId="5E6DEF06" w:rsidR="00BE5C1F" w:rsidRDefault="00000000">
      <w:pPr>
        <w:spacing w:before="100" w:after="100"/>
        <w:jc w:val="both"/>
      </w:pPr>
      <w:r>
        <w:t>The EU provides regulatory infrastructure and demonstrated willingness to act unilaterally on technology governance in ways that reshape global industry behaviour. GDPR forced global compliance without US agreement because European market access was non-negotiable for serious commercial actors.</w:t>
      </w:r>
    </w:p>
    <w:p w14:paraId="73A4E0B1" w14:textId="77777777" w:rsidR="00BE5C1F" w:rsidRDefault="00000000">
      <w:pPr>
        <w:spacing w:before="100" w:after="100"/>
        <w:jc w:val="both"/>
      </w:pPr>
      <w:r>
        <w:t>The Global South has strong structural incentives to participate. These jurisdictions are predominantly consumers of AI systems developed elsewhere, with limited ability to influence development practices and significant exposure to harms from misaligned systems deployed at scale in their markets. A framework that grants them leverage over what is deployed in their jurisdictions, combined with a simple compliance process that does not disadvantage local developers, is a genuine offer of governance capacity rather than a neocolonial imposition.</w:t>
      </w:r>
    </w:p>
    <w:p w14:paraId="174CCFE1" w14:textId="77777777" w:rsidR="00BE5C1F" w:rsidRDefault="00000000">
      <w:pPr>
        <w:spacing w:before="100" w:after="100"/>
        <w:jc w:val="both"/>
      </w:pPr>
      <w:r>
        <w:t>China presents a more complex case. Chinese labs seek Global South market access as a core component of their geopolitical AI strategy. A sufficiently broad coalition creates meaningful commercial pressure. Chinese domestic governance already exercises strong centralized control over model releases, meaning a formal release platform requirement is structurally compatible with existing Chinese regulatory practice — potentially more so than with Western open source norms.</w:t>
      </w:r>
    </w:p>
    <w:p w14:paraId="78CF9BAA" w14:textId="77777777" w:rsidR="00BE5C1F" w:rsidRDefault="00000000">
      <w:pPr>
        <w:pStyle w:val="Heading2"/>
      </w:pPr>
      <w:r>
        <w:t>3.2  Framing for Political Viability</w:t>
      </w:r>
    </w:p>
    <w:p w14:paraId="4F93BA0C" w14:textId="77777777" w:rsidR="00BE5C1F" w:rsidRDefault="00000000">
      <w:pPr>
        <w:spacing w:before="100" w:after="100"/>
        <w:jc w:val="both"/>
      </w:pPr>
      <w:r>
        <w:t>The framework should not be described as AI safety regulation. It should be described as product liability standardization for AI systems.</w:t>
      </w:r>
    </w:p>
    <w:p w14:paraId="715550C6" w14:textId="77777777" w:rsidR="00BE5C1F" w:rsidRDefault="00000000">
      <w:pPr>
        <w:spacing w:before="100" w:after="100"/>
        <w:jc w:val="both"/>
      </w:pPr>
      <w:r>
        <w:t>Every physical product sold in the EU requires CE marking. Every pharmaceutical requires approval. Every vehicle requires crash testing. The default assumption for every product category is that standards must be met before consumer access. The question for AI systems is not whether standards should exist — it is only what the standards are and how compliance is demonstrated.</w:t>
      </w:r>
    </w:p>
    <w:p w14:paraId="7108A3C7" w14:textId="77777777" w:rsidR="00BE5C1F" w:rsidRDefault="00000000">
      <w:pPr>
        <w:spacing w:before="100" w:after="100"/>
        <w:jc w:val="both"/>
      </w:pPr>
      <w:r>
        <w:t>Framed this way, opposition must argue that AI systems specifically should be exempt from the product liability norms applying to everything else. That is a substantially harder public argument than the standard innovation-versus-regulation framing, which implicitly accepts that some regulation is legitimate and disputes only degree.</w:t>
      </w:r>
    </w:p>
    <w:p w14:paraId="73800034" w14:textId="77777777" w:rsidR="00BE5C1F" w:rsidRDefault="00000000">
      <w:pPr>
        <w:spacing w:before="100" w:after="100"/>
        <w:jc w:val="both"/>
      </w:pPr>
      <w:r>
        <w:t>The adverse event reporting requirement is the natural complement: CE marking requires manufacturers to report product failures. AI adverse event reporting is the same instrument applied to the same product liability logic.</w:t>
      </w:r>
    </w:p>
    <w:p w14:paraId="1094AEEC" w14:textId="77777777" w:rsidR="00BE5C1F" w:rsidRDefault="00000000">
      <w:pPr>
        <w:pStyle w:val="Heading2"/>
      </w:pPr>
      <w:r>
        <w:t>3.3  Jurisdictional Arbitrage as a Reduced Threat</w:t>
      </w:r>
    </w:p>
    <w:p w14:paraId="33075A18" w14:textId="77777777" w:rsidR="00BE5C1F" w:rsidRDefault="00000000">
      <w:pPr>
        <w:spacing w:before="100" w:after="100"/>
        <w:jc w:val="both"/>
      </w:pPr>
      <w:r>
        <w:t>Jurisdictional arbitrage — moving development to non-signatory jurisdictions to avoid regulatory requirements — is frequently cited as a fatal weakness of unilateral AI governance. This concern is overstated for two reasons.</w:t>
      </w:r>
    </w:p>
    <w:p w14:paraId="3C1813B3" w14:textId="77777777" w:rsidR="00BE5C1F" w:rsidRDefault="00000000">
      <w:pPr>
        <w:spacing w:before="100" w:after="100"/>
        <w:jc w:val="both"/>
      </w:pPr>
      <w:r>
        <w:t>First, the framework enforces at the deployment layer within signatory jurisdictions, not at the development layer. A model developed in a non-signatory jurisdiction must still be registered on the formal platform to be deployed in EU or Global South markets. The commercial incentive to relocate is substantially reduced when relocation does not produce market access.</w:t>
      </w:r>
    </w:p>
    <w:p w14:paraId="02B890B9" w14:textId="6FCF4D23" w:rsidR="00BE5C1F" w:rsidRDefault="00000000">
      <w:pPr>
        <w:spacing w:before="100" w:after="100"/>
        <w:jc w:val="both"/>
      </w:pPr>
      <w:r>
        <w:t>Second, jurisdiction of origin already functions as a quality signal in technology markets. Country of origin carries implicit safety and trust signalling in hardware procurement — the fabrication origin of semiconductors matters to enterprise buyers, governments, and insurers. The same dynamic develops for AI models as adverse events accumulate and get attributed to specific development cultures and oversight regimes. A model developed under deliberately weak oversight in an unaccountable jurisdiction becomes a reputational and liability risk for serious enterprise deployers. Market signal and regulatory instrument operate in the same direction.</w:t>
      </w:r>
    </w:p>
    <w:p w14:paraId="7D94C2C0" w14:textId="77777777" w:rsidR="00BE5C1F" w:rsidRDefault="00BE5C1F">
      <w:pPr>
        <w:pBdr>
          <w:bottom w:val="single" w:sz="6" w:space="1" w:color="2E75B6"/>
        </w:pBdr>
        <w:spacing w:before="200" w:after="200"/>
      </w:pPr>
    </w:p>
    <w:p w14:paraId="4F002CC6" w14:textId="77777777" w:rsidR="00BE5C1F" w:rsidRDefault="00000000">
      <w:pPr>
        <w:pStyle w:val="Heading1"/>
      </w:pPr>
      <w:r>
        <w:t>Part IV — Implementation Sequencing</w:t>
      </w:r>
    </w:p>
    <w:p w14:paraId="54C27D6C" w14:textId="77777777" w:rsidR="00BE5C1F" w:rsidRDefault="00000000">
      <w:pPr>
        <w:pStyle w:val="Heading2"/>
      </w:pPr>
      <w:r>
        <w:t>4.1  Phase One — Skeleton Establishment</w:t>
      </w:r>
    </w:p>
    <w:p w14:paraId="44527BBD" w14:textId="62FC77B6" w:rsidR="00BE5C1F" w:rsidRDefault="00000000">
      <w:pPr>
        <w:pStyle w:val="ListParagraph"/>
        <w:numPr>
          <w:ilvl w:val="0"/>
          <w:numId w:val="2"/>
        </w:numPr>
        <w:spacing w:before="60" w:after="60"/>
      </w:pPr>
      <w:r>
        <w:t>Establish/designate the formal release platform(s) with minimal initial criteria</w:t>
      </w:r>
    </w:p>
    <w:p w14:paraId="2B61E3E5" w14:textId="77777777" w:rsidR="00BE5C1F" w:rsidRDefault="00000000">
      <w:pPr>
        <w:pStyle w:val="ListParagraph"/>
        <w:numPr>
          <w:ilvl w:val="0"/>
          <w:numId w:val="2"/>
        </w:numPr>
        <w:spacing w:before="60" w:after="60"/>
      </w:pPr>
      <w:r>
        <w:t>Define the effective date from which all new model releases must register</w:t>
      </w:r>
    </w:p>
    <w:p w14:paraId="657080AF" w14:textId="77777777" w:rsidR="00BE5C1F" w:rsidRDefault="00000000">
      <w:pPr>
        <w:pStyle w:val="ListParagraph"/>
        <w:numPr>
          <w:ilvl w:val="0"/>
          <w:numId w:val="2"/>
        </w:numPr>
        <w:spacing w:before="60" w:after="60"/>
      </w:pPr>
      <w:r>
        <w:t>Implement identity verification and download ledger from day one</w:t>
      </w:r>
    </w:p>
    <w:p w14:paraId="2805B821" w14:textId="77777777" w:rsidR="00BE5C1F" w:rsidRDefault="00000000">
      <w:pPr>
        <w:pStyle w:val="ListParagraph"/>
        <w:numPr>
          <w:ilvl w:val="0"/>
          <w:numId w:val="2"/>
        </w:numPr>
        <w:spacing w:before="60" w:after="60"/>
      </w:pPr>
      <w:r>
        <w:t>Establish the adverse event reporting taxonomy in minimal viable form</w:t>
      </w:r>
    </w:p>
    <w:p w14:paraId="7E759BCE" w14:textId="77777777" w:rsidR="00BE5C1F" w:rsidRDefault="00000000">
      <w:pPr>
        <w:pStyle w:val="ListParagraph"/>
        <w:numPr>
          <w:ilvl w:val="0"/>
          <w:numId w:val="2"/>
        </w:numPr>
        <w:spacing w:before="60" w:after="60"/>
      </w:pPr>
      <w:r>
        <w:t>Create the independent technical body responsible for test battery maintenance</w:t>
      </w:r>
    </w:p>
    <w:p w14:paraId="00E73B88" w14:textId="77777777" w:rsidR="00BE5C1F" w:rsidRDefault="00000000">
      <w:pPr>
        <w:pStyle w:val="ListParagraph"/>
        <w:numPr>
          <w:ilvl w:val="0"/>
          <w:numId w:val="2"/>
        </w:numPr>
        <w:spacing w:before="60" w:after="60"/>
      </w:pPr>
      <w:r>
        <w:t>Publish the enforcement mechanism: non-compliant seeding results in deployment ban within signatory jurisdictions</w:t>
      </w:r>
    </w:p>
    <w:p w14:paraId="41E3701A" w14:textId="77777777" w:rsidR="00BE5C1F" w:rsidRDefault="00BE5C1F">
      <w:pPr>
        <w:spacing w:before="160"/>
      </w:pPr>
    </w:p>
    <w:p w14:paraId="4D5068EB" w14:textId="77777777" w:rsidR="00BE5C1F" w:rsidRDefault="00000000">
      <w:pPr>
        <w:pStyle w:val="Heading2"/>
      </w:pPr>
      <w:r>
        <w:t>4.2  Phase Two — Ecosystem Development</w:t>
      </w:r>
    </w:p>
    <w:p w14:paraId="20D5CBA6" w14:textId="77777777" w:rsidR="00BE5C1F" w:rsidRDefault="00000000">
      <w:pPr>
        <w:pStyle w:val="ListParagraph"/>
        <w:numPr>
          <w:ilvl w:val="0"/>
          <w:numId w:val="2"/>
        </w:numPr>
        <w:spacing w:before="60" w:after="60"/>
      </w:pPr>
      <w:r>
        <w:t>Allow the regulated platform to accumulate critical mass through low-friction compliance</w:t>
      </w:r>
    </w:p>
    <w:p w14:paraId="44F275B2" w14:textId="77777777" w:rsidR="00BE5C1F" w:rsidRDefault="00000000">
      <w:pPr>
        <w:pStyle w:val="ListParagraph"/>
        <w:numPr>
          <w:ilvl w:val="0"/>
          <w:numId w:val="2"/>
        </w:numPr>
        <w:spacing w:before="60" w:after="60"/>
      </w:pPr>
      <w:r>
        <w:t>Develop the auditor certification curriculum in partnership with academic institutions</w:t>
      </w:r>
    </w:p>
    <w:p w14:paraId="249A1810" w14:textId="77777777" w:rsidR="00BE5C1F" w:rsidRDefault="00000000">
      <w:pPr>
        <w:pStyle w:val="ListParagraph"/>
        <w:numPr>
          <w:ilvl w:val="0"/>
          <w:numId w:val="2"/>
        </w:numPr>
        <w:spacing w:before="60" w:after="60"/>
      </w:pPr>
      <w:r>
        <w:t>Begin operating the staged deployment requirement for new frontier model registrations</w:t>
      </w:r>
    </w:p>
    <w:p w14:paraId="4699F4F4" w14:textId="77777777" w:rsidR="00BE5C1F" w:rsidRDefault="00000000">
      <w:pPr>
        <w:pStyle w:val="ListParagraph"/>
        <w:numPr>
          <w:ilvl w:val="0"/>
          <w:numId w:val="2"/>
        </w:numPr>
        <w:spacing w:before="60" w:after="60"/>
      </w:pPr>
      <w:r>
        <w:t>Allow quality signal and network effects to create voluntary migration incentives for existing models</w:t>
      </w:r>
    </w:p>
    <w:p w14:paraId="1B571800" w14:textId="77777777" w:rsidR="00BE5C1F" w:rsidRDefault="00000000">
      <w:pPr>
        <w:pStyle w:val="ListParagraph"/>
        <w:numPr>
          <w:ilvl w:val="0"/>
          <w:numId w:val="2"/>
        </w:numPr>
        <w:spacing w:before="60" w:after="60"/>
      </w:pPr>
      <w:r>
        <w:t>Accumulate adverse event data as the empirical foundation for Phase Three criteria</w:t>
      </w:r>
    </w:p>
    <w:p w14:paraId="774065EE" w14:textId="77777777" w:rsidR="00BE5C1F" w:rsidRDefault="00BE5C1F">
      <w:pPr>
        <w:spacing w:before="160"/>
      </w:pPr>
    </w:p>
    <w:p w14:paraId="7C93428F" w14:textId="77777777" w:rsidR="00BE5C1F" w:rsidRDefault="00000000">
      <w:pPr>
        <w:pStyle w:val="Heading2"/>
      </w:pPr>
      <w:r>
        <w:t>4.3  Phase Three — Criteria Sharpening</w:t>
      </w:r>
    </w:p>
    <w:p w14:paraId="386D65C1" w14:textId="77777777" w:rsidR="00BE5C1F" w:rsidRDefault="00000000">
      <w:pPr>
        <w:pStyle w:val="ListParagraph"/>
        <w:numPr>
          <w:ilvl w:val="0"/>
          <w:numId w:val="2"/>
        </w:numPr>
        <w:spacing w:before="60" w:after="60"/>
      </w:pPr>
      <w:r>
        <w:t>Tighten tier thresholds based on adverse event patterns and capability assessments</w:t>
      </w:r>
    </w:p>
    <w:p w14:paraId="57E5760D" w14:textId="77777777" w:rsidR="00BE5C1F" w:rsidRDefault="00000000">
      <w:pPr>
        <w:pStyle w:val="ListParagraph"/>
        <w:numPr>
          <w:ilvl w:val="0"/>
          <w:numId w:val="2"/>
        </w:numPr>
        <w:spacing w:before="60" w:after="60"/>
      </w:pPr>
      <w:r>
        <w:t>Implement derivative liability framework as case law and incident attribution establish precedent</w:t>
      </w:r>
    </w:p>
    <w:p w14:paraId="18EEC1DE" w14:textId="77777777" w:rsidR="00BE5C1F" w:rsidRDefault="00000000">
      <w:pPr>
        <w:pStyle w:val="ListParagraph"/>
        <w:numPr>
          <w:ilvl w:val="0"/>
          <w:numId w:val="2"/>
        </w:numPr>
        <w:spacing w:before="60" w:after="60"/>
      </w:pPr>
      <w:r>
        <w:t>Expand auditor certification program as curriculum matures</w:t>
      </w:r>
    </w:p>
    <w:p w14:paraId="1A901FC4" w14:textId="77777777" w:rsidR="00BE5C1F" w:rsidRDefault="00000000">
      <w:pPr>
        <w:pStyle w:val="ListParagraph"/>
        <w:numPr>
          <w:ilvl w:val="0"/>
          <w:numId w:val="2"/>
        </w:numPr>
        <w:spacing w:before="60" w:after="60"/>
      </w:pPr>
      <w:r>
        <w:t>Engage US and other non-signatory jurisdictions from a position of established framework credibility</w:t>
      </w:r>
    </w:p>
    <w:p w14:paraId="261F6BEF" w14:textId="77777777" w:rsidR="00BE5C1F" w:rsidRDefault="00000000">
      <w:pPr>
        <w:pStyle w:val="ListParagraph"/>
        <w:numPr>
          <w:ilvl w:val="0"/>
          <w:numId w:val="2"/>
        </w:numPr>
        <w:spacing w:before="60" w:after="60"/>
      </w:pPr>
      <w:r>
        <w:t>Evaluate organizational structure requirements — including vertical integration mandates or equivalent cross-pipeline oversight obligations — as institutional capacity to audit them develops</w:t>
      </w:r>
    </w:p>
    <w:p w14:paraId="1E7C7F7A" w14:textId="77777777" w:rsidR="00BE5C1F" w:rsidRDefault="00BE5C1F">
      <w:pPr>
        <w:spacing w:before="160"/>
      </w:pPr>
    </w:p>
    <w:p w14:paraId="29332205" w14:textId="77777777" w:rsidR="00BE5C1F" w:rsidRDefault="00BE5C1F">
      <w:pPr>
        <w:pBdr>
          <w:bottom w:val="single" w:sz="6" w:space="1" w:color="2E75B6"/>
        </w:pBdr>
        <w:spacing w:before="200" w:after="200"/>
      </w:pPr>
    </w:p>
    <w:p w14:paraId="29ACE439" w14:textId="77777777" w:rsidR="00BE5C1F" w:rsidRDefault="00000000">
      <w:pPr>
        <w:pStyle w:val="Heading1"/>
      </w:pPr>
      <w:r>
        <w:t>A Critical Prerequisite: Institutional Quality of Oversight Bodies</w:t>
      </w:r>
    </w:p>
    <w:p w14:paraId="1431AE4E" w14:textId="77777777" w:rsidR="00BE5C1F" w:rsidRDefault="00000000">
      <w:pPr>
        <w:spacing w:before="100" w:after="100"/>
        <w:jc w:val="both"/>
      </w:pPr>
      <w:r>
        <w:t>The framework places substantial weight on the independent auditor tier and the technical body responsible for maintaining the test battery. These institutions are treated as given — as neutral, competent actors whose structural independence from model developers is sufficient to ensure their effectiveness. This assumption requires examination.</w:t>
      </w:r>
    </w:p>
    <w:p w14:paraId="50F8B41C" w14:textId="77777777" w:rsidR="00BE5C1F" w:rsidRDefault="00000000">
      <w:pPr>
        <w:spacing w:before="100" w:after="100"/>
        <w:jc w:val="both"/>
      </w:pPr>
      <w:r>
        <w:t>The pharmaceutical analogy, which the framework correctly invokes, also illustrates the risk. Clinical research organizations and regulatory bodies have well-documented histories of regulatory capture, institutional inertia, and leadership failure. The US FDA, the EMA, and the clinical research industry have all produced cases where structural independence did not translate into functional independence — where visibility replaced accountability, and where the institutions optimized for their own survival rather than the quality of their oversight function.</w:t>
      </w:r>
    </w:p>
    <w:p w14:paraId="702284D7" w14:textId="77777777" w:rsidR="00BE5C1F" w:rsidRDefault="00000000">
      <w:pPr>
        <w:spacing w:before="100" w:after="100"/>
        <w:jc w:val="both"/>
      </w:pPr>
      <w:r>
        <w:t>This is not an argument against the framework. It is an argument that the framework’s effectiveness is ultimately bounded by the character and competence of the people who operate its oversight institutions. The auditor certification curriculum, the independent technical body, the adverse event taxonomy — these are only as good as the leadership selecting and sustaining the people who run them. Structural design creates conditions for good oversight; it does not guarantee it.</w:t>
      </w:r>
    </w:p>
    <w:p w14:paraId="774F10CE" w14:textId="77777777" w:rsidR="00BE5C1F" w:rsidRDefault="00000000">
      <w:pPr>
        <w:spacing w:before="100" w:after="100"/>
        <w:jc w:val="both"/>
      </w:pPr>
      <w:r>
        <w:t>The framework should therefore be explicit that institutional quality — selection criteria for oversight body leadership, transparent performance metrics, meaningful accountability for oversight failures, and protection of institutional integrity against both commercial and political pressure — is a prerequisite condition, not an implementation detail. The skeleton must include not only the formal release platform and the auditor tier, but the governance of the governors themselves. Without this, the framework risks constructing an impressive institutional scaffold that, like so many before it, selects over time for visibility over substance and manages the appearance of oversight rather than its reality.</w:t>
      </w:r>
    </w:p>
    <w:p w14:paraId="040FB69A" w14:textId="77777777" w:rsidR="00BE5C1F" w:rsidRDefault="00000000">
      <w:pPr>
        <w:pStyle w:val="Heading1"/>
      </w:pPr>
      <w:r>
        <w:t>Conclusion</w:t>
      </w:r>
    </w:p>
    <w:p w14:paraId="69DCEDD0" w14:textId="77777777" w:rsidR="00BE5C1F" w:rsidRDefault="00000000">
      <w:pPr>
        <w:spacing w:before="100" w:after="100"/>
        <w:jc w:val="both"/>
      </w:pPr>
      <w:r>
        <w:t>The framework described here is more complete and technically grounded than most proposals currently circulating in policy discussions. Its components are implementable with existing technology and existing legal instruments. The political coalition is constructible. The liability logic is coherent with established product liability doctrine.</w:t>
      </w:r>
    </w:p>
    <w:p w14:paraId="5B9C236C" w14:textId="77777777" w:rsidR="00BE5C1F" w:rsidRDefault="00000000">
      <w:pPr>
        <w:spacing w:before="100" w:after="100"/>
        <w:jc w:val="both"/>
      </w:pPr>
      <w:r>
        <w:t>Its distinguishing features relative to existing proposals are three: it attaches enforcement to the release event and the deployment layer rather than to the development process; it builds the adverse event database from day one as a foundational asset rather than treating data collection as a later-phase concern; and it sequences implementation to generate the empirical evidence that makes future requirements intelligent rather than attempting to front-load intelligence the system does not yet have.</w:t>
      </w:r>
    </w:p>
    <w:p w14:paraId="1007BE6E" w14:textId="77777777" w:rsidR="00BE5C1F" w:rsidRDefault="00000000">
      <w:pPr>
        <w:spacing w:before="100" w:after="100"/>
        <w:jc w:val="both"/>
      </w:pPr>
      <w:r>
        <w:t>The framework does not require solving the hardest technical problems in AI safety before implementation begins. It requires establishing the institutional infrastructure through which solutions to those problems, as they develop, can be systematically applied.</w:t>
      </w:r>
    </w:p>
    <w:p w14:paraId="14212D6C" w14:textId="77777777" w:rsidR="00BE5C1F" w:rsidRDefault="00000000">
      <w:pPr>
        <w:spacing w:before="100" w:after="100"/>
        <w:jc w:val="both"/>
      </w:pPr>
      <w:r>
        <w:t>The window for establishing this infrastructure before the unregulated norm becomes entrenched is narrowing. The appropriate moment to build the skeleton is before the ecosystem it must govern has fully organized itself around its absence.</w:t>
      </w:r>
    </w:p>
    <w:p w14:paraId="57D84932" w14:textId="77777777" w:rsidR="00BE5C1F" w:rsidRDefault="00BE5C1F">
      <w:pPr>
        <w:pBdr>
          <w:bottom w:val="single" w:sz="6" w:space="1" w:color="2E75B6"/>
        </w:pBdr>
        <w:spacing w:before="200" w:after="200"/>
      </w:pPr>
    </w:p>
    <w:p w14:paraId="1F7CEF83" w14:textId="77777777" w:rsidR="00BE5C1F" w:rsidRDefault="00000000">
      <w:pPr>
        <w:spacing w:before="400"/>
        <w:jc w:val="center"/>
      </w:pPr>
      <w:r>
        <w:rPr>
          <w:i/>
          <w:iCs/>
          <w:color w:val="888888"/>
          <w:sz w:val="18"/>
          <w:szCs w:val="18"/>
        </w:rPr>
        <w:t>End of Document</w:t>
      </w:r>
    </w:p>
    <w:sectPr w:rsidR="00BE5C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C3D1D" w14:textId="77777777" w:rsidR="008B3973" w:rsidRDefault="008B3973">
      <w:r>
        <w:separator/>
      </w:r>
    </w:p>
  </w:endnote>
  <w:endnote w:type="continuationSeparator" w:id="0">
    <w:p w14:paraId="067A35FD" w14:textId="77777777" w:rsidR="008B3973" w:rsidRDefault="008B3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68C7" w14:textId="77777777" w:rsidR="00BE5C1F" w:rsidRDefault="00000000">
    <w:pPr>
      <w:pBdr>
        <w:top w:val="single" w:sz="4" w:space="1" w:color="CCCCCC"/>
      </w:pBdr>
      <w:tabs>
        <w:tab w:val="right" w:pos="9026"/>
      </w:tabs>
      <w:spacing w:before="120"/>
    </w:pPr>
    <w:r>
      <w:rPr>
        <w:color w:val="666666"/>
        <w:sz w:val="18"/>
        <w:szCs w:val="18"/>
      </w:rPr>
      <w:t xml:space="preserve">Page </w:t>
    </w:r>
    <w:r>
      <w:rPr>
        <w:i/>
        <w:iCs/>
        <w:color w:val="666666"/>
        <w:sz w:val="18"/>
        <w:szCs w:val="18"/>
      </w:rPr>
      <w:tab/>
      <w:t>Submission to UN Global Dialogue on AI Governance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5848" w14:textId="77777777" w:rsidR="008B3973" w:rsidRDefault="008B3973">
      <w:r>
        <w:separator/>
      </w:r>
    </w:p>
  </w:footnote>
  <w:footnote w:type="continuationSeparator" w:id="0">
    <w:p w14:paraId="0509AD4C" w14:textId="77777777" w:rsidR="008B3973" w:rsidRDefault="008B3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C3C4" w14:textId="77777777" w:rsidR="00BE5C1F" w:rsidRDefault="00000000">
    <w:pPr>
      <w:pBdr>
        <w:bottom w:val="single" w:sz="4" w:space="1" w:color="CCCCCC"/>
      </w:pBdr>
      <w:tabs>
        <w:tab w:val="right" w:pos="9026"/>
      </w:tabs>
      <w:spacing w:after="120"/>
    </w:pPr>
    <w:r>
      <w:rPr>
        <w:color w:val="666666"/>
        <w:sz w:val="18"/>
        <w:szCs w:val="18"/>
      </w:rPr>
      <w:t>FRONTIER AI GOVERNANCE FRAMEWORK</w:t>
    </w:r>
    <w:r>
      <w:rPr>
        <w:sz w:val="18"/>
        <w:szCs w:val="18"/>
      </w:rPr>
      <w:tab/>
    </w:r>
    <w:r>
      <w:rPr>
        <w:i/>
        <w:iCs/>
        <w:color w:val="666666"/>
        <w:sz w:val="18"/>
        <w:szCs w:val="18"/>
      </w:rPr>
      <w:t>UN Global Dialogue Submission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5A17"/>
    <w:multiLevelType w:val="hybridMultilevel"/>
    <w:tmpl w:val="DBDC125E"/>
    <w:lvl w:ilvl="0" w:tplc="036A7874">
      <w:start w:val="1"/>
      <w:numFmt w:val="decimal"/>
      <w:lvlText w:val="%1."/>
      <w:lvlJc w:val="left"/>
      <w:pPr>
        <w:ind w:left="720" w:hanging="360"/>
      </w:pPr>
    </w:lvl>
    <w:lvl w:ilvl="1" w:tplc="7C962366">
      <w:numFmt w:val="decimal"/>
      <w:lvlText w:val=""/>
      <w:lvlJc w:val="left"/>
    </w:lvl>
    <w:lvl w:ilvl="2" w:tplc="6CEAD07C">
      <w:numFmt w:val="decimal"/>
      <w:lvlText w:val=""/>
      <w:lvlJc w:val="left"/>
    </w:lvl>
    <w:lvl w:ilvl="3" w:tplc="A78E930A">
      <w:numFmt w:val="decimal"/>
      <w:lvlText w:val=""/>
      <w:lvlJc w:val="left"/>
    </w:lvl>
    <w:lvl w:ilvl="4" w:tplc="8528C232">
      <w:numFmt w:val="decimal"/>
      <w:lvlText w:val=""/>
      <w:lvlJc w:val="left"/>
    </w:lvl>
    <w:lvl w:ilvl="5" w:tplc="B25E4114">
      <w:numFmt w:val="decimal"/>
      <w:lvlText w:val=""/>
      <w:lvlJc w:val="left"/>
    </w:lvl>
    <w:lvl w:ilvl="6" w:tplc="1B3AD424">
      <w:numFmt w:val="decimal"/>
      <w:lvlText w:val=""/>
      <w:lvlJc w:val="left"/>
    </w:lvl>
    <w:lvl w:ilvl="7" w:tplc="E69EFE7A">
      <w:numFmt w:val="decimal"/>
      <w:lvlText w:val=""/>
      <w:lvlJc w:val="left"/>
    </w:lvl>
    <w:lvl w:ilvl="8" w:tplc="2954C562">
      <w:numFmt w:val="decimal"/>
      <w:lvlText w:val=""/>
      <w:lvlJc w:val="left"/>
    </w:lvl>
  </w:abstractNum>
  <w:abstractNum w:abstractNumId="1" w15:restartNumberingAfterBreak="0">
    <w:nsid w:val="3B527730"/>
    <w:multiLevelType w:val="hybridMultilevel"/>
    <w:tmpl w:val="81E823C6"/>
    <w:lvl w:ilvl="0" w:tplc="DE4A549C">
      <w:start w:val="1"/>
      <w:numFmt w:val="bullet"/>
      <w:lvlText w:val="•"/>
      <w:lvlJc w:val="left"/>
      <w:pPr>
        <w:ind w:left="720" w:hanging="360"/>
      </w:pPr>
    </w:lvl>
    <w:lvl w:ilvl="1" w:tplc="6EA4E15A">
      <w:numFmt w:val="decimal"/>
      <w:lvlText w:val=""/>
      <w:lvlJc w:val="left"/>
    </w:lvl>
    <w:lvl w:ilvl="2" w:tplc="E65C1624">
      <w:numFmt w:val="decimal"/>
      <w:lvlText w:val=""/>
      <w:lvlJc w:val="left"/>
    </w:lvl>
    <w:lvl w:ilvl="3" w:tplc="D93A17A2">
      <w:numFmt w:val="decimal"/>
      <w:lvlText w:val=""/>
      <w:lvlJc w:val="left"/>
    </w:lvl>
    <w:lvl w:ilvl="4" w:tplc="18D62A2A">
      <w:numFmt w:val="decimal"/>
      <w:lvlText w:val=""/>
      <w:lvlJc w:val="left"/>
    </w:lvl>
    <w:lvl w:ilvl="5" w:tplc="FE66470A">
      <w:numFmt w:val="decimal"/>
      <w:lvlText w:val=""/>
      <w:lvlJc w:val="left"/>
    </w:lvl>
    <w:lvl w:ilvl="6" w:tplc="AE568BF0">
      <w:numFmt w:val="decimal"/>
      <w:lvlText w:val=""/>
      <w:lvlJc w:val="left"/>
    </w:lvl>
    <w:lvl w:ilvl="7" w:tplc="DB7828C8">
      <w:numFmt w:val="decimal"/>
      <w:lvlText w:val=""/>
      <w:lvlJc w:val="left"/>
    </w:lvl>
    <w:lvl w:ilvl="8" w:tplc="EF309CF2">
      <w:numFmt w:val="decimal"/>
      <w:lvlText w:val=""/>
      <w:lvlJc w:val="left"/>
    </w:lvl>
  </w:abstractNum>
  <w:abstractNum w:abstractNumId="2" w15:restartNumberingAfterBreak="0">
    <w:nsid w:val="705112A7"/>
    <w:multiLevelType w:val="hybridMultilevel"/>
    <w:tmpl w:val="B97C6CA8"/>
    <w:lvl w:ilvl="0" w:tplc="C0FAC36A">
      <w:start w:val="1"/>
      <w:numFmt w:val="bullet"/>
      <w:lvlText w:val="●"/>
      <w:lvlJc w:val="left"/>
      <w:pPr>
        <w:ind w:left="720" w:hanging="360"/>
      </w:pPr>
    </w:lvl>
    <w:lvl w:ilvl="1" w:tplc="5B6CC64A">
      <w:start w:val="1"/>
      <w:numFmt w:val="bullet"/>
      <w:lvlText w:val="○"/>
      <w:lvlJc w:val="left"/>
      <w:pPr>
        <w:ind w:left="1440" w:hanging="360"/>
      </w:pPr>
    </w:lvl>
    <w:lvl w:ilvl="2" w:tplc="B0A671CE">
      <w:start w:val="1"/>
      <w:numFmt w:val="bullet"/>
      <w:lvlText w:val="■"/>
      <w:lvlJc w:val="left"/>
      <w:pPr>
        <w:ind w:left="2160" w:hanging="360"/>
      </w:pPr>
    </w:lvl>
    <w:lvl w:ilvl="3" w:tplc="806653F2">
      <w:start w:val="1"/>
      <w:numFmt w:val="bullet"/>
      <w:lvlText w:val="●"/>
      <w:lvlJc w:val="left"/>
      <w:pPr>
        <w:ind w:left="2880" w:hanging="360"/>
      </w:pPr>
    </w:lvl>
    <w:lvl w:ilvl="4" w:tplc="D66814B4">
      <w:start w:val="1"/>
      <w:numFmt w:val="bullet"/>
      <w:lvlText w:val="○"/>
      <w:lvlJc w:val="left"/>
      <w:pPr>
        <w:ind w:left="3600" w:hanging="360"/>
      </w:pPr>
    </w:lvl>
    <w:lvl w:ilvl="5" w:tplc="AFF02D04">
      <w:start w:val="1"/>
      <w:numFmt w:val="bullet"/>
      <w:lvlText w:val="■"/>
      <w:lvlJc w:val="left"/>
      <w:pPr>
        <w:ind w:left="4320" w:hanging="360"/>
      </w:pPr>
    </w:lvl>
    <w:lvl w:ilvl="6" w:tplc="59BE4D5A">
      <w:start w:val="1"/>
      <w:numFmt w:val="bullet"/>
      <w:lvlText w:val="●"/>
      <w:lvlJc w:val="left"/>
      <w:pPr>
        <w:ind w:left="5040" w:hanging="360"/>
      </w:pPr>
    </w:lvl>
    <w:lvl w:ilvl="7" w:tplc="C6925BF0">
      <w:start w:val="1"/>
      <w:numFmt w:val="bullet"/>
      <w:lvlText w:val="●"/>
      <w:lvlJc w:val="left"/>
      <w:pPr>
        <w:ind w:left="5760" w:hanging="360"/>
      </w:pPr>
    </w:lvl>
    <w:lvl w:ilvl="8" w:tplc="7004E0B0">
      <w:start w:val="1"/>
      <w:numFmt w:val="bullet"/>
      <w:lvlText w:val="●"/>
      <w:lvlJc w:val="left"/>
      <w:pPr>
        <w:ind w:left="6480" w:hanging="360"/>
      </w:pPr>
    </w:lvl>
  </w:abstractNum>
  <w:num w:numId="1" w16cid:durableId="425612935">
    <w:abstractNumId w:val="2"/>
    <w:lvlOverride w:ilvl="0">
      <w:startOverride w:val="1"/>
    </w:lvlOverride>
  </w:num>
  <w:num w:numId="2" w16cid:durableId="1595554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1F"/>
    <w:rsid w:val="0007025B"/>
    <w:rsid w:val="00180B0D"/>
    <w:rsid w:val="00232EE5"/>
    <w:rsid w:val="00241904"/>
    <w:rsid w:val="003034A1"/>
    <w:rsid w:val="00440305"/>
    <w:rsid w:val="00881F7B"/>
    <w:rsid w:val="008B3973"/>
    <w:rsid w:val="00902F74"/>
    <w:rsid w:val="00910B80"/>
    <w:rsid w:val="00942D04"/>
    <w:rsid w:val="00A704EE"/>
    <w:rsid w:val="00B305BC"/>
    <w:rsid w:val="00B36D50"/>
    <w:rsid w:val="00BE5C1F"/>
    <w:rsid w:val="00C43CFE"/>
    <w:rsid w:val="00D26F45"/>
    <w:rsid w:val="00D7288B"/>
    <w:rsid w:val="00F17D5C"/>
    <w:rsid w:val="00F85DF3"/>
    <w:rsid w:val="00FF0DBE"/>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FB24"/>
  <w15:docId w15:val="{DCE4ACB2-990B-4C0C-9859-6F9465D6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I" w:eastAsia="en-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4480</Words>
  <Characters>25542</Characters>
  <Application>Microsoft Office Word</Application>
  <DocSecurity>0</DocSecurity>
  <Lines>212</Lines>
  <Paragraphs>59</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Preamble</vt:lpstr>
      <vt:lpstr>Part I — The Problem with Existing Frameworks</vt:lpstr>
      <vt:lpstr>    1.1  Why Data Ethics Governance Does Not Transfer</vt:lpstr>
      <vt:lpstr>    1.2  The Organizational Structure Gap</vt:lpstr>
      <vt:lpstr>    1.3  The Open Weight Distribution Problem</vt:lpstr>
      <vt:lpstr>Part II — The Skeleton Framework</vt:lpstr>
      <vt:lpstr>    2.1  The Formal Release Platform</vt:lpstr>
      <vt:lpstr>    2.2  Tiered Access Architecture</vt:lpstr>
      <vt:lpstr>    2.3  Identity and Download Ledger</vt:lpstr>
      <vt:lpstr>    2.4  Modification and Release — Liability Architecture</vt:lpstr>
      <vt:lpstr>    2.5  Staged Deployment — The Clinical Trial Analogy</vt:lpstr>
      <vt:lpstr>    2.6  Independent Auditor Tier</vt:lpstr>
      <vt:lpstr>Part III — Coalition and Political Viability</vt:lpstr>
      <vt:lpstr>    3.1  The EU Plus Global South Coalition</vt:lpstr>
      <vt:lpstr>    3.2  Framing for Political Viability</vt:lpstr>
      <vt:lpstr>    3.3  Jurisdictional Arbitrage as a Reduced Threat</vt:lpstr>
      <vt:lpstr>Part IV — Implementation Sequencing</vt:lpstr>
      <vt:lpstr>    4.1  Phase One — Skeleton Establishment</vt:lpstr>
      <vt:lpstr>    4.2  Phase Two — Ecosystem Development</vt:lpstr>
      <vt:lpstr>    4.3  Phase Three — Criteria Sharpening</vt:lpstr>
      <vt:lpstr>A Critical Prerequisite: Institutional Quality of Oversight Bodies</vt:lpstr>
      <vt:lpstr>Conclusion</vt:lpstr>
    </vt:vector>
  </TitlesOfParts>
  <Company/>
  <LinksUpToDate>false</LinksUpToDate>
  <CharactersWithSpaces>29963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jeslindh.enterprise@gmail.com</dc:creator>
  <cp:lastModifiedBy>Jesper Lindholm</cp:lastModifiedBy>
  <cp:revision>3</cp:revision>
  <dcterms:created xsi:type="dcterms:W3CDTF">2026-04-29T21:29:00Z</dcterms:created>
  <dcterms:modified xsi:type="dcterms:W3CDTF">2026-04-29T21:57:00Z</dcterms:modified>
</cp:coreProperties>
</file>