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E18C91">
      <w:pPr>
        <w:pStyle w:val="14"/>
        <w:spacing w:before="0" w:after="0" w:line="240" w:lineRule="auto"/>
        <w:ind w:left="640"/>
        <w:rPr>
          <w:rFonts w:hint="eastAsia" w:ascii="宋体" w:hAnsi="宋体" w:eastAsia="宋体" w:cs="宋体"/>
          <w:sz w:val="24"/>
          <w:szCs w:val="24"/>
        </w:rPr>
        <w:snapToGrid w:val="0"/>
      </w:pPr>
      <w:r>
        <w:rPr>
          <w:rFonts w:ascii="仿宋" w:hAnsi="仿宋" w:eastAsia="仿宋"/>
          <w:b w:val="0"/>
          <w:color w:val="000000"/>
          <w:sz w:val="28"/>
        </w:rPr>
      </w:r>
    </w:p>
    <w:p w14:paraId="4BDA5ADC">
      <w:pPr>
        <w:spacing w:before="0" w:after="0" w:line="240" w:lineRule="auto"/>
        <w:rPr>
          <w:rFonts w:hint="eastAsia"/>
        </w:rPr>
        <w:snapToGrid w:val="0"/>
      </w:pPr>
      <w:r>
        <w:rPr>
          <w:rFonts w:ascii="仿宋" w:hAnsi="仿宋" w:eastAsia="仿宋"/>
          <w:b w:val="0"/>
          <w:color w:val="000000"/>
          <w:sz w:val="28"/>
        </w:rPr>
      </w:r>
    </w:p>
    <w:p w14:paraId="7D1511D7">
      <w:pPr>
        <w:spacing w:after="240"/>
        <w:ind w:right="-122" w:rightChars="-58" w:firstLine="0"/>
        <w:jc w:val="center"/>
        <w:rPr>
          <w:rFonts w:hint="eastAsia" w:ascii="宋体"/>
          <w:b/>
          <w:spacing w:val="30"/>
          <w:sz w:val="40"/>
          <w:szCs w:val="40"/>
        </w:rPr>
        <w:pStyle w:val="14"/>
        <w:snapToGrid w:val="0"/>
        <w:outlineLvl w:val="9"/>
      </w:pPr>
      <w:r>
        <w:rPr>
          <w:rFonts w:ascii="宋体" w:hAnsi="宋体" w:eastAsia="宋体"/>
          <w:b/>
          <w:color w:val="000000"/>
          <w:sz w:val="40"/>
        </w:rPr>
        <w:t>中国仿真创新应用大赛</w:t>
      </w:r>
    </w:p>
    <w:p w14:paraId="12DC9A81">
      <w:pPr>
        <w:spacing w:after="240"/>
        <w:ind w:right="-122" w:rightChars="-58" w:firstLine="0"/>
        <w:jc w:val="center"/>
        <w:rPr>
          <w:rFonts w:hint="eastAsia" w:ascii="宋体"/>
          <w:b/>
          <w:spacing w:val="30"/>
          <w:sz w:val="40"/>
          <w:szCs w:val="40"/>
        </w:rPr>
        <w:snapToGrid w:val="0"/>
      </w:pPr>
      <w:r>
        <w:rPr>
          <w:rFonts w:ascii="宋体" w:hAnsi="宋体" w:eastAsia="宋体"/>
          <w:b/>
          <w:color w:val="000000"/>
          <w:sz w:val="40"/>
        </w:rPr>
        <w:t>数字建模与智能决策赛道</w:t>
      </w:r>
    </w:p>
    <w:p w14:paraId="34200A4D">
      <w:pPr>
        <w:spacing w:before="156" w:beforeLines="50" w:after="240"/>
        <w:ind w:firstLine="0"/>
        <w:jc w:val="center"/>
        <w:rPr>
          <w:rFonts w:hint="eastAsia" w:ascii="宋体"/>
          <w:b/>
          <w:spacing w:val="30"/>
          <w:sz w:val="32"/>
          <w:szCs w:val="32"/>
        </w:rPr>
        <w:snapToGrid w:val="0"/>
      </w:pPr>
      <w:r>
        <w:rPr>
          <w:rFonts w:ascii="宋体" w:hAnsi="宋体" w:eastAsia="宋体"/>
          <w:b/>
          <w:color w:val="000000"/>
          <w:sz w:val="32"/>
        </w:rPr>
        <w:t>智能决策方向作品设计方案</w:t>
      </w:r>
    </w:p>
    <w:p w14:paraId="4C37F1BB">
      <w:pPr>
        <w:spacing w:before="0" w:beforeLines="50" w:after="700" w:line="240" w:lineRule="auto"/>
        <w:jc w:val="center"/>
        <w:rPr>
          <w:rFonts w:hint="eastAsia" w:ascii="黑体" w:eastAsia="黑体"/>
          <w:sz w:val="48"/>
        </w:rPr>
        <w:snapToGrid w:val="0"/>
      </w:pPr>
      <w:r>
        <w:rPr>
          <w:rFonts w:ascii="仿宋" w:hAnsi="仿宋" w:eastAsia="仿宋"/>
          <w:b w:val="0"/>
          <w:color w:val="000000"/>
          <w:sz w:val="28"/>
        </w:rPr>
      </w:r>
    </w:p>
    <w:p w14:paraId="194170E5">
      <w:pPr>
        <w:spacing w:before="0" w:beforeLines="50" w:after="0" w:line="240" w:lineRule="auto"/>
        <w:jc w:val="center"/>
        <w:rPr>
          <w:rFonts w:hint="eastAsia" w:ascii="黑体" w:eastAsia="黑体"/>
          <w:sz w:val="48"/>
        </w:rPr>
        <w:snapToGrid w:val="0"/>
      </w:pPr>
      <w:r>
        <w:rPr>
          <w:rFonts w:ascii="仿宋" w:hAnsi="仿宋" w:eastAsia="仿宋"/>
          <w:b w:val="0"/>
          <w:color w:val="000000"/>
          <w:sz w:val="28"/>
        </w:rPr>
      </w:r>
    </w:p>
    <w:p w14:paraId="7E94D27C">
      <w:pPr>
        <w:spacing w:before="0" w:after="0" w:line="240" w:lineRule="auto"/>
        <w:jc w:val="center"/>
        <w:rPr>
          <w:rFonts w:hint="eastAsia" w:ascii="黑体" w:eastAsia="黑体"/>
          <w:sz w:val="72"/>
        </w:rPr>
        <w:snapToGrid w:val="0"/>
      </w:pPr>
      <w:r>
        <w:rPr>
          <w:rFonts w:ascii="仿宋" w:hAnsi="仿宋" w:eastAsia="仿宋"/>
          <w:b w:val="0"/>
          <w:color w:val="000000"/>
          <w:sz w:val="28"/>
        </w:rPr>
      </w:r>
    </w:p>
    <w:p w14:paraId="2E5BE253">
      <w:pPr>
        <w:spacing w:before="0" w:after="0" w:line="240" w:lineRule="auto"/>
        <w:rPr>
          <w:rFonts w:hint="eastAsia"/>
        </w:rPr>
        <w:snapToGrid w:val="0"/>
      </w:pPr>
      <w:r>
        <w:rPr>
          <w:rFonts w:ascii="仿宋" w:hAnsi="仿宋" w:eastAsia="仿宋"/>
          <w:b w:val="0"/>
          <w:color w:val="000000"/>
          <w:sz w:val="28"/>
        </w:rPr>
      </w:r>
    </w:p>
    <w:p w14:paraId="1606469F">
      <w:pPr>
        <w:spacing w:line="432" w:lineRule="auto" w:before="0" w:after="240"/>
        <w:ind w:left="340" w:right="0" w:firstLine="0"/>
        <w:jc w:val="both"/>
        <w:rPr>
          <w:rFonts w:hint="eastAsia" w:ascii="仿宋_GB2312" w:eastAsia="仿宋_GB2312"/>
          <w:sz w:val="28"/>
        </w:rPr>
        <w:keepNext w:val="0"/>
        <w:widowControl/>
        <w:snapToGrid w:val="0"/>
      </w:pPr>
      <w:r>
        <w:rPr>
          <w:rFonts w:ascii="仿宋" w:hAnsi="仿宋" w:eastAsia="仿宋"/>
          <w:b w:val="0"/>
          <w:color w:val="000000"/>
          <w:sz w:val="28"/>
        </w:rPr>
        <w:t>项目名称：</w:t>
        <w:br/>
        <w:t>面向园区末端配送的低空风险仿真与起降场选址系统</w:t>
      </w:r>
    </w:p>
    <w:p w14:paraId="09D00BA5">
      <w:pPr>
        <w:spacing w:line="432" w:lineRule="auto" w:before="0" w:after="240"/>
        <w:ind w:left="340" w:right="0" w:firstLine="0"/>
        <w:jc w:val="both"/>
        <w:rPr>
          <w:rFonts w:hint="eastAsia" w:ascii="仿宋_GB2312" w:eastAsia="仿宋_GB2312"/>
          <w:sz w:val="28"/>
        </w:rPr>
        <w:keepNext w:val="0"/>
        <w:widowControl/>
        <w:snapToGrid w:val="0"/>
      </w:pPr>
      <w:r>
        <w:rPr>
          <w:rFonts w:ascii="仿宋" w:hAnsi="仿宋" w:eastAsia="仿宋"/>
          <w:b w:val="0"/>
          <w:color w:val="000000"/>
          <w:sz w:val="28"/>
        </w:rPr>
        <w:t>申请人（主持人）：________________</w:t>
      </w:r>
    </w:p>
    <w:p w14:paraId="0D5B702B">
      <w:pPr>
        <w:spacing w:line="432" w:lineRule="auto" w:before="0" w:after="240"/>
        <w:ind w:left="340" w:right="0" w:firstLine="0"/>
        <w:jc w:val="both"/>
        <w:rPr>
          <w:rFonts w:hint="eastAsia" w:ascii="仿宋_GB2312" w:eastAsia="仿宋_GB2312"/>
          <w:sz w:val="28"/>
        </w:rPr>
        <w:keepNext w:val="0"/>
        <w:widowControl/>
        <w:snapToGrid w:val="0"/>
      </w:pPr>
      <w:r>
        <w:rPr>
          <w:rFonts w:ascii="仿宋" w:hAnsi="仿宋" w:eastAsia="仿宋"/>
          <w:b w:val="0"/>
          <w:color w:val="000000"/>
          <w:sz w:val="28"/>
        </w:rPr>
        <w:t>所在单位：________________________</w:t>
      </w:r>
    </w:p>
    <w:p w14:paraId="07EAD015">
      <w:pPr>
        <w:spacing w:line="432" w:lineRule="auto" w:before="0" w:after="240"/>
        <w:ind w:left="340" w:right="0" w:firstLine="0"/>
        <w:jc w:val="both"/>
        <w:rPr>
          <w:rFonts w:hint="eastAsia" w:ascii="仿宋_GB2312" w:eastAsia="仿宋_GB2312"/>
          <w:sz w:val="28"/>
        </w:rPr>
        <w:keepNext w:val="0"/>
        <w:widowControl/>
        <w:snapToGrid w:val="0"/>
      </w:pPr>
      <w:r>
        <w:rPr>
          <w:rFonts w:ascii="仿宋" w:hAnsi="仿宋" w:eastAsia="仿宋"/>
          <w:b w:val="0"/>
          <w:color w:val="000000"/>
          <w:sz w:val="28"/>
        </w:rPr>
        <w:t>联系电话：________________________</w:t>
      </w:r>
    </w:p>
    <w:p w14:paraId="563D5A6B">
      <w:pPr>
        <w:spacing w:before="0" w:after="0" w:line="240" w:lineRule="auto"/>
        <w:jc w:val="center"/>
        <w:rPr>
          <w:rFonts w:hint="eastAsia"/>
          <w:sz w:val="28"/>
        </w:rPr>
        <w:snapToGrid w:val="0"/>
      </w:pPr>
      <w:r>
        <w:rPr>
          <w:rFonts w:ascii="仿宋" w:hAnsi="仿宋" w:eastAsia="仿宋"/>
          <w:b w:val="0"/>
          <w:color w:val="000000"/>
          <w:sz w:val="28"/>
        </w:rPr>
      </w:r>
    </w:p>
    <w:p w14:paraId="0AC29BD5">
      <w:pPr>
        <w:spacing w:before="0" w:after="0" w:line="240" w:lineRule="auto"/>
        <w:jc w:val="center"/>
        <w:rPr>
          <w:rFonts w:hint="eastAsia"/>
          <w:sz w:val="28"/>
        </w:rPr>
        <w:snapToGrid w:val="0"/>
      </w:pPr>
      <w:r>
        <w:rPr>
          <w:rFonts w:ascii="仿宋" w:hAnsi="仿宋" w:eastAsia="仿宋"/>
          <w:b w:val="0"/>
          <w:color w:val="000000"/>
          <w:sz w:val="28"/>
        </w:rPr>
      </w:r>
    </w:p>
    <w:p w14:paraId="66E0EF80">
      <w:pPr>
        <w:spacing w:after="600" w:line="240" w:lineRule="auto" w:before="0"/>
        <w:ind w:left="1364" w:firstLine="560" w:firstLineChars="200"/>
        <w:rPr>
          <w:rFonts w:hint="eastAsia"/>
          <w:color w:val="000000"/>
          <w:sz w:val="28"/>
          <w:szCs w:val="28"/>
        </w:rPr>
        <w:snapToGrid w:val="0"/>
      </w:pPr>
      <w:r>
        <w:rPr>
          <w:rFonts w:ascii="仿宋" w:hAnsi="仿宋" w:eastAsia="仿宋"/>
          <w:b w:val="0"/>
          <w:color w:val="000000"/>
          <w:sz w:val="28"/>
        </w:rPr>
      </w:r>
    </w:p>
    <w:p w14:paraId="5E50F962">
      <w:pPr>
        <w:spacing w:after="302" w:line="360" w:lineRule="auto"/>
        <w:ind w:firstLine="0"/>
        <w:jc w:val="center"/>
        <w:rPr>
          <w:rFonts w:hint="eastAsia" w:ascii="仿宋_GB2312" w:eastAsia="仿宋_GB2312"/>
        </w:rPr>
        <w:snapToGrid w:val="0"/>
      </w:pPr>
      <w:r>
        <w:rPr>
          <w:rFonts w:hint="eastAsia" w:ascii="仿宋_GB2312" w:eastAsia="仿宋_GB2312"/>
          <w:color w:val="000000"/>
          <w:sz w:val="28"/>
          <w:szCs w:val="28"/>
        </w:rPr>
        <w:t>中国仿真创新应用大赛赛事组委会</w:t>
      </w:r>
    </w:p>
    <w:p w14:paraId="637C166A">
      <w:pPr>
        <w:spacing w:line="240" w:lineRule="auto" w:before="0" w:after="0"/>
        <w:ind w:firstLine="560" w:firstLineChars="200"/>
        <w:jc w:val="center"/>
        <w:rPr>
          <w:rFonts w:hint="eastAsia"/>
          <w:b/>
          <w:bCs/>
          <w:sz w:val="28"/>
          <w:szCs w:val="28"/>
        </w:rPr>
        <w:snapToGrid w:val="0"/>
      </w:pPr>
      <w:r>
        <w:rPr>
          <w:rFonts w:ascii="仿宋" w:hAnsi="仿宋" w:eastAsia="仿宋"/>
          <w:b w:val="0"/>
          <w:color w:val="000000"/>
          <w:sz w:val="28"/>
        </w:rPr>
      </w:r>
    </w:p>
    <w:bookmarkEnd w:id="0"/>
    <w:p>
      <w:pPr>
        <w:pStyle w:val="FrontMatterHeading"/>
        <w:keepNext/>
        <w:pageBreakBefore/>
        <w:widowControl/>
        <w:spacing w:line="300" w:lineRule="auto" w:before="180" w:after="120"/>
        <w:ind w:left="0" w:right="0" w:firstLine="0"/>
        <w:snapToGrid w:val="0"/>
        <w:jc w:val="both"/>
      </w:pPr>
      <w:r>
        <w:rPr>
          <w:rFonts w:ascii="宋体" w:hAnsi="宋体" w:eastAsia="宋体"/>
          <w:b/>
          <w:color w:val="000000"/>
          <w:sz w:val="28"/>
        </w:rPr>
        <w:t>目录</w:t>
      </w:r>
    </w:p>
    <w:p>
      <w:pPr>
        <w:keepNext w:val="0"/>
        <w:widowControl/>
        <w:spacing w:line="300" w:lineRule="auto" w:before="0" w:after="260"/>
        <w:ind w:left="0" w:right="0" w:firstLine="0"/>
        <w:tabs>
          <w:tab w:pos="7937" w:val="right" w:leader="dot"/>
        </w:tabs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摘要</w:t>
        <w:tab/>
        <w:t>3</w:t>
      </w:r>
    </w:p>
    <w:p>
      <w:pPr>
        <w:keepNext w:val="0"/>
        <w:widowControl/>
        <w:spacing w:line="300" w:lineRule="auto" w:before="0" w:after="260"/>
        <w:ind w:left="0" w:right="0" w:firstLine="0"/>
        <w:tabs>
          <w:tab w:pos="7937" w:val="right" w:leader="dot"/>
        </w:tabs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1 引言</w:t>
        <w:tab/>
        <w:t>4</w:t>
      </w:r>
    </w:p>
    <w:p>
      <w:pPr>
        <w:keepNext w:val="0"/>
        <w:widowControl/>
        <w:spacing w:line="300" w:lineRule="auto" w:before="0" w:after="260"/>
        <w:ind w:left="0" w:right="0" w:firstLine="0"/>
        <w:tabs>
          <w:tab w:pos="7937" w:val="right" w:leader="dot"/>
        </w:tabs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2 研究背景及意义</w:t>
        <w:tab/>
        <w:t>4</w:t>
      </w:r>
    </w:p>
    <w:p>
      <w:pPr>
        <w:keepNext w:val="0"/>
        <w:widowControl/>
        <w:spacing w:line="300" w:lineRule="auto" w:before="0" w:after="260"/>
        <w:ind w:left="0" w:right="0" w:firstLine="0"/>
        <w:tabs>
          <w:tab w:pos="7937" w:val="right" w:leader="dot"/>
        </w:tabs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3 研究内容与方案</w:t>
        <w:tab/>
        <w:t>5</w:t>
      </w:r>
    </w:p>
    <w:p>
      <w:pPr>
        <w:keepNext w:val="0"/>
        <w:widowControl/>
        <w:spacing w:line="300" w:lineRule="auto" w:before="0" w:after="260"/>
        <w:ind w:left="0" w:right="0" w:firstLine="0"/>
        <w:tabs>
          <w:tab w:pos="7937" w:val="right" w:leader="dot"/>
        </w:tabs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4 特色与创新之处</w:t>
        <w:tab/>
        <w:t>23</w:t>
      </w:r>
    </w:p>
    <w:p>
      <w:pPr>
        <w:keepNext w:val="0"/>
        <w:widowControl/>
        <w:spacing w:line="300" w:lineRule="auto" w:before="0" w:after="260"/>
        <w:ind w:left="0" w:right="0" w:firstLine="0"/>
        <w:tabs>
          <w:tab w:pos="7937" w:val="right" w:leader="dot"/>
        </w:tabs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5 总结</w:t>
        <w:tab/>
        <w:t>24</w:t>
      </w:r>
    </w:p>
    <w:p>
      <w:pPr>
        <w:keepNext w:val="0"/>
        <w:widowControl/>
        <w:spacing w:line="300" w:lineRule="auto" w:before="0" w:after="260"/>
        <w:ind w:left="0" w:right="0" w:firstLine="0"/>
        <w:tabs>
          <w:tab w:pos="7937" w:val="right" w:leader="dot"/>
        </w:tabs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参考文献</w:t>
        <w:tab/>
        <w:t>25</w:t>
      </w:r>
    </w:p>
    <w:p>
      <w:pPr>
        <w:keepNext w:val="0"/>
        <w:widowControl/>
        <w:spacing w:line="300" w:lineRule="auto" w:before="0" w:after="260"/>
        <w:ind w:left="0" w:right="0" w:firstLine="0"/>
        <w:tabs>
          <w:tab w:pos="7937" w:val="right" w:leader="dot"/>
        </w:tabs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附录A 代码与复现索引</w:t>
        <w:tab/>
        <w:t>27</w:t>
      </w:r>
    </w:p>
    <w:p>
      <w:pPr>
        <w:keepNext w:val="0"/>
        <w:widowControl/>
        <w:spacing w:line="300" w:lineRule="auto" w:before="0" w:after="260"/>
        <w:ind w:left="0" w:right="0" w:firstLine="0"/>
        <w:tabs>
          <w:tab w:pos="7937" w:val="right" w:leader="dot"/>
        </w:tabs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附录B 人工智能辅助使用说明</w:t>
        <w:tab/>
        <w:t>29</w:t>
      </w:r>
    </w:p>
    <w:p>
      <w:pPr>
        <w:keepNext w:val="0"/>
        <w:widowControl/>
        <w:spacing w:line="300" w:lineRule="auto" w:before="0" w:after="100"/>
        <w:ind w:left="0" w:right="0" w:firstLine="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正文依次说明模型、实现、配对实验和应用边界；附录给出代码索引、复现命令和人工智能辅助说明。</w:t>
      </w:r>
    </w:p>
    <w:p>
      <w:pPr>
        <w:pStyle w:val="2"/>
        <w:keepNext/>
        <w:pageBreakBefore/>
        <w:widowControl/>
        <w:spacing w:line="300" w:lineRule="auto" w:before="180" w:after="120"/>
        <w:ind w:left="0" w:right="0" w:firstLine="0"/>
        <w:snapToGrid w:val="0"/>
        <w:jc w:val="both"/>
      </w:pPr>
      <w:r>
        <w:rPr>
          <w:rFonts w:ascii="宋体" w:hAnsi="宋体" w:eastAsia="宋体"/>
          <w:b/>
          <w:color w:val="000000"/>
          <w:sz w:val="28"/>
        </w:rPr>
        <w:t>摘要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园区无人机配送的规划需要同时考虑建筑通行、人群暴露、起降场位置以及多架无人机对场站和空中时隙的竞争。单纯比较最短航程，难以解释同一地图中不同布局的时效与暴露差异。本作品建立固定巡航高度下的研究仿真系统，将地图编辑、风险加权航路、两起降场组合选址、订单分配和错峰预约放入同一计算流程。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系统主体使用Python实现，采用Tkinter提供桌面交互。地图支持图片、Excel和JSON输入；图片只提取建筑候选，用户确认米制尺度并手动填写楼高，随后可在程序内增删、移动和调整四类组件。模型使用八邻域A*搜索风险加权航路，以独立设计订单枚举和评价两个场站的组合；运行阶段选择最早可送达的无人机，并通过连续时间相对运动计算检查间距，必要时推迟起飞。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在960米×640米模拟园区中，对正常、高峰和固定局部空域关闭三种场景，采用5个独立评价种子、3种布局及2种调度，形成90条运行指标和45组配对比较。保存结果中的间距不足事件合计由700次降至0次，两种调度均无失败订单；按45组运行等权计算，平均配送时间增加35.53秒。正常场景的综合风险布局在错峰后每单路径暴露指数为0.849，低于距离优先布局的1.093，但配送时间由123.71秒增加至137.15秒。高峰场景仍存在明显超时，表明错峰不能代替容量扩充。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全部结果来自明确设定的模拟输入。人员暴露是相对代理指标，间距结论只适用于固定高度、匀速折线及悬停模型；本作品尚未完成真实飞行验证。现阶段成果适合方案比较和模型教学，可作为接入经核实园区数据的基础。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关键词：低空配送；风险加权A*；起降场选址；连续时间间距检测；错峰调度；可编辑地图</w:t>
      </w:r>
    </w:p>
    <w:p>
      <w:pPr>
        <w:pStyle w:val="2"/>
        <w:keepNext/>
        <w:pageBreakBefore w:val="0"/>
        <w:widowControl/>
        <w:spacing w:line="300" w:lineRule="auto" w:before="180" w:after="120"/>
        <w:ind w:left="0" w:right="0" w:firstLine="0"/>
        <w:snapToGrid w:val="0"/>
        <w:jc w:val="both"/>
      </w:pPr>
      <w:r>
        <w:rPr>
          <w:rFonts w:ascii="宋体" w:hAnsi="宋体" w:eastAsia="宋体"/>
          <w:b/>
          <w:color w:val="000000"/>
          <w:sz w:val="28"/>
        </w:rPr>
        <w:t>1 引言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本作品面向校园或园区内的小范围末端配送，研究“选择哪两个候选场站、沿什么航路配送、何时安排各架无人机出发”三个相互影响的问题。项目不把三维画面复杂度作为研究目标，而以可解释的模型、可操作的地图和可复核的对照实验支撑决策。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针对使用者难以整理坐标文件的问题，系统允许直接导入地图图片，再确认尺度和楼高；针对场站位置改变后需要重做航路的问题，系统把地图转换成统一场景对象，自动更新障碍和风险；针对多机只做动画而不检查接近的问题，系统独立审计完整任务航迹，并记录接近时间、最小间距和涉及订单。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报告依次说明需求与范围、数据组织、算法与系统实现、配对实验和应用流程。算法部分采用标准A*思想[1]，本作品的主要工作在于模型组合、编辑交互、预约约束和证据导出。对“最优”的表述限定在给定离散图或有限候选集合内，不声称获得真实城市三维空域的全局最优解。</w:t>
      </w:r>
    </w:p>
    <w:p>
      <w:pPr>
        <w:pStyle w:val="2"/>
        <w:keepNext/>
        <w:pageBreakBefore w:val="0"/>
        <w:widowControl/>
        <w:spacing w:line="300" w:lineRule="auto" w:before="180" w:after="120"/>
        <w:ind w:left="0" w:right="0" w:firstLine="0"/>
        <w:snapToGrid w:val="0"/>
        <w:jc w:val="both"/>
      </w:pPr>
      <w:r>
        <w:rPr>
          <w:rFonts w:ascii="宋体" w:hAnsi="宋体" w:eastAsia="宋体"/>
          <w:b/>
          <w:color w:val="000000"/>
          <w:sz w:val="28"/>
        </w:rPr>
        <w:t>2 研究背景及意义</w:t>
      </w:r>
    </w:p>
    <w:p>
      <w:pPr>
        <w:pStyle w:val="3"/>
        <w:keepNext/>
        <w:pageBreakBefore w:val="0"/>
        <w:widowControl/>
        <w:spacing w:line="300" w:lineRule="auto" w:before="180" w:after="120"/>
        <w:ind w:left="0" w:right="0" w:firstLine="0"/>
        <w:snapToGrid w:val="0"/>
        <w:jc w:val="both"/>
      </w:pPr>
      <w:r>
        <w:rPr>
          <w:rFonts w:ascii="宋体" w:hAnsi="宋体" w:eastAsia="宋体"/>
          <w:b/>
          <w:color w:val="000000"/>
          <w:sz w:val="28"/>
        </w:rPr>
        <w:t>2.1 实际问题与评价目标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校园和园区配送具有服务范围相对集中、建筑密集、人员活动区域差异明显的特点。无人机可以缩短部分地面绕行，但直线飞行可能穿过高建筑投影或人群活动区域；候选起降场的距离优势，也可能被返航、起降排队和机队分配抵消。因此需要同时报告时间、航程、路径暴露、准时率、完成率及间距不足事件。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民用无人机优化研究涉及任务分配、航路、设施和作业约束，Otto等[2]对此进行了综述。Murray和Chu[3]研究卡车与无人机协同配送，Dorling等[4]研究无人机配送路径问题；Kong等[5]进一步按协同程度梳理相关模型。本作品选择固定场站服务园区的场景，将车辆协同、补能和多点串行配送留在研究范围之外，以便集中检验选址、路径暴露与错峰之间的关系。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本作品提出三个可用仿真检验的问题：其一，距离优先选址与综合风险选址是否形成可观察的权衡；其二，在相同订单、布局和航路下，错峰能否消除模型中的间距不足，以及付出多少时效代价；其三，订单高峰和固定空域关闭会如何改变方案表现。上述问题均通过保存输入和运行明细回答。</w:t>
      </w:r>
    </w:p>
    <w:p>
      <w:pPr>
        <w:pStyle w:val="3"/>
        <w:keepNext/>
        <w:pageBreakBefore w:val="0"/>
        <w:widowControl/>
        <w:spacing w:line="300" w:lineRule="auto" w:before="180" w:after="120"/>
        <w:ind w:left="0" w:right="0" w:firstLine="0"/>
        <w:snapToGrid w:val="0"/>
        <w:jc w:val="both"/>
      </w:pPr>
      <w:r>
        <w:rPr>
          <w:rFonts w:ascii="宋体" w:hAnsi="宋体" w:eastAsia="宋体"/>
          <w:b/>
          <w:color w:val="000000"/>
          <w:sz w:val="28"/>
        </w:rPr>
        <w:t>2.2 研究范围与假设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研究空间为本地米制平面，建筑附带高度属性，航路在一个给定巡航高度上搜索。该表示属于带建筑高度约束的二维规划，不包含连续三维机动。无人机按恒定速度沿折线飞行，配送处理和返场排队可发生悬停；每架无人机固定归属一个场站，每个场站只有一个共享起降服务位，任务完成返场服务后才能执行下一单。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建筑高度、尺度、候选场站和人群热点属于输入条件。图片中的楼高不能可靠推断，必须手动录入；人群热点权重为研究设定，没有用未经采集的真实人数代替。20米空中间距、8米建筑平面间距与5米垂直间距均为模型参数，不能直接用作监管或运营标准。</w:t>
      </w:r>
    </w:p>
    <w:p>
      <w:pPr>
        <w:pStyle w:val="3"/>
        <w:keepNext/>
        <w:pageBreakBefore w:val="0"/>
        <w:widowControl/>
        <w:spacing w:line="300" w:lineRule="auto" w:before="180" w:after="120"/>
        <w:ind w:left="0" w:right="0" w:firstLine="0"/>
        <w:snapToGrid w:val="0"/>
        <w:jc w:val="both"/>
      </w:pPr>
      <w:r>
        <w:rPr>
          <w:rFonts w:ascii="宋体" w:hAnsi="宋体" w:eastAsia="宋体"/>
          <w:b/>
          <w:color w:val="000000"/>
          <w:sz w:val="28"/>
        </w:rPr>
        <w:t>2.3 应用价值与证据要求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系统的直接价值是降低地图试配和方案比较的操作门槛，使用户能够修改一栋建筑的高度、一个场站的位置或一处需求权重，并重新计算其影响。结果保留到订单和航路层级，便于解释“为何绕行”“为何等待”“为何未完成”。真实部署还需补足场地、气象、能耗、定位与运行规则等证据，本报告不据模拟结果推算营业收入或实际事故率。</w:t>
      </w:r>
    </w:p>
    <w:p>
      <w:pPr>
        <w:pStyle w:val="2"/>
        <w:keepNext/>
        <w:pageBreakBefore w:val="0"/>
        <w:widowControl/>
        <w:spacing w:line="300" w:lineRule="auto" w:before="180" w:after="120"/>
        <w:ind w:left="0" w:right="0" w:firstLine="0"/>
        <w:snapToGrid w:val="0"/>
        <w:jc w:val="both"/>
      </w:pPr>
      <w:r>
        <w:rPr>
          <w:rFonts w:ascii="宋体" w:hAnsi="宋体" w:eastAsia="宋体"/>
          <w:b/>
          <w:color w:val="000000"/>
          <w:sz w:val="28"/>
        </w:rPr>
        <w:t>3 研究内容与方案</w:t>
      </w:r>
    </w:p>
    <w:p>
      <w:pPr>
        <w:pStyle w:val="3"/>
        <w:keepNext/>
        <w:pageBreakBefore w:val="0"/>
        <w:widowControl/>
        <w:spacing w:line="300" w:lineRule="auto" w:before="180" w:after="120"/>
        <w:ind w:left="0" w:right="0" w:firstLine="0"/>
        <w:snapToGrid w:val="0"/>
        <w:jc w:val="both"/>
      </w:pPr>
      <w:r>
        <w:rPr>
          <w:rFonts w:ascii="宋体" w:hAnsi="宋体" w:eastAsia="宋体"/>
          <w:b/>
          <w:color w:val="000000"/>
          <w:sz w:val="28"/>
        </w:rPr>
        <w:t>3.1 系统结构与数据流程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系统将交互与核心计算分离。地图编辑器负责输入和校验；仿真引擎根据统一场景建立栅格和航路库，完成场站设计、订单评价及任务预约；间距模块对分段航迹做解析检测；导出模块输出JSON、CSV和SVG。界面计算在后台线程执行，回放直接使用保存的任务时间，避免“动画位置”和计算结果不一致。图1给出主要流程。</w:t>
      </w:r>
    </w:p>
    <w:p>
      <w:pPr>
        <w:keepNext/>
        <w:widowControl/>
        <w:spacing w:line="300" w:lineRule="auto" w:before="0" w:after="100"/>
        <w:ind w:left="0" w:right="0" w:firstLine="0"/>
        <w:snapToGrid w:val="0"/>
        <w:jc w:val="center"/>
      </w:pPr>
      <w:r>
        <w:drawing>
          <wp:inline xmlns:a="http://schemas.openxmlformats.org/drawingml/2006/main" xmlns:pic="http://schemas.openxmlformats.org/drawingml/2006/picture">
            <wp:extent cx="5256000" cy="27181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系统流程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718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00" w:lineRule="auto" w:before="0" w:after="200"/>
        <w:ind w:left="0" w:right="0" w:firstLine="0"/>
        <w:snapToGrid w:val="0"/>
        <w:jc w:val="center"/>
      </w:pPr>
      <w:r>
        <w:rPr>
          <w:rFonts w:ascii="仿宋" w:hAnsi="仿宋" w:eastAsia="仿宋"/>
          <w:b w:val="0"/>
          <w:color w:val="000000"/>
          <w:sz w:val="28"/>
        </w:rPr>
        <w:t>图1 从地图输入到可复核结果的系统流程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地图一经成功导入便保存为内存快照。磁盘文件被改动不会悄悄改变已计算结果；重新导入或应用编辑后才生成新场景。参数发生修改时，界面提示重新计算，再允许按新结果回放和导出。模型错误和输入错误均保留原场景，避免半完成的编辑污染当前结果。</w:t>
      </w:r>
    </w:p>
    <w:p>
      <w:pPr>
        <w:pStyle w:val="3"/>
        <w:keepNext/>
        <w:pageBreakBefore w:val="0"/>
        <w:widowControl/>
        <w:spacing w:line="300" w:lineRule="auto" w:before="180" w:after="120"/>
        <w:ind w:left="0" w:right="0" w:firstLine="0"/>
        <w:snapToGrid w:val="0"/>
        <w:jc w:val="both"/>
      </w:pPr>
      <w:r>
        <w:rPr>
          <w:rFonts w:ascii="宋体" w:hAnsi="宋体" w:eastAsia="宋体"/>
          <w:b/>
          <w:color w:val="000000"/>
          <w:sz w:val="28"/>
        </w:rPr>
        <w:t>3.2 场景对象与数据来源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统一场景包含地图宽高、网格步长、建筑、候选起降场、配送点、人群风险区及数据来源说明。坐标原点位于地图左上角，X向右、Y向下，平面坐标和建筑高度单位均为米。建筑以轴对齐矩形近似，允许多个矩形描述复杂建筑；目前未采用精确多边形或倾斜建筑模型。</w:t>
      </w:r>
    </w:p>
    <w:p>
      <w:pPr>
        <w:keepNext/>
        <w:widowControl/>
        <w:spacing w:line="300" w:lineRule="auto" w:before="0" w:after="100"/>
        <w:ind w:left="0" w:right="0" w:firstLine="0"/>
        <w:snapToGrid w:val="0"/>
        <w:jc w:val="center"/>
      </w:pPr>
      <w:r>
        <w:rPr>
          <w:rFonts w:ascii="仿宋" w:hAnsi="仿宋" w:eastAsia="仿宋"/>
          <w:b w:val="0"/>
          <w:color w:val="000000"/>
          <w:sz w:val="28"/>
        </w:rPr>
        <w:t>表1 核心场景字段及其作用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47"/>
        <w:gridCol w:w="3061"/>
        <w:gridCol w:w="3997"/>
      </w:tblGrid>
      <w:tr>
        <w:trPr>
          <w:cantSplit/>
          <w:tblHeader/>
        </w:trPr>
        <w:tc>
          <w:tcPr>
            <w:tcW w:type="dxa" w:w="1247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  <w:shd w:fill="F0F2F5"/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/>
                <w:color w:val="000000"/>
                <w:sz w:val="28"/>
              </w:rPr>
              <w:t>对象</w:t>
            </w:r>
          </w:p>
        </w:tc>
        <w:tc>
          <w:tcPr>
            <w:tcW w:type="dxa" w:w="3061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  <w:shd w:fill="F0F2F5"/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/>
                <w:color w:val="000000"/>
                <w:sz w:val="28"/>
              </w:rPr>
              <w:t>主要字段</w:t>
            </w:r>
          </w:p>
        </w:tc>
        <w:tc>
          <w:tcPr>
            <w:tcW w:type="dxa" w:w="3997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  <w:shd w:fill="F0F2F5"/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/>
                <w:color w:val="000000"/>
                <w:sz w:val="28"/>
              </w:rPr>
              <w:t>模型用途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地图设置</w:t>
            </w:r>
          </w:p>
        </w:tc>
        <w:tc>
          <w:tcPr>
            <w:tcW w:type="dxa" w:w="3061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宽、高、步长、来源</w:t>
            </w:r>
          </w:p>
        </w:tc>
        <w:tc>
          <w:tcPr>
            <w:tcW w:type="dxa" w:w="3997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统一米制尺度和离散范围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建筑</w:t>
            </w:r>
          </w:p>
        </w:tc>
        <w:tc>
          <w:tcPr>
            <w:tcW w:type="dxa" w:w="3061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编号、位置、长宽、高度</w:t>
            </w:r>
          </w:p>
        </w:tc>
        <w:tc>
          <w:tcPr>
            <w:tcW w:type="dxa" w:w="3997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判断固定高度下的障碍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候选场站</w:t>
            </w:r>
          </w:p>
        </w:tc>
        <w:tc>
          <w:tcPr>
            <w:tcW w:type="dxa" w:w="3061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编号、名称、坐标</w:t>
            </w:r>
          </w:p>
        </w:tc>
        <w:tc>
          <w:tcPr>
            <w:tcW w:type="dxa" w:w="3997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枚举两个场站的组合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配送点</w:t>
            </w:r>
          </w:p>
        </w:tc>
        <w:tc>
          <w:tcPr>
            <w:tcW w:type="dxa" w:w="3061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编号、坐标、需求权重</w:t>
            </w:r>
          </w:p>
        </w:tc>
        <w:tc>
          <w:tcPr>
            <w:tcW w:type="dxa" w:w="3997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订单目的地及抽样权重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人群区</w:t>
            </w:r>
          </w:p>
        </w:tc>
        <w:tc>
          <w:tcPr>
            <w:tcW w:type="dxa" w:w="3061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中心、椭圆半径、权重</w:t>
            </w:r>
          </w:p>
        </w:tc>
        <w:tc>
          <w:tcPr>
            <w:tcW w:type="dxa" w:w="3997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形成相对暴露风险场</w:t>
            </w:r>
          </w:p>
        </w:tc>
      </w:tr>
    </w:tbl>
    <w:p>
      <w:pPr>
        <w:spacing w:after="60" w:line="20" w:lineRule="exact"/>
      </w:pPr>
      <w:r>
        <w:rPr>
          <w:rFonts w:ascii="仿宋" w:hAnsi="仿宋" w:eastAsia="仿宋"/>
          <w:b w:val="0"/>
          <w:color w:val="000000"/>
          <w:sz w:val="2"/>
        </w:rPr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本次实验输入为项目内自建模拟园区data/demo_scene.json：宽960米、高640米，含10栋建筑、8个候选场站、10个配送点和4个人群热点。建筑名称仅用于示意，不代表已经调查的真实校园。图2为图片导入示例，定量实验统一使用上述JSON场景。校园卫星截图尚缺尺度、楼高和业务点位，未纳入定量结果。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实验输入和结果的完整性以文件校验值记录于附录。数据说明同时保留“模拟、估计或核实”的来源要求：当前数据属于模拟；未来导入实际园区时，应逐项记录图源、获取日期、尺度依据、楼高依据、人工修正记录和需求估计口径。仅更换一张底图，不等于建立了经核实的真实案例。</w:t>
      </w:r>
    </w:p>
    <w:p>
      <w:pPr>
        <w:pStyle w:val="3"/>
        <w:keepNext/>
        <w:pageBreakBefore w:val="0"/>
        <w:widowControl/>
        <w:spacing w:line="300" w:lineRule="auto" w:before="180" w:after="120"/>
        <w:ind w:left="0" w:right="0" w:firstLine="0"/>
        <w:snapToGrid w:val="0"/>
        <w:jc w:val="both"/>
      </w:pPr>
      <w:r>
        <w:rPr>
          <w:rFonts w:ascii="宋体" w:hAnsi="宋体" w:eastAsia="宋体"/>
          <w:b/>
          <w:color w:val="000000"/>
          <w:sz w:val="28"/>
        </w:rPr>
        <w:t>3.3 图片导入与可编辑组件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图片导入使用Pillow在本地处理。程序依据颜色阈值获得候选掩膜，通过形态学开运算减少文字与细线干扰，再提取连通区域并生成轴对齐矩形候选。提供灰色、暖色、蓝灰及手动取色等模式，用户可以调整颜色容差和最小面积。该方法适合颜色相对规整的平面地图；复杂卫星图、阴影、树冠和旋转建筑可能造成误检或漏检，目前没有经过卫星建筑分割准确率评估。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导入后必须确认整图宽度或通过两点已知距离定标。若已知实长为L、对应像素距离为d，则比例s=L/d；平面位置和尺寸按该比例转换。建筑高度独立于平面比例，缩放地图不修改楼高。用户逐栋或批量填写楼高；未确认尺度、仍有未填写高度时，程序阻止直接仿真并提示待补项目。</w:t>
      </w:r>
    </w:p>
    <w:p>
      <w:pPr>
        <w:keepNext/>
        <w:widowControl/>
        <w:spacing w:line="300" w:lineRule="auto" w:before="0" w:after="100"/>
        <w:ind w:left="0" w:right="0" w:firstLine="0"/>
        <w:snapToGrid w:val="0"/>
        <w:jc w:val="center"/>
      </w:pPr>
      <w:r>
        <w:drawing>
          <wp:inline xmlns:a="http://schemas.openxmlformats.org/drawingml/2006/main" xmlns:pic="http://schemas.openxmlformats.org/drawingml/2006/picture">
            <wp:extent cx="5256000" cy="3449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组件编辑器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449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00" w:lineRule="auto" w:before="0" w:after="200"/>
        <w:ind w:left="0" w:right="0" w:firstLine="0"/>
        <w:snapToGrid w:val="0"/>
        <w:jc w:val="center"/>
      </w:pPr>
      <w:r>
        <w:rPr>
          <w:rFonts w:ascii="仿宋" w:hAnsi="仿宋" w:eastAsia="仿宋"/>
          <w:b w:val="0"/>
          <w:color w:val="000000"/>
          <w:sz w:val="28"/>
        </w:rPr>
        <w:t>图2 地图组件编辑器与手动属性录入界面  模拟园区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建筑、起降场、配送点和人群区均为独立组件，可在程序内添加、删除、复制、拖动和编辑属性；建筑和人群区可拖动控制点调整尺寸。编辑支持撤销、重做、草稿保存和重开，JSON可嵌入底图，避免拷贝项目时丢失图片。道路和绿地目前作为底图参照，不参与独立通行计算；自动建议的业务点位仍需人工确认。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为改善放大时的可读性，底图最长边保留至3072像素并使用高质量重采样；大幅缩放时只裁切和绘制可视区域。Windows端启用原生高DPI感知，文字和控件按系统缩放显示。底图分辨率只影响显示，建筑几何与航路仍由米制组件数据计算。</w:t>
      </w:r>
    </w:p>
    <w:p>
      <w:pPr>
        <w:pStyle w:val="3"/>
        <w:keepNext/>
        <w:pageBreakBefore w:val="0"/>
        <w:widowControl/>
        <w:spacing w:line="300" w:lineRule="auto" w:before="180" w:after="120"/>
        <w:ind w:left="0" w:right="0" w:firstLine="0"/>
        <w:snapToGrid w:val="0"/>
        <w:jc w:val="both"/>
      </w:pPr>
      <w:r>
        <w:rPr>
          <w:rFonts w:ascii="宋体" w:hAnsi="宋体" w:eastAsia="宋体"/>
          <w:b/>
          <w:color w:val="000000"/>
          <w:sz w:val="28"/>
        </w:rPr>
        <w:t>3.4 建筑约束与人员暴露风险场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对巡航高度H和建筑高度h，若h+Δh≥H，则建筑成为该高度下的障碍，并在平面矩形外扩Δxy。本实验H=45米、Δh=5米、Δxy=8米。已知高度可以允许从较低建筑上方通行，但由于没有爬升下降过程，该结果只能用于给定高度平面的比较。固定关闭区在整次仿真中不可通行。</w:t>
      </w:r>
    </w:p>
    <w:p>
      <w:pPr>
        <w:keepNext w:val="0"/>
        <w:widowControl/>
        <w:spacing w:line="300" w:lineRule="auto" w:before="60" w:after="180"/>
        <w:ind w:left="0" w:right="0" w:firstLine="0"/>
        <w:snapToGrid w:val="0"/>
        <w:jc w:val="left"/>
      </w:pPr>
      <w:r>
        <w:rPr>
          <w:rFonts w:ascii="仿宋" w:hAnsi="仿宋" w:eastAsia="仿宋"/>
          <w:b w:val="0"/>
          <w:color w:val="000000"/>
          <w:sz w:val="28"/>
        </w:rPr>
        <w:t>阻塞条件：h + Δh ≥ H；平面障碍为建筑矩形向外扩展 Δxy。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Primatesta等分别研究了城市环境中的无人机地面风险地图[6]与风险感知航路规划[7]，为在空间规划中显式考虑风险提供了研究依据。本作品以可编辑人员热点构造简化暴露场，用于比较航路；尚未复现文献中的完整地面风险模型，热点权重也未经过实际数据标定。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人员暴露场以基础值和椭圆高斯热点叠加构成，超过1时截断。热点的中心、椭圆半径及权重均可编辑。风险值表示路径经过该位置的相对地面人员暴露强度，不表示事故概率，也没有包含飞行器失效概率、坠落扩散和伤害后果。</w:t>
      </w:r>
    </w:p>
    <w:p>
      <w:pPr>
        <w:keepNext w:val="0"/>
        <w:widowControl/>
        <w:spacing w:line="300" w:lineRule="auto" w:before="60" w:after="180"/>
        <w:ind w:left="0" w:right="0" w:firstLine="0"/>
        <w:snapToGrid w:val="0"/>
        <w:jc w:val="left"/>
      </w:pPr>
      <w:r>
        <w:rPr>
          <w:rFonts w:ascii="仿宋" w:hAnsi="仿宋" w:eastAsia="仿宋"/>
          <w:b w:val="0"/>
          <w:color w:val="000000"/>
          <w:sz w:val="28"/>
        </w:rPr>
        <w:t>r(x,y) = min{1, 0.035 + Σk wk exp[-2((x-xk)²/rxk² + (y-yk)²/ryk²)]}  （1）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路径暴露使用路段长度乘中点风险值的离散积分。由于任务沿去程原路返航，每单路径暴露指数为往返积分除以100；除数只是显示尺度。配送悬停和返场悬停虽然纳入间距检测，尚未计入该暴露指数。因此需要把它理解为“飞行路径暴露”，不能据此判断全部任务的总风险。</w:t>
      </w:r>
    </w:p>
    <w:p>
      <w:pPr>
        <w:keepNext w:val="0"/>
        <w:widowControl/>
        <w:spacing w:line="300" w:lineRule="auto" w:before="60" w:after="180"/>
        <w:ind w:left="0" w:right="0" w:firstLine="0"/>
        <w:snapToGrid w:val="0"/>
        <w:jc w:val="left"/>
      </w:pPr>
      <w:r>
        <w:rPr>
          <w:rFonts w:ascii="仿宋" w:hAnsi="仿宋" w:eastAsia="仿宋"/>
          <w:b w:val="0"/>
          <w:color w:val="000000"/>
          <w:sz w:val="28"/>
        </w:rPr>
        <w:t>Rpath = Σe le r(me)；Eorder = 2Rpath / 100。  （2）</w:t>
      </w:r>
    </w:p>
    <w:p>
      <w:pPr>
        <w:pStyle w:val="3"/>
        <w:keepNext/>
        <w:pageBreakBefore w:val="0"/>
        <w:widowControl/>
        <w:spacing w:line="300" w:lineRule="auto" w:before="180" w:after="120"/>
        <w:ind w:left="0" w:right="0" w:firstLine="0"/>
        <w:snapToGrid w:val="0"/>
        <w:jc w:val="both"/>
      </w:pPr>
      <w:r>
        <w:rPr>
          <w:rFonts w:ascii="宋体" w:hAnsi="宋体" w:eastAsia="宋体"/>
          <w:b/>
          <w:color w:val="000000"/>
          <w:sz w:val="28"/>
        </w:rPr>
        <w:t>3.5 风险加权A星航路规划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程序以默认16米步长建立八邻域栅格。阻塞节点不可通行，对角移动禁止穿越阻塞拐角；线段连接还以不超过3米的间隔检查通行条件。起点和终点在邻近5×5栅格范围内选择最近可接入节点，并保留实际端点到节点的连接线。窄通道可能被栅格遗漏，连接采样也不构成精确CAD碰撞证明。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每条邻接边的代价由距离和暴露共同决定，其中λ为非负风险权重，本实验λ=2。启发函数使用到目标接入节点的欧氏距离。由于边代价不小于几何距离，该启发函数是下界；在当前图、已选接入节点和约束内，A*搜索得到最小加权代价的离散航路。标准算法依据见文献[1]。</w:t>
      </w:r>
    </w:p>
    <w:p>
      <w:pPr>
        <w:keepNext w:val="0"/>
        <w:widowControl/>
        <w:spacing w:line="300" w:lineRule="auto" w:before="60" w:after="180"/>
        <w:ind w:left="0" w:right="0" w:firstLine="0"/>
        <w:snapToGrid w:val="0"/>
        <w:jc w:val="left"/>
      </w:pPr>
      <w:r>
        <w:rPr>
          <w:rFonts w:ascii="仿宋" w:hAnsi="仿宋" w:eastAsia="仿宋"/>
          <w:b w:val="0"/>
          <w:color w:val="000000"/>
          <w:sz w:val="28"/>
        </w:rPr>
        <w:t>c(u,v) = ||u-v|| [1 + λ r((u+v)/2)]。  （3）</w:t>
      </w:r>
    </w:p>
    <w:p>
      <w:pPr>
        <w:keepNext w:val="0"/>
        <w:widowControl/>
        <w:spacing w:line="300" w:lineRule="auto" w:before="60" w:after="180"/>
        <w:ind w:left="0" w:right="0" w:firstLine="0"/>
        <w:snapToGrid w:val="0"/>
        <w:jc w:val="left"/>
      </w:pPr>
      <w:r>
        <w:rPr>
          <w:rFonts w:ascii="仿宋" w:hAnsi="仿宋" w:eastAsia="仿宋"/>
          <w:b w:val="0"/>
          <w:color w:val="000000"/>
          <w:sz w:val="28"/>
        </w:rPr>
        <w:t>f(n) = g(n) + h(n)；h(n) = ||n-goal||。  （4）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航路库为每个候选场站到各配送点预先计算路径并缓存距离、暴露与累计长度。改变地图、巡航高度或风险权重后重新建立航路库；改变订单种子时可以沿用同一规划条件下的航路。所有场站方案使用同一风险加权规划器，“距离优先方案”指场站评分以总航程为目标，不代表该方案另外使用了λ=0的最短距离航路。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本作品将算法核验和业务结果区分。小型构造场景中，测试使用独立Dijkstra搜索[8]计算同一图的目标代价，与A*输出对照至数值精度；另行检查端点、累计长度和每段通行性。该证据支持实现一致性，不能扩大为连续空间或任意地图上的精度认证。</w:t>
      </w:r>
    </w:p>
    <w:p>
      <w:pPr>
        <w:pStyle w:val="3"/>
        <w:keepNext/>
        <w:pageBreakBefore w:val="0"/>
        <w:widowControl/>
        <w:spacing w:line="300" w:lineRule="auto" w:before="180" w:after="120"/>
        <w:ind w:left="0" w:right="0" w:firstLine="0"/>
        <w:snapToGrid w:val="0"/>
        <w:jc w:val="both"/>
      </w:pPr>
      <w:r>
        <w:rPr>
          <w:rFonts w:ascii="宋体" w:hAnsi="宋体" w:eastAsia="宋体"/>
          <w:b/>
          <w:color w:val="000000"/>
          <w:sz w:val="28"/>
        </w:rPr>
        <w:t>3.6 两起降场选址与多指标评分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Hong等[9]从航程受限的补能站覆盖问题研究无人机配送设施布局。本作品在给定候选位置中选择两个起降场，比较其时效与暴露表现；当前模型没有补能网络与续航约束，因此选址结果不能直接替代文献所讨论的充电设施规划。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选择两个场站时，程序枚举所有可用候选场站的两两组合。默认8个候选均可用时共28个组合；障碍或关闭区中的候选先被排除。对每个组合使用相同设计订单和基线调度评价时间、路径暴露、总航程、场站等待及失败数。设计随机种子固定20365744，与所有评价种子分离。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各指标在本次候选集合内做min-max归一化。若该指标最大最小值相等，归一值取0；无成功订单导致指标缺失时取1。综合方案权重为暴露0.45、配送时间0.30、总航程0.15、场站等待0.10，每个失败订单附加1000分惩罚。距离方案采用归一化总航程和同样的失败惩罚。权重为当前研究设定，尚未通过实际偏好调查标定。</w:t>
      </w:r>
    </w:p>
    <w:p>
      <w:pPr>
        <w:keepNext w:val="0"/>
        <w:widowControl/>
        <w:spacing w:line="300" w:lineRule="auto" w:before="60" w:after="180"/>
        <w:ind w:left="0" w:right="0" w:firstLine="0"/>
        <w:snapToGrid w:val="0"/>
        <w:jc w:val="left"/>
      </w:pPr>
      <w:r>
        <w:rPr>
          <w:rFonts w:ascii="仿宋" w:hAnsi="仿宋" w:eastAsia="仿宋"/>
          <w:b w:val="0"/>
          <w:color w:val="000000"/>
          <w:sz w:val="28"/>
        </w:rPr>
        <w:t>zq = (q-qmin)/(qmax-qmin)。  （5）</w:t>
      </w:r>
    </w:p>
    <w:p>
      <w:pPr>
        <w:keepNext w:val="0"/>
        <w:widowControl/>
        <w:spacing w:line="300" w:lineRule="auto" w:before="60" w:after="180"/>
        <w:ind w:left="0" w:right="0" w:firstLine="0"/>
        <w:snapToGrid w:val="0"/>
        <w:jc w:val="left"/>
      </w:pPr>
      <w:r>
        <w:rPr>
          <w:rFonts w:ascii="仿宋" w:hAnsi="仿宋" w:eastAsia="仿宋"/>
          <w:b w:val="0"/>
          <w:color w:val="000000"/>
          <w:sz w:val="28"/>
        </w:rPr>
        <w:t>J综合 = 0.45z暴露 + 0.30z时间 + 0.15z航程 + 0.10z场站等待 + 1000N失败。  （6）</w:t>
      </w:r>
    </w:p>
    <w:p>
      <w:pPr>
        <w:keepNext w:val="0"/>
        <w:widowControl/>
        <w:spacing w:line="300" w:lineRule="auto" w:before="60" w:after="180"/>
        <w:ind w:left="0" w:right="0" w:firstLine="0"/>
        <w:snapToGrid w:val="0"/>
        <w:jc w:val="left"/>
      </w:pPr>
      <w:r>
        <w:rPr>
          <w:rFonts w:ascii="仿宋" w:hAnsi="仿宋" w:eastAsia="仿宋"/>
          <w:b w:val="0"/>
          <w:color w:val="000000"/>
          <w:sz w:val="28"/>
        </w:rPr>
        <w:t>J距离 = z航程 + 1000N失败。  （7）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固定布局优先使用S1与S5；若其中有候选不可用，则按可用列表顺序补足。综合和距离方案在候选集合内选择评分最小者，同分按场站编号确定，保证可复现。该枚举能获得给定候选集合、设计订单与评分规则下的最小分组合，不能声称获得连续选址或城市规模选址的全局最优。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为使调度配对实验可比较，站点设计统一关闭错峰，之后冻结站点，在独立评价订单上比较两种调度。本版属于先选址、再调度的顺序优化，尚未把空中预约约束纳入选址联合优化。候选规模增大后组合数量按m(m-1)/2增长，城市规模计算应采用筛选、分解或近似方法。</w:t>
      </w:r>
    </w:p>
    <w:p>
      <w:pPr>
        <w:pStyle w:val="3"/>
        <w:keepNext/>
        <w:pageBreakBefore w:val="0"/>
        <w:widowControl/>
        <w:spacing w:line="300" w:lineRule="auto" w:before="180" w:after="120"/>
        <w:ind w:left="0" w:right="0" w:firstLine="0"/>
        <w:snapToGrid w:val="0"/>
        <w:jc w:val="both"/>
      </w:pPr>
      <w:r>
        <w:rPr>
          <w:rFonts w:ascii="宋体" w:hAnsi="宋体" w:eastAsia="宋体"/>
          <w:b/>
          <w:color w:val="000000"/>
          <w:sz w:val="28"/>
        </w:rPr>
        <w:t>3.7 订单生成与场站资源预约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订单生成使用可复现伪随机数，根据配送点需求权重抽取目的地，再生成订单创建时刻。正常和关闭场景为30单、到达窗口1200秒；高峰为60单、到达窗口800秒。到达时间为均匀随机数映射并取整，不将其描述为经过数据拟合的泊松过程。默认订单从创建起600秒内完成配送为准时。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5架无人机按顺序归属两个选定场站，通常形成3架与2架的配置。订单按创建时刻、编号依次处理；每个候选无人机需同时满足空闲、场站起飞服务可用、航路可达等条件。程序先计算最早起飞准备时隙，完成25秒准备后出发，以9米/秒飞向目的地，处理20秒后返航，返场占用20秒降落服务。每个场站的起飞和降落共用一份日历。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在可行候选中选择最早送达者，同分按无人机编号确定。日历一经预约不被后续订单调整，属于按订单顺序的贪心预约，并不保证全局最短等待。平均配送时间包含等待无人机、场站排队、错峰、去程和配送处理；订单送达后返航和降落不再计入该单配送时间，但会影响后续任务可用时刻。</w:t>
      </w:r>
    </w:p>
    <w:p>
      <w:pPr>
        <w:pStyle w:val="3"/>
        <w:keepNext/>
        <w:pageBreakBefore w:val="0"/>
        <w:widowControl/>
        <w:spacing w:line="300" w:lineRule="auto" w:before="180" w:after="120"/>
        <w:ind w:left="0" w:right="0" w:firstLine="0"/>
        <w:snapToGrid w:val="0"/>
        <w:jc w:val="both"/>
      </w:pPr>
      <w:r>
        <w:rPr>
          <w:rFonts w:ascii="宋体" w:hAnsi="宋体" w:eastAsia="宋体"/>
          <w:b/>
          <w:color w:val="000000"/>
          <w:sz w:val="28"/>
        </w:rPr>
        <w:t>3.8 连续时间间距检测与错峰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每次配送任务的空中部分拆分为去程折线、目的地悬停、返程折线和必要的返场悬停。起飞准备和降落服务视为地面阶段，不参与当前空中间距判断。两架无人机在重叠时间区间内的相对位置为r+vτ，求解二次不等式即可得到距离严格小于阈值的时间区间，不依赖逐秒采样。基于预测航迹检查间距属于冲突检测问题，相关建模方法的综述可参见Kuchar和Yang[10]。</w:t>
      </w:r>
    </w:p>
    <w:p>
      <w:pPr>
        <w:keepNext w:val="0"/>
        <w:widowControl/>
        <w:spacing w:line="300" w:lineRule="auto" w:before="60" w:after="180"/>
        <w:ind w:left="0" w:right="0" w:firstLine="0"/>
        <w:snapToGrid w:val="0"/>
        <w:jc w:val="left"/>
      </w:pPr>
      <w:r>
        <w:rPr>
          <w:rFonts w:ascii="仿宋" w:hAnsi="仿宋" w:eastAsia="仿宋"/>
          <w:b w:val="0"/>
          <w:color w:val="000000"/>
          <w:sz w:val="28"/>
        </w:rPr>
        <w:t>||r + vτ||² &lt; dmin²。  （8）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检测输出接近开始与结束时刻、最接近时刻、最小距离及对应订单。对同一任务对跨越航路折点但时间连续的片段进行合并，计为一次事件。冲突累计时长是每个任务对接近时长之和，同一时刻若有多对接近会分别累计。本文使用“间距不足事件”表示上述模型判据，不把它等同于真实碰撞。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启用错峰后，对每架候选无人机，先按场站日历确定基准准备时隙，再检查完整候选任务与已接受空中预约。发现接近时按5秒步长推迟请求时刻，并重新计算场站服务及返场等待；最大额外推迟为600秒。选择最早可送达的可行任务；全部候选都超限时记录airspace_delay_limit失败，无航路时记录unreachable失败。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场站等待定义为原起飞排队与返场排队之和，错峰等待单列为相对基准准备时隙的额外推迟。由于推迟还会影响后续任务可用时间，平均配送时间的增量通常大于单列错峰等待。整个排程完成后，程序再次独立检测所有航迹，包括基线调度，以防仅因调度分支未检查而漏报。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该方法只调整任务出发时刻，不改变已接受预约，也没有在飞行途中进行避碰控制或突发重规划。5秒离散搜索和600秒上限可能拒绝实际存在其他解的订单；模型内零间距不足不代表真实航空安全保证。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在动态环境规划方面，Phillips和Likhachev[11]提出以安全时间区间组织搜索的SIPP；Sharon等[12]提出面向多智能体路径规划的冲突搜索方法。两者为后续时空规划提供了参照。本作品使用既定航路和顺序预约，仅搜索出发时刻，未实现SIPP或CBS，也未获得这些方法所研究的多智能体最优性保证。</w:t>
      </w:r>
    </w:p>
    <w:p>
      <w:pPr>
        <w:pStyle w:val="3"/>
        <w:keepNext/>
        <w:pageBreakBefore w:val="0"/>
        <w:widowControl/>
        <w:spacing w:line="300" w:lineRule="auto" w:before="180" w:after="120"/>
        <w:ind w:left="0" w:right="0" w:firstLine="0"/>
        <w:snapToGrid w:val="0"/>
        <w:jc w:val="both"/>
      </w:pPr>
      <w:r>
        <w:rPr>
          <w:rFonts w:ascii="宋体" w:hAnsi="宋体" w:eastAsia="宋体"/>
          <w:b/>
          <w:color w:val="000000"/>
          <w:sz w:val="28"/>
        </w:rPr>
        <w:t>3.9 桌面界面与结果导出</w:t>
      </w:r>
    </w:p>
    <w:p>
      <w:pPr>
        <w:keepNext/>
        <w:widowControl/>
        <w:spacing w:line="300" w:lineRule="auto" w:before="0" w:after="100"/>
        <w:ind w:left="0" w:right="0" w:firstLine="0"/>
        <w:snapToGrid w:val="0"/>
        <w:jc w:val="center"/>
      </w:pPr>
      <w:r>
        <w:drawing>
          <wp:inline xmlns:a="http://schemas.openxmlformats.org/drawingml/2006/main" xmlns:pic="http://schemas.openxmlformats.org/drawingml/2006/picture">
            <wp:extent cx="5256000" cy="316121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仿真地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161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00" w:lineRule="auto" w:before="0" w:after="200"/>
        <w:ind w:left="0" w:right="0" w:firstLine="0"/>
        <w:snapToGrid w:val="0"/>
        <w:jc w:val="center"/>
      </w:pPr>
      <w:r>
        <w:rPr>
          <w:rFonts w:ascii="仿宋" w:hAnsi="仿宋" w:eastAsia="仿宋"/>
          <w:b w:val="0"/>
          <w:color w:val="000000"/>
          <w:sz w:val="28"/>
        </w:rPr>
        <w:t>图3 主界面与航迹回放  模拟园区单次运行示例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主界面集中提供场景、订单量、巡航高度、风险权重、机队规模及错峰开关。地图显示建筑、风险热区、候选和入选场站、配送点及无人机位置；用户可切换图层、播放暂停、拖动时间与调整倍速。基线发生接近时以标记突出位置；方案对比页展示各布局的多项指标。</w:t>
      </w:r>
    </w:p>
    <w:p>
      <w:pPr>
        <w:keepNext/>
        <w:widowControl/>
        <w:spacing w:line="300" w:lineRule="auto" w:before="0" w:after="100"/>
        <w:ind w:left="0" w:right="0" w:firstLine="0"/>
        <w:snapToGrid w:val="0"/>
        <w:jc w:val="center"/>
      </w:pPr>
      <w:r>
        <w:drawing>
          <wp:inline xmlns:a="http://schemas.openxmlformats.org/drawingml/2006/main" xmlns:pic="http://schemas.openxmlformats.org/drawingml/2006/picture">
            <wp:extent cx="5256000" cy="316121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方案对比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161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00" w:lineRule="auto" w:before="0" w:after="200"/>
        <w:ind w:left="0" w:right="0" w:firstLine="0"/>
        <w:snapToGrid w:val="0"/>
        <w:jc w:val="center"/>
      </w:pPr>
      <w:r>
        <w:rPr>
          <w:rFonts w:ascii="仿宋" w:hAnsi="仿宋" w:eastAsia="仿宋"/>
          <w:b w:val="0"/>
          <w:color w:val="000000"/>
          <w:sz w:val="28"/>
        </w:rPr>
        <w:t>图4 三种场站布局的对比界面  单次结果不等于批量均值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完整JSON保存场景、参数、种子、候选评分、航路、订单、任务、服务日历和冲突事件；CSV便于核对指标、任务和失败类型，SVG便于放大查看地图及对比图。批量实验另行输出原始运行表、配对差值表、汇总表和清单。MATLAB脚本可作为后续绘图入口，本机尚未实际运行，不把它列为已验证的软件联动成果。</w:t>
      </w:r>
    </w:p>
    <w:p>
      <w:pPr>
        <w:pStyle w:val="3"/>
        <w:keepNext/>
        <w:pageBreakBefore w:val="0"/>
        <w:widowControl/>
        <w:spacing w:line="300" w:lineRule="auto" w:before="180" w:after="120"/>
        <w:ind w:left="0" w:right="0" w:firstLine="0"/>
        <w:snapToGrid w:val="0"/>
        <w:jc w:val="both"/>
      </w:pPr>
      <w:r>
        <w:rPr>
          <w:rFonts w:ascii="宋体" w:hAnsi="宋体" w:eastAsia="宋体"/>
          <w:b/>
          <w:color w:val="000000"/>
          <w:sz w:val="28"/>
        </w:rPr>
        <w:t>3.10 实验设计与评价口径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采用3种场景×5个评价种子×3种布局×2种调度的完整方案组合，得到90条运行指标和45组配对比较。每个场景先使用设计种子选址一次，随后在评价种子20261015至20261019上复用布局。种子只是随机流标识，不是实测日期。每一组比较使用相同订单、航路、布局、无人机数量和服务参数，仅改变错峰开关。</w:t>
      </w:r>
    </w:p>
    <w:p>
      <w:pPr>
        <w:keepNext/>
        <w:widowControl/>
        <w:spacing w:line="300" w:lineRule="auto" w:before="0" w:after="100"/>
        <w:ind w:left="0" w:right="0" w:firstLine="0"/>
        <w:snapToGrid w:val="0"/>
        <w:jc w:val="center"/>
      </w:pPr>
      <w:r>
        <w:rPr>
          <w:rFonts w:ascii="仿宋" w:hAnsi="仿宋" w:eastAsia="仿宋"/>
          <w:b w:val="0"/>
          <w:color w:val="000000"/>
          <w:sz w:val="28"/>
        </w:rPr>
        <w:t>表2 仿真主要参数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2835"/>
        <w:gridCol w:w="3770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  <w:shd w:fill="F0F2F5"/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/>
                <w:color w:val="000000"/>
                <w:sz w:val="28"/>
              </w:rPr>
              <w:t>参数</w:t>
            </w:r>
          </w:p>
        </w:tc>
        <w:tc>
          <w:tcPr>
            <w:tcW w:type="dxa" w:w="2835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  <w:shd w:fill="F0F2F5"/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/>
                <w:color w:val="000000"/>
                <w:sz w:val="28"/>
              </w:rPr>
              <w:t>设定</w:t>
            </w:r>
          </w:p>
        </w:tc>
        <w:tc>
          <w:tcPr>
            <w:tcW w:type="dxa" w:w="3770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  <w:shd w:fill="F0F2F5"/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/>
                <w:color w:val="000000"/>
                <w:sz w:val="28"/>
              </w:rPr>
              <w:t>说明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模拟园区</w:t>
            </w:r>
          </w:p>
        </w:tc>
        <w:tc>
          <w:tcPr>
            <w:tcW w:type="dxa" w:w="2835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960×640米</w:t>
            </w:r>
          </w:p>
        </w:tc>
        <w:tc>
          <w:tcPr>
            <w:tcW w:type="dxa" w:w="3770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10栋建筑，8候选场站，10配送点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巡航与栅格</w:t>
            </w:r>
          </w:p>
        </w:tc>
        <w:tc>
          <w:tcPr>
            <w:tcW w:type="dxa" w:w="2835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45米；16米</w:t>
            </w:r>
          </w:p>
        </w:tc>
        <w:tc>
          <w:tcPr>
            <w:tcW w:type="dxa" w:w="3770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固定高度，八邻域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建筑间距</w:t>
            </w:r>
          </w:p>
        </w:tc>
        <w:tc>
          <w:tcPr>
            <w:tcW w:type="dxa" w:w="2835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平面8米；垂直5米</w:t>
            </w:r>
          </w:p>
        </w:tc>
        <w:tc>
          <w:tcPr>
            <w:tcW w:type="dxa" w:w="3770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研究参数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风险权重</w:t>
            </w:r>
          </w:p>
        </w:tc>
        <w:tc>
          <w:tcPr>
            <w:tcW w:type="dxa" w:w="2835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λ=2</w:t>
            </w:r>
          </w:p>
        </w:tc>
        <w:tc>
          <w:tcPr>
            <w:tcW w:type="dxa" w:w="3770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所有布局共用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机队与速度</w:t>
            </w:r>
          </w:p>
        </w:tc>
        <w:tc>
          <w:tcPr>
            <w:tcW w:type="dxa" w:w="2835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5架；9米/秒</w:t>
            </w:r>
          </w:p>
        </w:tc>
        <w:tc>
          <w:tcPr>
            <w:tcW w:type="dxa" w:w="3770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场站固定归属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服务时间</w:t>
            </w:r>
          </w:p>
        </w:tc>
        <w:tc>
          <w:tcPr>
            <w:tcW w:type="dxa" w:w="2835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起飞25秒；降落20秒；配送20秒</w:t>
            </w:r>
          </w:p>
        </w:tc>
        <w:tc>
          <w:tcPr>
            <w:tcW w:type="dxa" w:w="3770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每场站一个服务位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准时阈值</w:t>
            </w:r>
          </w:p>
        </w:tc>
        <w:tc>
          <w:tcPr>
            <w:tcW w:type="dxa" w:w="2835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下单后600秒</w:t>
            </w:r>
          </w:p>
        </w:tc>
        <w:tc>
          <w:tcPr>
            <w:tcW w:type="dxa" w:w="3770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含等待与配送处理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错峰参数</w:t>
            </w:r>
          </w:p>
        </w:tc>
        <w:tc>
          <w:tcPr>
            <w:tcW w:type="dxa" w:w="2835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间距20米；步长5秒；上限600秒</w:t>
            </w:r>
          </w:p>
        </w:tc>
        <w:tc>
          <w:tcPr>
            <w:tcW w:type="dxa" w:w="3770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研究设定，非监管标准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订单负荷</w:t>
            </w:r>
          </w:p>
        </w:tc>
        <w:tc>
          <w:tcPr>
            <w:tcW w:type="dxa" w:w="2835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正常30单/1200秒；高峰60单/800秒</w:t>
            </w:r>
          </w:p>
        </w:tc>
        <w:tc>
          <w:tcPr>
            <w:tcW w:type="dxa" w:w="3770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模拟随机到达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关闭区域</w:t>
            </w:r>
          </w:p>
        </w:tc>
        <w:tc>
          <w:tcPr>
            <w:tcW w:type="dxa" w:w="2835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(470,200)，宽75，高150米</w:t>
            </w:r>
          </w:p>
        </w:tc>
        <w:tc>
          <w:tcPr>
            <w:tcW w:type="dxa" w:w="3770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整次运行生效，按地图比例缩放</w:t>
            </w:r>
          </w:p>
        </w:tc>
      </w:tr>
    </w:tbl>
    <w:p>
      <w:pPr>
        <w:spacing w:after="60" w:line="20" w:lineRule="exact"/>
      </w:pPr>
      <w:r>
        <w:rPr>
          <w:rFonts w:ascii="仿宋" w:hAnsi="仿宋" w:eastAsia="仿宋"/>
          <w:b w:val="0"/>
          <w:color w:val="000000"/>
          <w:sz w:val="2"/>
        </w:rPr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关闭场景中，关闭矩形在建图前设置，并在设计和评价全过程生效。每种场景分别重新选址，因此这里比较的是在各自已知条件下设计的方案，不能用来证明同一布局对途中突发关闭的鲁棒性。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平均配送时间和平均暴露以成功订单为分母；完成率与准时率以全部订单为分母，失败订单计为未完成和未准时。报告同时检查失败数，以避免只在成功子集上获得好看的均值。90条指标是方案评价记录，不是90次真实飞行；相同订单流在不同方案中重复评价，合计事件和完成次数不代表独立业务量。</w:t>
      </w:r>
    </w:p>
    <w:p>
      <w:pPr>
        <w:keepNext w:val="0"/>
        <w:widowControl/>
        <w:spacing w:line="300" w:lineRule="auto" w:before="60" w:after="180"/>
        <w:ind w:left="0" w:right="0" w:firstLine="0"/>
        <w:snapToGrid w:val="0"/>
        <w:jc w:val="left"/>
      </w:pPr>
      <w:r>
        <w:rPr>
          <w:rFonts w:ascii="仿宋" w:hAnsi="仿宋" w:eastAsia="仿宋"/>
          <w:b w:val="0"/>
          <w:color w:val="000000"/>
          <w:sz w:val="28"/>
        </w:rPr>
        <w:t>完成率 = N成功/N总；准时率 = N按时送达/N总。  （9）</w:t>
      </w:r>
    </w:p>
    <w:p>
      <w:pPr>
        <w:keepNext w:val="0"/>
        <w:widowControl/>
        <w:spacing w:line="300" w:lineRule="auto" w:before="60" w:after="180"/>
        <w:ind w:left="0" w:right="0" w:firstLine="0"/>
        <w:snapToGrid w:val="0"/>
        <w:jc w:val="left"/>
      </w:pPr>
      <w:r>
        <w:rPr>
          <w:rFonts w:ascii="仿宋" w:hAnsi="仿宋" w:eastAsia="仿宋"/>
          <w:b w:val="0"/>
          <w:color w:val="000000"/>
          <w:sz w:val="28"/>
        </w:rPr>
        <w:t>平均配送时间 = Σ成功订单(t送达-t创建)/N成功。  （10）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汇总表对同一场景、布局和调度的5个评价种子计算均值及样本标准差。误差线为样本标准差，不是置信区间；5个种子只提供初步稳定性证据，不据此声称统计显著或普遍有效。</w:t>
      </w:r>
    </w:p>
    <w:p>
      <w:pPr>
        <w:pStyle w:val="3"/>
        <w:keepNext/>
        <w:pageBreakBefore w:val="0"/>
        <w:widowControl/>
        <w:spacing w:line="300" w:lineRule="auto" w:before="180" w:after="120"/>
        <w:ind w:left="0" w:right="0" w:firstLine="0"/>
        <w:snapToGrid w:val="0"/>
        <w:jc w:val="both"/>
      </w:pPr>
      <w:r>
        <w:rPr>
          <w:rFonts w:ascii="宋体" w:hAnsi="宋体" w:eastAsia="宋体"/>
          <w:b/>
          <w:color w:val="000000"/>
          <w:sz w:val="28"/>
        </w:rPr>
        <w:t>3.11 实验结果与时效权衡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保存的45组配对结果中，基线间距不足事件合计700次，错峰为0次；两种调度均无失败订单，完成率均为100%。按45组运行的平均配送时间差值等权计算，错峰增加35.53秒，该值不按订单数加权。表3给出全部布局的间距事件和配送时间，图5、图6展示综合风险布局的变化。</w:t>
      </w:r>
    </w:p>
    <w:p>
      <w:pPr>
        <w:keepNext/>
        <w:widowControl/>
        <w:spacing w:line="300" w:lineRule="auto" w:before="0" w:after="100"/>
        <w:ind w:left="0" w:right="0" w:firstLine="0"/>
        <w:snapToGrid w:val="0"/>
        <w:jc w:val="center"/>
      </w:pPr>
      <w:r>
        <w:rPr>
          <w:rFonts w:ascii="仿宋" w:hAnsi="仿宋" w:eastAsia="仿宋"/>
          <w:b w:val="0"/>
          <w:color w:val="000000"/>
          <w:sz w:val="28"/>
        </w:rPr>
        <w:t>表3 五个评价种子的间距事件与配送时间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11"/>
        <w:gridCol w:w="2835"/>
        <w:gridCol w:w="3260"/>
      </w:tblGrid>
      <w:tr>
        <w:trPr>
          <w:cantSplit/>
          <w:tblHeader/>
        </w:trPr>
        <w:tc>
          <w:tcPr>
            <w:tcW w:type="dxa" w:w="2211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  <w:shd w:fill="F0F2F5"/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/>
                <w:color w:val="000000"/>
                <w:sz w:val="28"/>
              </w:rPr>
              <w:t>场景与布局</w:t>
            </w:r>
          </w:p>
        </w:tc>
        <w:tc>
          <w:tcPr>
            <w:tcW w:type="dxa" w:w="2835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  <w:shd w:fill="F0F2F5"/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/>
                <w:color w:val="000000"/>
                <w:sz w:val="28"/>
              </w:rPr>
              <w:t>间距不足事件</w:t>
              <w:br/>
              <w:t>基线→错峰 / 次</w:t>
            </w:r>
          </w:p>
        </w:tc>
        <w:tc>
          <w:tcPr>
            <w:tcW w:type="dxa" w:w="3260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  <w:shd w:fill="F0F2F5"/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/>
                <w:color w:val="000000"/>
                <w:sz w:val="28"/>
              </w:rPr>
              <w:t>平均配送时间</w:t>
              <w:br/>
              <w:t>基线→错峰 / 秒</w:t>
            </w:r>
          </w:p>
        </w:tc>
      </w:tr>
      <w:tr>
        <w:trPr>
          <w:cantSplit/>
        </w:trPr>
        <w:tc>
          <w:tcPr>
            <w:tcW w:type="dxa" w:w="2211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正常配送</w:t>
              <w:br/>
              <w:t>固定布局</w:t>
            </w:r>
          </w:p>
        </w:tc>
        <w:tc>
          <w:tcPr>
            <w:tcW w:type="dxa" w:w="2835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10.00 ± 2.92 → 0</w:t>
            </w:r>
          </w:p>
        </w:tc>
        <w:tc>
          <w:tcPr>
            <w:tcW w:type="dxa" w:w="3260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138.17 → 166.12</w:t>
            </w:r>
          </w:p>
        </w:tc>
      </w:tr>
      <w:tr>
        <w:trPr>
          <w:cantSplit/>
        </w:trPr>
        <w:tc>
          <w:tcPr>
            <w:tcW w:type="dxa" w:w="2211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正常配送</w:t>
              <w:br/>
              <w:t>距离优先</w:t>
            </w:r>
          </w:p>
        </w:tc>
        <w:tc>
          <w:tcPr>
            <w:tcW w:type="dxa" w:w="2835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10.40 ± 3.51 → 0</w:t>
            </w:r>
          </w:p>
        </w:tc>
        <w:tc>
          <w:tcPr>
            <w:tcW w:type="dxa" w:w="3260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103.21 → 123.71</w:t>
            </w:r>
          </w:p>
        </w:tc>
      </w:tr>
      <w:tr>
        <w:trPr>
          <w:cantSplit/>
        </w:trPr>
        <w:tc>
          <w:tcPr>
            <w:tcW w:type="dxa" w:w="2211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正常配送</w:t>
              <w:br/>
              <w:t>综合风险</w:t>
            </w:r>
          </w:p>
        </w:tc>
        <w:tc>
          <w:tcPr>
            <w:tcW w:type="dxa" w:w="2835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9.20 ± 4.27 → 0</w:t>
            </w:r>
          </w:p>
        </w:tc>
        <w:tc>
          <w:tcPr>
            <w:tcW w:type="dxa" w:w="3260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120.43 → 137.15</w:t>
            </w:r>
          </w:p>
        </w:tc>
      </w:tr>
      <w:tr>
        <w:trPr>
          <w:cantSplit/>
        </w:trPr>
        <w:tc>
          <w:tcPr>
            <w:tcW w:type="dxa" w:w="2211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高峰订单</w:t>
              <w:br/>
              <w:t>固定布局</w:t>
            </w:r>
          </w:p>
        </w:tc>
        <w:tc>
          <w:tcPr>
            <w:tcW w:type="dxa" w:w="2835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26.20 ± 6.38 → 0</w:t>
            </w:r>
          </w:p>
        </w:tc>
        <w:tc>
          <w:tcPr>
            <w:tcW w:type="dxa" w:w="3260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799.19 → 882.68</w:t>
            </w:r>
          </w:p>
        </w:tc>
      </w:tr>
      <w:tr>
        <w:trPr>
          <w:cantSplit/>
        </w:trPr>
        <w:tc>
          <w:tcPr>
            <w:tcW w:type="dxa" w:w="2211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高峰订单</w:t>
              <w:br/>
              <w:t>距离优先</w:t>
            </w:r>
          </w:p>
        </w:tc>
        <w:tc>
          <w:tcPr>
            <w:tcW w:type="dxa" w:w="2835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27.20 ± 2.49 → 0</w:t>
            </w:r>
          </w:p>
        </w:tc>
        <w:tc>
          <w:tcPr>
            <w:tcW w:type="dxa" w:w="3260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720.31 → 778.18</w:t>
            </w:r>
          </w:p>
        </w:tc>
      </w:tr>
      <w:tr>
        <w:trPr>
          <w:cantSplit/>
        </w:trPr>
        <w:tc>
          <w:tcPr>
            <w:tcW w:type="dxa" w:w="2211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高峰订单</w:t>
              <w:br/>
              <w:t>综合风险</w:t>
            </w:r>
          </w:p>
        </w:tc>
        <w:tc>
          <w:tcPr>
            <w:tcW w:type="dxa" w:w="2835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27.20 ± 2.49 → 0</w:t>
            </w:r>
          </w:p>
        </w:tc>
        <w:tc>
          <w:tcPr>
            <w:tcW w:type="dxa" w:w="3260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720.31 → 778.18</w:t>
            </w:r>
          </w:p>
        </w:tc>
      </w:tr>
      <w:tr>
        <w:trPr>
          <w:cantSplit/>
        </w:trPr>
        <w:tc>
          <w:tcPr>
            <w:tcW w:type="dxa" w:w="2211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局部空域关闭</w:t>
              <w:br/>
              <w:t>固定布局</w:t>
            </w:r>
          </w:p>
        </w:tc>
        <w:tc>
          <w:tcPr>
            <w:tcW w:type="dxa" w:w="2835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9.80 ± 2.86 → 0</w:t>
            </w:r>
          </w:p>
        </w:tc>
        <w:tc>
          <w:tcPr>
            <w:tcW w:type="dxa" w:w="3260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138.17 → 159.94</w:t>
            </w:r>
          </w:p>
        </w:tc>
      </w:tr>
      <w:tr>
        <w:trPr>
          <w:cantSplit/>
        </w:trPr>
        <w:tc>
          <w:tcPr>
            <w:tcW w:type="dxa" w:w="2211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局部空域关闭</w:t>
              <w:br/>
              <w:t>距离优先</w:t>
            </w:r>
          </w:p>
        </w:tc>
        <w:tc>
          <w:tcPr>
            <w:tcW w:type="dxa" w:w="2835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10.60 ± 3.78 → 0</w:t>
            </w:r>
          </w:p>
        </w:tc>
        <w:tc>
          <w:tcPr>
            <w:tcW w:type="dxa" w:w="3260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114.67 → 133.18</w:t>
            </w:r>
          </w:p>
        </w:tc>
      </w:tr>
      <w:tr>
        <w:trPr>
          <w:cantSplit/>
        </w:trPr>
        <w:tc>
          <w:tcPr>
            <w:tcW w:type="dxa" w:w="2211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局部空域关闭</w:t>
              <w:br/>
              <w:t>综合风险</w:t>
            </w:r>
          </w:p>
        </w:tc>
        <w:tc>
          <w:tcPr>
            <w:tcW w:type="dxa" w:w="2835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9.40 ± 4.04 → 0</w:t>
            </w:r>
          </w:p>
        </w:tc>
        <w:tc>
          <w:tcPr>
            <w:tcW w:type="dxa" w:w="3260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120.51 → 135.58</w:t>
            </w:r>
          </w:p>
        </w:tc>
      </w:tr>
    </w:tbl>
    <w:p>
      <w:pPr>
        <w:spacing w:after="60" w:line="20" w:lineRule="exact"/>
      </w:pPr>
      <w:r>
        <w:rPr>
          <w:rFonts w:ascii="仿宋" w:hAnsi="仿宋" w:eastAsia="仿宋"/>
          <w:b w:val="0"/>
          <w:color w:val="000000"/>
          <w:sz w:val="2"/>
        </w:rPr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表3间距事件给出基线均值±样本标准差；错峰9种组合均为0±0次。配送时间栏为跨种子均值。完整的时间与其他指标标准差见附录所列summary.csv，避免仅凭表中均值判断稳定性。</w:t>
      </w:r>
    </w:p>
    <w:p>
      <w:pPr>
        <w:keepNext/>
        <w:widowControl/>
        <w:spacing w:line="300" w:lineRule="auto" w:before="0" w:after="100"/>
        <w:ind w:left="0" w:right="0" w:firstLine="0"/>
        <w:snapToGrid w:val="0"/>
        <w:jc w:val="center"/>
      </w:pPr>
      <w:r>
        <w:drawing>
          <wp:inline xmlns:a="http://schemas.openxmlformats.org/drawingml/2006/main" xmlns:pic="http://schemas.openxmlformats.org/drawingml/2006/picture">
            <wp:extent cx="5256000" cy="3066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间距不足事件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06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00" w:lineRule="auto" w:before="0" w:after="200"/>
        <w:ind w:left="0" w:right="0" w:firstLine="0"/>
        <w:snapToGrid w:val="0"/>
        <w:jc w:val="center"/>
      </w:pPr>
      <w:r>
        <w:rPr>
          <w:rFonts w:ascii="仿宋" w:hAnsi="仿宋" w:eastAsia="仿宋"/>
          <w:b w:val="0"/>
          <w:color w:val="000000"/>
          <w:sz w:val="28"/>
        </w:rPr>
        <w:t>图5 综合风险布局的间距不足事件  均值与样本标准差</w:t>
      </w:r>
    </w:p>
    <w:p>
      <w:pPr>
        <w:keepNext/>
        <w:widowControl/>
        <w:spacing w:line="300" w:lineRule="auto" w:before="0" w:after="100"/>
        <w:ind w:left="0" w:right="0" w:firstLine="0"/>
        <w:snapToGrid w:val="0"/>
        <w:jc w:val="center"/>
      </w:pPr>
      <w:r>
        <w:drawing>
          <wp:inline xmlns:a="http://schemas.openxmlformats.org/drawingml/2006/main" xmlns:pic="http://schemas.openxmlformats.org/drawingml/2006/picture">
            <wp:extent cx="5256000" cy="3066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配送时间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06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00" w:lineRule="auto" w:before="0" w:after="200"/>
        <w:ind w:left="0" w:right="0" w:firstLine="0"/>
        <w:snapToGrid w:val="0"/>
        <w:jc w:val="center"/>
      </w:pPr>
      <w:r>
        <w:rPr>
          <w:rFonts w:ascii="仿宋" w:hAnsi="仿宋" w:eastAsia="仿宋"/>
          <w:b w:val="0"/>
          <w:color w:val="000000"/>
          <w:sz w:val="28"/>
        </w:rPr>
        <w:t>图6 综合风险布局的平均配送时间  均值与样本标准差</w:t>
      </w:r>
    </w:p>
    <w:p>
      <w:pPr>
        <w:keepNext/>
        <w:widowControl/>
        <w:spacing w:line="300" w:lineRule="auto" w:before="0" w:after="100"/>
        <w:ind w:left="0" w:right="0" w:firstLine="0"/>
        <w:snapToGrid w:val="0"/>
        <w:jc w:val="center"/>
      </w:pPr>
      <w:r>
        <w:rPr>
          <w:rFonts w:ascii="仿宋" w:hAnsi="仿宋" w:eastAsia="仿宋"/>
          <w:b w:val="0"/>
          <w:color w:val="000000"/>
          <w:sz w:val="28"/>
        </w:rPr>
        <w:t>表4 人员路径暴露 错峰等待与准时率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2324"/>
        <w:gridCol w:w="1644"/>
        <w:gridCol w:w="2296"/>
      </w:tblGrid>
      <w:tr>
        <w:trPr>
          <w:cantSplit/>
          <w:tblHeader/>
        </w:trPr>
        <w:tc>
          <w:tcPr>
            <w:tcW w:type="dxa" w:w="2041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  <w:shd w:fill="F0F2F5"/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/>
                <w:color w:val="000000"/>
                <w:sz w:val="28"/>
              </w:rPr>
              <w:t>场景与布局</w:t>
            </w:r>
          </w:p>
        </w:tc>
        <w:tc>
          <w:tcPr>
            <w:tcW w:type="dxa" w:w="2324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  <w:shd w:fill="F0F2F5"/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/>
                <w:color w:val="000000"/>
                <w:sz w:val="28"/>
              </w:rPr>
              <w:t>暴露指数</w:t>
              <w:br/>
              <w:t>基线→错峰</w:t>
            </w:r>
          </w:p>
        </w:tc>
        <w:tc>
          <w:tcPr>
            <w:tcW w:type="dxa" w:w="1644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  <w:shd w:fill="F0F2F5"/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/>
                <w:color w:val="000000"/>
                <w:sz w:val="28"/>
              </w:rPr>
              <w:t>错峰等待</w:t>
              <w:br/>
              <w:t>秒/单</w:t>
            </w:r>
          </w:p>
        </w:tc>
        <w:tc>
          <w:tcPr>
            <w:tcW w:type="dxa" w:w="2296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  <w:shd w:fill="F0F2F5"/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/>
                <w:color w:val="000000"/>
                <w:sz w:val="28"/>
              </w:rPr>
              <w:t>准时率</w:t>
              <w:br/>
              <w:t>基线→错峰 / %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正常配送</w:t>
              <w:br/>
              <w:t>固定布局</w:t>
            </w:r>
          </w:p>
        </w:tc>
        <w:tc>
          <w:tcPr>
            <w:tcW w:type="dxa" w:w="2324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0.884 → 0.928</w:t>
            </w:r>
          </w:p>
        </w:tc>
        <w:tc>
          <w:tcPr>
            <w:tcW w:type="dxa" w:w="1644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5.97</w:t>
            </w:r>
          </w:p>
        </w:tc>
        <w:tc>
          <w:tcPr>
            <w:tcW w:type="dxa" w:w="2296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100.0 → 100.0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正常配送</w:t>
              <w:br/>
              <w:t>距离优先</w:t>
            </w:r>
          </w:p>
        </w:tc>
        <w:tc>
          <w:tcPr>
            <w:tcW w:type="dxa" w:w="2324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0.998 → 1.093</w:t>
            </w:r>
          </w:p>
        </w:tc>
        <w:tc>
          <w:tcPr>
            <w:tcW w:type="dxa" w:w="1644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3.17</w:t>
            </w:r>
          </w:p>
        </w:tc>
        <w:tc>
          <w:tcPr>
            <w:tcW w:type="dxa" w:w="2296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100.0 → 100.0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正常配送</w:t>
              <w:br/>
              <w:t>综合风险</w:t>
            </w:r>
          </w:p>
        </w:tc>
        <w:tc>
          <w:tcPr>
            <w:tcW w:type="dxa" w:w="2324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0.847 → 0.849</w:t>
            </w:r>
          </w:p>
        </w:tc>
        <w:tc>
          <w:tcPr>
            <w:tcW w:type="dxa" w:w="1644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2.92</w:t>
            </w:r>
          </w:p>
        </w:tc>
        <w:tc>
          <w:tcPr>
            <w:tcW w:type="dxa" w:w="2296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100.0 → 100.0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高峰订单</w:t>
              <w:br/>
              <w:t>固定布局</w:t>
            </w:r>
          </w:p>
        </w:tc>
        <w:tc>
          <w:tcPr>
            <w:tcW w:type="dxa" w:w="2324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0.983 → 0.957</w:t>
            </w:r>
          </w:p>
        </w:tc>
        <w:tc>
          <w:tcPr>
            <w:tcW w:type="dxa" w:w="1644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13.11</w:t>
            </w:r>
          </w:p>
        </w:tc>
        <w:tc>
          <w:tcPr>
            <w:tcW w:type="dxa" w:w="2296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36.3 → 32.3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高峰订单</w:t>
              <w:br/>
              <w:t>距离优先</w:t>
            </w:r>
          </w:p>
        </w:tc>
        <w:tc>
          <w:tcPr>
            <w:tcW w:type="dxa" w:w="2324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0.881 → 0.865</w:t>
            </w:r>
          </w:p>
        </w:tc>
        <w:tc>
          <w:tcPr>
            <w:tcW w:type="dxa" w:w="1644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12.42</w:t>
            </w:r>
          </w:p>
        </w:tc>
        <w:tc>
          <w:tcPr>
            <w:tcW w:type="dxa" w:w="2296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39.3 → 39.0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高峰订单</w:t>
              <w:br/>
              <w:t>综合风险</w:t>
            </w:r>
          </w:p>
        </w:tc>
        <w:tc>
          <w:tcPr>
            <w:tcW w:type="dxa" w:w="2324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0.881 → 0.865</w:t>
            </w:r>
          </w:p>
        </w:tc>
        <w:tc>
          <w:tcPr>
            <w:tcW w:type="dxa" w:w="1644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12.42</w:t>
            </w:r>
          </w:p>
        </w:tc>
        <w:tc>
          <w:tcPr>
            <w:tcW w:type="dxa" w:w="2296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39.3 → 39.0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局部空域关闭</w:t>
              <w:br/>
              <w:t>固定布局</w:t>
            </w:r>
          </w:p>
        </w:tc>
        <w:tc>
          <w:tcPr>
            <w:tcW w:type="dxa" w:w="2324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0.896 → 0.931</w:t>
            </w:r>
          </w:p>
        </w:tc>
        <w:tc>
          <w:tcPr>
            <w:tcW w:type="dxa" w:w="1644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4.73</w:t>
            </w:r>
          </w:p>
        </w:tc>
        <w:tc>
          <w:tcPr>
            <w:tcW w:type="dxa" w:w="2296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100.0 → 100.0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局部空域关闭</w:t>
              <w:br/>
              <w:t>距离优先</w:t>
            </w:r>
          </w:p>
        </w:tc>
        <w:tc>
          <w:tcPr>
            <w:tcW w:type="dxa" w:w="2324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1.122 → 1.150</w:t>
            </w:r>
          </w:p>
        </w:tc>
        <w:tc>
          <w:tcPr>
            <w:tcW w:type="dxa" w:w="1644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5.29</w:t>
            </w:r>
          </w:p>
        </w:tc>
        <w:tc>
          <w:tcPr>
            <w:tcW w:type="dxa" w:w="2296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100.0 → 100.0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局部空域关闭</w:t>
              <w:br/>
              <w:t>综合风险</w:t>
            </w:r>
          </w:p>
        </w:tc>
        <w:tc>
          <w:tcPr>
            <w:tcW w:type="dxa" w:w="2324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0.885 → 0.846</w:t>
            </w:r>
          </w:p>
        </w:tc>
        <w:tc>
          <w:tcPr>
            <w:tcW w:type="dxa" w:w="1644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3.31</w:t>
            </w:r>
          </w:p>
        </w:tc>
        <w:tc>
          <w:tcPr>
            <w:tcW w:type="dxa" w:w="2296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100.0 → 100.0</w:t>
            </w:r>
          </w:p>
        </w:tc>
      </w:tr>
    </w:tbl>
    <w:p>
      <w:pPr>
        <w:spacing w:after="60" w:line="20" w:lineRule="exact"/>
      </w:pPr>
      <w:r>
        <w:rPr>
          <w:rFonts w:ascii="仿宋" w:hAnsi="仿宋" w:eastAsia="仿宋"/>
          <w:b w:val="0"/>
          <w:color w:val="000000"/>
          <w:sz w:val="2"/>
        </w:rPr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表4各值均为5个评价种子的均值。所有组合完成率均为100%、失败数均为0；准时率反映完成时间而非能否最终完成。暴露指数没有纳入悬停，不能把错峰后指数下降解释为全部任务风险降低。</w:t>
      </w:r>
    </w:p>
    <w:p>
      <w:pPr>
        <w:keepNext/>
        <w:widowControl/>
        <w:spacing w:line="300" w:lineRule="auto" w:before="0" w:after="100"/>
        <w:ind w:left="0" w:right="0" w:firstLine="0"/>
        <w:snapToGrid w:val="0"/>
        <w:jc w:val="center"/>
      </w:pPr>
      <w:r>
        <w:drawing>
          <wp:inline xmlns:a="http://schemas.openxmlformats.org/drawingml/2006/main" xmlns:pic="http://schemas.openxmlformats.org/drawingml/2006/picture">
            <wp:extent cx="5256000" cy="3066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人员暴露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06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300" w:lineRule="auto" w:before="0" w:after="200"/>
        <w:ind w:left="0" w:right="0" w:firstLine="0"/>
        <w:snapToGrid w:val="0"/>
        <w:jc w:val="center"/>
      </w:pPr>
      <w:r>
        <w:rPr>
          <w:rFonts w:ascii="仿宋" w:hAnsi="仿宋" w:eastAsia="仿宋"/>
          <w:b w:val="0"/>
          <w:color w:val="000000"/>
          <w:sz w:val="28"/>
        </w:rPr>
        <w:t>图7 综合风险布局的每单路径暴露指数  均值与样本标准差</w:t>
      </w:r>
    </w:p>
    <w:p>
      <w:pPr>
        <w:pStyle w:val="3"/>
        <w:keepNext/>
        <w:pageBreakBefore w:val="0"/>
        <w:widowControl/>
        <w:spacing w:line="300" w:lineRule="auto" w:before="180" w:after="120"/>
        <w:ind w:left="0" w:right="0" w:firstLine="0"/>
        <w:snapToGrid w:val="0"/>
        <w:jc w:val="both"/>
      </w:pPr>
      <w:r>
        <w:rPr>
          <w:rFonts w:ascii="宋体" w:hAnsi="宋体" w:eastAsia="宋体"/>
          <w:b/>
          <w:color w:val="000000"/>
          <w:sz w:val="28"/>
        </w:rPr>
        <w:t>3.12 结果解释与方案选择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正常场景下，固定、距离优先和综合风险布局分别选中S1+S5、S3+S7和S2+S6。错峰后距离优先的平均配送时间为123.71秒、每单暴露1.093；综合风险为137.15秒、暴露0.849。综合方案的暴露均值相对距离方案降低约22.3%，同时配送时间增加13.44秒，体现当前权重下对人员活动区域的回避代价。该相对差异只针对所设地图和需求。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高峰场景中，距离优先与综合风险均选中S6+S8，因此两者结果相同。错峰后平均配送时间778.18秒，准时率39.0%；固定布局为882.68秒和32.3%。虽然所有订单最终完成，运行仍不满足大部分订单600秒内送达的时效目标。可优先研究增加机队、调整站点归属和服务能力，而不是通过放宽间距来掩盖拥堵。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关闭场景中，综合风险布局错峰后的平均配送时间135.58秒、暴露0.846；距离优先为133.18秒、暴露1.150。两者时效接近，但路径暴露差异明显，说明在本场景下仅按航程选址会遗漏人群分布。由于每个场景重新设计站点，这仍不是对同一站点组合的突发事件应对验证。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错峰可能使无人机选择发生变化，而各机固定归属的场站不同，因而总体航程与暴露也可能变化；不能假设“只推迟时间”就一定使全部路径指标保持不变。另一方面，暴露没有覆盖悬停，现有指标不足以计算等待带来的完整风险和能耗代价。</w:t>
      </w:r>
    </w:p>
    <w:p>
      <w:pPr>
        <w:pStyle w:val="3"/>
        <w:keepNext/>
        <w:pageBreakBefore w:val="0"/>
        <w:widowControl/>
        <w:spacing w:line="300" w:lineRule="auto" w:before="180" w:after="120"/>
        <w:ind w:left="0" w:right="0" w:firstLine="0"/>
        <w:snapToGrid w:val="0"/>
        <w:jc w:val="both"/>
      </w:pPr>
      <w:r>
        <w:rPr>
          <w:rFonts w:ascii="宋体" w:hAnsi="宋体" w:eastAsia="宋体"/>
          <w:b/>
          <w:color w:val="000000"/>
          <w:sz w:val="28"/>
        </w:rPr>
        <w:t>3.13 软件验证与可复现性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2026年10月17日使用配套Python执行python -m unittest discover -s tests -v，41项测试全部通过，耗时16.919秒。覆盖航路目标代价、建筑约束、资源不重叠、连续时间接近、错峰失败、数据导出、Excel校验、图片处理、组件编辑及草稿状态等。测试用于核查实现是否符合既定模型；模型是否代表现实仍需要外部数据与实地验证。</w:t>
      </w:r>
    </w:p>
    <w:p>
      <w:pPr>
        <w:keepNext/>
        <w:widowControl/>
        <w:spacing w:line="300" w:lineRule="auto" w:before="0" w:after="100"/>
        <w:ind w:left="0" w:right="0" w:firstLine="0"/>
        <w:snapToGrid w:val="0"/>
        <w:jc w:val="center"/>
      </w:pPr>
      <w:r>
        <w:rPr>
          <w:rFonts w:ascii="仿宋" w:hAnsi="仿宋" w:eastAsia="仿宋"/>
          <w:b w:val="0"/>
          <w:color w:val="000000"/>
          <w:sz w:val="28"/>
        </w:rPr>
        <w:t>表5 已执行的关键核验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87"/>
        <w:gridCol w:w="3402"/>
        <w:gridCol w:w="3317"/>
      </w:tblGrid>
      <w:tr>
        <w:trPr>
          <w:cantSplit/>
          <w:tblHeader/>
        </w:trPr>
        <w:tc>
          <w:tcPr>
            <w:tcW w:type="dxa" w:w="1587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  <w:shd w:fill="F0F2F5"/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/>
                <w:color w:val="000000"/>
                <w:sz w:val="28"/>
              </w:rPr>
              <w:t>核验对象</w:t>
            </w:r>
          </w:p>
        </w:tc>
        <w:tc>
          <w:tcPr>
            <w:tcW w:type="dxa" w:w="3402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  <w:shd w:fill="F0F2F5"/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/>
                <w:color w:val="000000"/>
                <w:sz w:val="28"/>
              </w:rPr>
              <w:t>核验方式</w:t>
            </w:r>
          </w:p>
        </w:tc>
        <w:tc>
          <w:tcPr>
            <w:tcW w:type="dxa" w:w="3317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  <w:shd w:fill="F0F2F5"/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/>
                <w:color w:val="000000"/>
                <w:sz w:val="28"/>
              </w:rPr>
              <w:t>结果与边界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航路正确性</w:t>
            </w:r>
          </w:p>
        </w:tc>
        <w:tc>
          <w:tcPr>
            <w:tcW w:type="dxa" w:w="3402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与独立Dijkstra代价对照；端点与通行性检查</w:t>
            </w:r>
          </w:p>
        </w:tc>
        <w:tc>
          <w:tcPr>
            <w:tcW w:type="dxa" w:w="3317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通过；限当前离散图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调度约束</w:t>
            </w:r>
          </w:p>
        </w:tc>
        <w:tc>
          <w:tcPr>
            <w:tcW w:type="dxa" w:w="3402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无人机任务和共享服务位时段不重叠</w:t>
            </w:r>
          </w:p>
        </w:tc>
        <w:tc>
          <w:tcPr>
            <w:tcW w:type="dxa" w:w="3317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通过；预约式模型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间距检测</w:t>
            </w:r>
          </w:p>
        </w:tc>
        <w:tc>
          <w:tcPr>
            <w:tcW w:type="dxa" w:w="3402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亚秒交叉、悬停、相切、时间不重叠、事件合并</w:t>
            </w:r>
          </w:p>
        </w:tc>
        <w:tc>
          <w:tcPr>
            <w:tcW w:type="dxa" w:w="3317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通过；分段匀速模型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失败统计</w:t>
            </w:r>
          </w:p>
        </w:tc>
        <w:tc>
          <w:tcPr>
            <w:tcW w:type="dxa" w:w="3402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不可达、错峰超限及分母检查</w:t>
            </w:r>
          </w:p>
        </w:tc>
        <w:tc>
          <w:tcPr>
            <w:tcW w:type="dxa" w:w="3317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通过；保留失败原因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地图编辑</w:t>
            </w:r>
          </w:p>
        </w:tc>
        <w:tc>
          <w:tcPr>
            <w:tcW w:type="dxa" w:w="3402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高度修改、定标、撤销重做、JSON往返</w:t>
            </w:r>
          </w:p>
        </w:tc>
        <w:tc>
          <w:tcPr>
            <w:tcW w:type="dxa" w:w="3317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通过；高度保持手动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图片显示</w:t>
            </w:r>
          </w:p>
        </w:tc>
        <w:tc>
          <w:tcPr>
            <w:tcW w:type="dxa" w:w="3402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细线保留、大图缩放、自包含底图</w:t>
            </w:r>
          </w:p>
        </w:tc>
        <w:tc>
          <w:tcPr>
            <w:tcW w:type="dxa" w:w="3317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通过；不代表识别精度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界面检查</w:t>
            </w:r>
          </w:p>
        </w:tc>
        <w:tc>
          <w:tcPr>
            <w:tcW w:type="dxa" w:w="3402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大小窗口、高DPI、编辑与回放操作</w:t>
            </w:r>
          </w:p>
        </w:tc>
        <w:tc>
          <w:tcPr>
            <w:tcW w:type="dxa" w:w="3317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历史检查通过；详见验证记录</w:t>
            </w:r>
          </w:p>
        </w:tc>
      </w:tr>
    </w:tbl>
    <w:p>
      <w:pPr>
        <w:spacing w:after="60" w:line="20" w:lineRule="exact"/>
      </w:pPr>
      <w:r>
        <w:rPr>
          <w:rFonts w:ascii="仿宋" w:hAnsi="仿宋" w:eastAsia="仿宋"/>
          <w:b w:val="0"/>
          <w:color w:val="000000"/>
          <w:sz w:val="2"/>
        </w:rPr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现有桌面检查记录覆盖主界面1380×830与1120×720逻辑窗口、编辑器1280×840与1000×680逻辑窗口，以及本机200%缩放。高DPI显示和底图对齐已有操作检查，未据此声称对所有操作系统与显示设备完成兼容性认证。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复现步骤为：保留完整项目目录，使用含Tkinter的Python 3.10以上环境；图片导入额外安装Pillow。先用内置JSON运行单次结果，再使用独立输出目录运行配对实验，对照90条原始指标、45条差值和汇总表。参数、种子和数据文件路径随manifest保存。各文件和命令见附录A。</w:t>
      </w:r>
    </w:p>
    <w:p>
      <w:pPr>
        <w:pStyle w:val="3"/>
        <w:keepNext/>
        <w:pageBreakBefore w:val="0"/>
        <w:widowControl/>
        <w:spacing w:line="300" w:lineRule="auto" w:before="180" w:after="120"/>
        <w:ind w:left="0" w:right="0" w:firstLine="0"/>
        <w:snapToGrid w:val="0"/>
        <w:jc w:val="both"/>
      </w:pPr>
      <w:r>
        <w:rPr>
          <w:rFonts w:ascii="宋体" w:hAnsi="宋体" w:eastAsia="宋体"/>
          <w:b/>
          <w:color w:val="000000"/>
          <w:sz w:val="28"/>
        </w:rPr>
        <w:t>3.14 实际地图接入与应用流程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实际使用时先选定边界清晰的小型园区，从具有使用权限的图源获得清晰地图并记录出处。通过已知边长或两点实距建立尺度，核查旋转、透视和拼接影响；用管理资料、测绘资料或明确标注的估计方法填写建筑高度。对长条、倾斜或连体建筑，应使用多个矩形保守近似并人工检查。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随后在编辑器中核实可用起降位置、配送位置和需求权重，删除不符合实际场地条件的候选。人群区应依据调查或可追溯假设设置，不能把图上颜色当作人群密度。确认数据完整后保存JSON，先检查不可达航路和异常任务，再进行多方案、多种子比较。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用于方案讨论时，应同时展示时间、准时率、完成率、路径暴露和间距事件，并能从异常指标回查具体订单。导出结果可供教师或园区管理者讨论站点与容量；现场实施前，还需单独完成场地、机型、气象、能源、通信和运行规则的核实，本系统输出不代替这些工作。</w:t>
      </w:r>
    </w:p>
    <w:p>
      <w:pPr>
        <w:pStyle w:val="2"/>
        <w:keepNext/>
        <w:pageBreakBefore w:val="0"/>
        <w:widowControl/>
        <w:spacing w:line="300" w:lineRule="auto" w:before="180" w:after="120"/>
        <w:ind w:left="0" w:right="0" w:firstLine="0"/>
        <w:snapToGrid w:val="0"/>
        <w:jc w:val="both"/>
      </w:pPr>
      <w:r>
        <w:rPr>
          <w:rFonts w:ascii="宋体" w:hAnsi="宋体" w:eastAsia="宋体"/>
          <w:b/>
          <w:color w:val="000000"/>
          <w:sz w:val="28"/>
        </w:rPr>
        <w:t>4 特色与创新之处</w:t>
      </w:r>
    </w:p>
    <w:p>
      <w:pPr>
        <w:pStyle w:val="3"/>
        <w:keepNext/>
        <w:pageBreakBefore w:val="0"/>
        <w:widowControl/>
        <w:spacing w:line="300" w:lineRule="auto" w:before="180" w:after="120"/>
        <w:ind w:left="0" w:right="0" w:firstLine="0"/>
        <w:snapToGrid w:val="0"/>
        <w:jc w:val="both"/>
      </w:pPr>
      <w:r>
        <w:rPr>
          <w:rFonts w:ascii="宋体" w:hAnsi="宋体" w:eastAsia="宋体"/>
          <w:b/>
          <w:color w:val="000000"/>
          <w:sz w:val="28"/>
        </w:rPr>
        <w:t>4.1 可编辑地图与算法输入直接衔接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将导入图片后的建筑候选转成可编辑模型组件，要求人工确认尺度和楼高，使用户可以通过修改实际影响航路的几何与高度来调整模型。编辑结果直接进入同一仿真引擎，减少底图展示与计算地图脱节的问题。创新定位为面向使用过程的工程集成，尚未提出新的建筑识别算法。</w:t>
      </w:r>
    </w:p>
    <w:p>
      <w:pPr>
        <w:pStyle w:val="3"/>
        <w:keepNext/>
        <w:pageBreakBefore w:val="0"/>
        <w:widowControl/>
        <w:spacing w:line="300" w:lineRule="auto" w:before="180" w:after="120"/>
        <w:ind w:left="0" w:right="0" w:firstLine="0"/>
        <w:snapToGrid w:val="0"/>
        <w:jc w:val="both"/>
      </w:pPr>
      <w:r>
        <w:rPr>
          <w:rFonts w:ascii="宋体" w:hAnsi="宋体" w:eastAsia="宋体"/>
          <w:b/>
          <w:color w:val="000000"/>
          <w:sz w:val="28"/>
        </w:rPr>
        <w:t>4.2 风险选址与连续时间调度串联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在一个原型内贯通风险加权航路、有限候选组合选址、场站服务预约和连续时间间距检测，使用户能够从“选址评分”追溯到“路径与任务”，再解释错峰代价。相较只展示最短航线或飞行动画，系统提供间距事件位置及任务时间证据；现阶段仍是顺序优化，不把模块组合包装为已证明的联合最优算法。</w:t>
      </w:r>
    </w:p>
    <w:p>
      <w:pPr>
        <w:pStyle w:val="3"/>
        <w:keepNext/>
        <w:pageBreakBefore w:val="0"/>
        <w:widowControl/>
        <w:spacing w:line="300" w:lineRule="auto" w:before="180" w:after="120"/>
        <w:ind w:left="0" w:right="0" w:firstLine="0"/>
        <w:snapToGrid w:val="0"/>
        <w:jc w:val="both"/>
      </w:pPr>
      <w:r>
        <w:rPr>
          <w:rFonts w:ascii="宋体" w:hAnsi="宋体" w:eastAsia="宋体"/>
          <w:b/>
          <w:color w:val="000000"/>
          <w:sz w:val="28"/>
        </w:rPr>
        <w:t>4.3 配对设计与可审计输出</w:t>
      </w:r>
    </w:p>
    <w:p>
      <w:pPr>
        <w:keepNext w:val="0"/>
        <w:keepLines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采用独立设计订单冻结场站，再在共享评价订单上切换错峰，减少因重新选址和重新生成订单而混淆比较的风险。错峰等待、场站等待、失败订单及准时率分别记录；原始运行表、配对差值、完整任务JSON和文件校验值共同支撑复核。当前结果明确呈现效率代价和高峰不足，保留对方案不利的信息。</w:t>
      </w:r>
    </w:p>
    <w:p>
      <w:pPr>
        <w:pStyle w:val="2"/>
        <w:keepNext/>
        <w:pageBreakBefore w:val="0"/>
        <w:widowControl/>
        <w:spacing w:line="300" w:lineRule="auto" w:before="180" w:after="120"/>
        <w:ind w:left="0" w:right="0" w:firstLine="0"/>
        <w:snapToGrid w:val="0"/>
        <w:jc w:val="both"/>
      </w:pPr>
      <w:r>
        <w:rPr>
          <w:rFonts w:ascii="宋体" w:hAnsi="宋体" w:eastAsia="宋体"/>
          <w:b/>
          <w:color w:val="000000"/>
          <w:sz w:val="28"/>
        </w:rPr>
        <w:t>5 总结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本作品已经形成可运行的Python桌面仿真原型，实现地图导入与组件编辑、固定高度障碍建模、风险加权A*、两个场站组合选址、订单分配、共享服务预约、连续时间间距检测和错峰出发。41项测试通过，模拟园区90条运行指标和45组配对结果可以复核。现有证据支持在所设模型中通过错峰消除间距不足，并量化其时效代价。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研究同时暴露出三项主要限制：真实地图数据尚未校准；风险和飞行模型仍较简化；5个评价种子与单一模拟园区不足以支持普遍化结论。高峰场景的低准时率说明仅优化时隙不能解决容量不足。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后续优先建立一个有尺度、楼高和来源记录的实际园区案例，再围绕风险权重、机队规模、服务时间、栅格步长及间距阈值进行敏感性实验，增加评价种子并记录运行耗时。其后补入悬停能耗和暴露、风与定位误差，以及动态关闭重规划。真实应用验证应在这些条件逐步补齐后开展。</w:t>
      </w:r>
    </w:p>
    <w:p>
      <w:pPr>
        <w:pStyle w:val="2"/>
        <w:keepNext/>
        <w:pageBreakBefore/>
        <w:widowControl/>
        <w:spacing w:line="300" w:lineRule="auto" w:before="180" w:after="120"/>
        <w:ind w:left="0" w:right="0" w:firstLine="0"/>
        <w:snapToGrid w:val="0"/>
        <w:jc w:val="both"/>
      </w:pPr>
      <w:r>
        <w:rPr>
          <w:rFonts w:ascii="宋体" w:hAnsi="宋体" w:eastAsia="宋体"/>
          <w:b/>
          <w:color w:val="000000"/>
          <w:sz w:val="28"/>
        </w:rPr>
        <w:t>参考文献</w:t>
      </w:r>
    </w:p>
    <w:p>
      <w:pPr>
        <w:keepNext w:val="0"/>
        <w:widowControl/>
        <w:spacing w:line="300" w:lineRule="auto" w:before="0" w:after="100"/>
        <w:ind w:left="0" w:right="0" w:firstLine="0"/>
        <w:snapToGrid w:val="0"/>
        <w:jc w:val="left"/>
        <w:keepLines/>
      </w:pPr>
      <w:r>
        <w:rPr>
          <w:rFonts w:ascii="仿宋" w:hAnsi="仿宋" w:eastAsia="仿宋"/>
          <w:b w:val="0"/>
          <w:color w:val="000000"/>
          <w:sz w:val="28"/>
        </w:rPr>
        <w:t>[1] HART P E, NILSSON N J, RAPHAEL B. A Formal Basis for the Heuristic Determination of Minimum Cost Paths[J]. IEEE Transactions on Systems Science and Cybernetics, 1968, 4(2): 100-107. DOI: 10.1109/TSSC.1968.300136.</w:t>
      </w:r>
    </w:p>
    <w:p>
      <w:pPr>
        <w:keepNext w:val="0"/>
        <w:widowControl/>
        <w:spacing w:line="300" w:lineRule="auto" w:before="0" w:after="100"/>
        <w:ind w:left="0" w:right="0" w:firstLine="0"/>
        <w:snapToGrid w:val="0"/>
        <w:jc w:val="left"/>
        <w:keepLines/>
      </w:pPr>
      <w:r>
        <w:rPr>
          <w:rFonts w:ascii="仿宋" w:hAnsi="仿宋" w:eastAsia="仿宋"/>
          <w:b w:val="0"/>
          <w:color w:val="000000"/>
          <w:sz w:val="28"/>
        </w:rPr>
        <w:t>[2] OTTO A, AGATZ N, CAMPBELL J, et al. Optimization approaches for civil applications of unmanned aerial vehicles (UAVs) or aerial drones: A survey[J]. Networks, 2018, 72(4): 411-458. DOI: 10.1002/net.21818.</w:t>
      </w:r>
    </w:p>
    <w:p>
      <w:pPr>
        <w:keepNext w:val="0"/>
        <w:widowControl/>
        <w:spacing w:line="300" w:lineRule="auto" w:before="0" w:after="100"/>
        <w:ind w:left="0" w:right="0" w:firstLine="0"/>
        <w:snapToGrid w:val="0"/>
        <w:jc w:val="left"/>
        <w:keepLines/>
      </w:pPr>
      <w:r>
        <w:rPr>
          <w:rFonts w:ascii="仿宋" w:hAnsi="仿宋" w:eastAsia="仿宋"/>
          <w:b w:val="0"/>
          <w:color w:val="000000"/>
          <w:sz w:val="28"/>
        </w:rPr>
        <w:t>[3] MURRAY C C, CHU A G. The flying sidekick traveling salesman problem: Optimization of drone-assisted parcel delivery[J]. Transportation Research Part C: Emerging Technologies, 2015, 54: 86-109. DOI: 10.1016/j.trc.2015.03.005.</w:t>
      </w:r>
    </w:p>
    <w:p>
      <w:pPr>
        <w:keepNext w:val="0"/>
        <w:widowControl/>
        <w:spacing w:line="300" w:lineRule="auto" w:before="0" w:after="100"/>
        <w:ind w:left="0" w:right="0" w:firstLine="0"/>
        <w:snapToGrid w:val="0"/>
        <w:jc w:val="left"/>
        <w:keepLines/>
      </w:pPr>
      <w:r>
        <w:rPr>
          <w:rFonts w:ascii="仿宋" w:hAnsi="仿宋" w:eastAsia="仿宋"/>
          <w:b w:val="0"/>
          <w:color w:val="000000"/>
          <w:sz w:val="28"/>
        </w:rPr>
        <w:t>[4] DORLING K, HEINRICHS J, MESSIER G G, et al. Vehicle Routing Problems for Drone Delivery[J]. IEEE Transactions on Systems, Man, and Cybernetics: Systems, 2017, 47(1): 70-85. DOI: 10.1109/TSMC.2016.2582745.</w:t>
      </w:r>
    </w:p>
    <w:p>
      <w:pPr>
        <w:keepNext w:val="0"/>
        <w:widowControl/>
        <w:spacing w:line="300" w:lineRule="auto" w:before="0" w:after="100"/>
        <w:ind w:left="0" w:right="0" w:firstLine="0"/>
        <w:snapToGrid w:val="0"/>
        <w:jc w:val="left"/>
        <w:keepLines/>
      </w:pPr>
      <w:r>
        <w:rPr>
          <w:rFonts w:ascii="仿宋" w:hAnsi="仿宋" w:eastAsia="仿宋"/>
          <w:b w:val="0"/>
          <w:color w:val="000000"/>
          <w:sz w:val="28"/>
        </w:rPr>
        <w:t>[5] KONG J, WEI L, JIANG X. A Literature Review of Vehicle and Drone Delivery Routing Problems in Different Synchronization Level Scenarios[J]. Drones, 2026, 10(3): 206. DOI: 10.3390/drones10030206.</w:t>
      </w:r>
    </w:p>
    <w:p>
      <w:pPr>
        <w:keepNext w:val="0"/>
        <w:widowControl/>
        <w:spacing w:line="300" w:lineRule="auto" w:before="0" w:after="100"/>
        <w:ind w:left="0" w:right="0" w:firstLine="0"/>
        <w:snapToGrid w:val="0"/>
        <w:jc w:val="left"/>
        <w:keepLines/>
      </w:pPr>
      <w:r>
        <w:rPr>
          <w:rFonts w:ascii="仿宋" w:hAnsi="仿宋" w:eastAsia="仿宋"/>
          <w:b w:val="0"/>
          <w:color w:val="000000"/>
          <w:sz w:val="28"/>
        </w:rPr>
        <w:t>[6] PRIMATESTA S, RIZZO A, LA COUR-HARBO A. Ground Risk Map for Unmanned Aircraft in Urban Environments[J]. Journal of Intelligent &amp; Robotic Systems, 2020, 97(3-4): 489-509. DOI: 10.1007/s10846-019-01015-z.</w:t>
      </w:r>
    </w:p>
    <w:p>
      <w:pPr>
        <w:keepNext w:val="0"/>
        <w:widowControl/>
        <w:spacing w:line="300" w:lineRule="auto" w:before="0" w:after="100"/>
        <w:ind w:left="0" w:right="0" w:firstLine="0"/>
        <w:snapToGrid w:val="0"/>
        <w:jc w:val="left"/>
        <w:keepLines/>
      </w:pPr>
      <w:r>
        <w:rPr>
          <w:rFonts w:ascii="仿宋" w:hAnsi="仿宋" w:eastAsia="仿宋"/>
          <w:b w:val="0"/>
          <w:color w:val="000000"/>
          <w:sz w:val="28"/>
        </w:rPr>
        <w:t>[7] PRIMATESTA S, GUGLIERI G, RIZZO A. A Risk-Aware Path Planning Strategy for UAVs in Urban Environments[J]. Journal of Intelligent &amp; Robotic Systems, 2019, 95(2): 629-643. DOI: 10.1007/s10846-018-0924-3.</w:t>
      </w:r>
    </w:p>
    <w:p>
      <w:pPr>
        <w:keepNext w:val="0"/>
        <w:widowControl/>
        <w:spacing w:line="300" w:lineRule="auto" w:before="0" w:after="100"/>
        <w:ind w:left="0" w:right="0" w:firstLine="0"/>
        <w:snapToGrid w:val="0"/>
        <w:jc w:val="left"/>
        <w:keepLines/>
      </w:pPr>
      <w:r>
        <w:rPr>
          <w:rFonts w:ascii="仿宋" w:hAnsi="仿宋" w:eastAsia="仿宋"/>
          <w:b w:val="0"/>
          <w:color w:val="000000"/>
          <w:sz w:val="28"/>
        </w:rPr>
        <w:t>[8] DIJKSTRA E W. A note on two problems in connexion with graphs[J]. Numerische Mathematik, 1959, 1(1): 269-271. DOI: 10.1007/BF01386390.</w:t>
      </w:r>
    </w:p>
    <w:p>
      <w:pPr>
        <w:keepNext w:val="0"/>
        <w:widowControl/>
        <w:spacing w:line="300" w:lineRule="auto" w:before="0" w:after="100"/>
        <w:ind w:left="0" w:right="0" w:firstLine="0"/>
        <w:snapToGrid w:val="0"/>
        <w:jc w:val="left"/>
        <w:keepLines/>
      </w:pPr>
      <w:r>
        <w:rPr>
          <w:rFonts w:ascii="仿宋" w:hAnsi="仿宋" w:eastAsia="仿宋"/>
          <w:b w:val="0"/>
          <w:color w:val="000000"/>
          <w:sz w:val="28"/>
        </w:rPr>
        <w:t>[9] HONG I, KUBY M, MURRAY A T. A range-restricted recharging station coverage model for drone delivery service planning[J]. Transportation Research Part C: Emerging Technologies, 2018, 90: 198-212. DOI: 10.1016/j.trc.2018.02.017.</w:t>
      </w:r>
    </w:p>
    <w:p>
      <w:pPr>
        <w:keepNext w:val="0"/>
        <w:widowControl/>
        <w:spacing w:line="300" w:lineRule="auto" w:before="0" w:after="100"/>
        <w:ind w:left="0" w:right="0" w:firstLine="0"/>
        <w:snapToGrid w:val="0"/>
        <w:jc w:val="left"/>
        <w:keepLines/>
      </w:pPr>
      <w:r>
        <w:rPr>
          <w:rFonts w:ascii="仿宋" w:hAnsi="仿宋" w:eastAsia="仿宋"/>
          <w:b w:val="0"/>
          <w:color w:val="000000"/>
          <w:sz w:val="28"/>
        </w:rPr>
        <w:t>[10] KUCHAR J K, YANG L C. A review of conflict detection and resolution modeling methods[J]. IEEE Transactions on Intelligent Transportation Systems, 2000, 1(4): 179-189. DOI: 10.1109/6979.898217.</w:t>
      </w:r>
    </w:p>
    <w:p>
      <w:pPr>
        <w:keepNext w:val="0"/>
        <w:widowControl/>
        <w:spacing w:line="300" w:lineRule="auto" w:before="0" w:after="100"/>
        <w:ind w:left="0" w:right="0" w:firstLine="0"/>
        <w:snapToGrid w:val="0"/>
        <w:jc w:val="left"/>
        <w:keepLines/>
      </w:pPr>
      <w:r>
        <w:rPr>
          <w:rFonts w:ascii="仿宋" w:hAnsi="仿宋" w:eastAsia="仿宋"/>
          <w:b w:val="0"/>
          <w:color w:val="000000"/>
          <w:sz w:val="28"/>
        </w:rPr>
        <w:t>[11] PHILLIPS M, LIKHACHEV M. SIPP: Safe interval path planning for dynamic environments[C]//2011 IEEE International Conference on Robotics and Automation. 2011: 5628-5635. DOI: 10.1109/ICRA.2011.5980306.</w:t>
      </w:r>
    </w:p>
    <w:p>
      <w:pPr>
        <w:keepNext w:val="0"/>
        <w:widowControl/>
        <w:spacing w:line="300" w:lineRule="auto" w:before="0" w:after="100"/>
        <w:ind w:left="0" w:right="0" w:firstLine="0"/>
        <w:snapToGrid w:val="0"/>
        <w:jc w:val="left"/>
        <w:keepLines/>
      </w:pPr>
      <w:r>
        <w:rPr>
          <w:rFonts w:ascii="仿宋" w:hAnsi="仿宋" w:eastAsia="仿宋"/>
          <w:b w:val="0"/>
          <w:color w:val="000000"/>
          <w:sz w:val="28"/>
        </w:rPr>
        <w:t>[12] SHARON G, STERN R, FELNER A, et al. Conflict-based search for optimal multi-agent pathfinding[J]. Artificial Intelligence, 2015, 219: 40-66. DOI: 10.1016/j.artint.2014.11.006.</w:t>
      </w:r>
    </w:p>
    <w:p>
      <w:pPr>
        <w:pStyle w:val="2"/>
        <w:keepNext/>
        <w:pageBreakBefore/>
        <w:widowControl/>
        <w:spacing w:line="300" w:lineRule="auto" w:before="180" w:after="120"/>
        <w:ind w:left="0" w:right="0" w:firstLine="0"/>
        <w:snapToGrid w:val="0"/>
        <w:jc w:val="both"/>
      </w:pPr>
      <w:r>
        <w:rPr>
          <w:rFonts w:ascii="宋体" w:hAnsi="宋体" w:eastAsia="宋体"/>
          <w:b/>
          <w:color w:val="000000"/>
          <w:sz w:val="28"/>
        </w:rPr>
        <w:t>附录A 代码与复现索引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以下路径均以配套Python项目根目录为起点。报告引用的运行数据来自results/safety，截图来自docs/images；新增地图编辑能力的核验见tests及docs/验证记录.md。报告制作未重写保存的实验数据。</w:t>
      </w:r>
    </w:p>
    <w:p>
      <w:pPr>
        <w:keepNext/>
        <w:widowControl/>
        <w:spacing w:line="300" w:lineRule="auto" w:before="0" w:after="100"/>
        <w:ind w:left="0" w:right="0" w:firstLine="0"/>
        <w:snapToGrid w:val="0"/>
        <w:jc w:val="center"/>
      </w:pPr>
      <w:r>
        <w:rPr>
          <w:rFonts w:ascii="仿宋" w:hAnsi="仿宋" w:eastAsia="仿宋"/>
          <w:b w:val="0"/>
          <w:color w:val="000000"/>
          <w:sz w:val="28"/>
        </w:rPr>
        <w:t>表A1 程序与证据文件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742"/>
        <w:gridCol w:w="4564"/>
      </w:tblGrid>
      <w:tr>
        <w:trPr>
          <w:cantSplit/>
          <w:tblHeader/>
        </w:trPr>
        <w:tc>
          <w:tcPr>
            <w:tcW w:type="dxa" w:w="3742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  <w:shd w:fill="F0F2F5"/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/>
                <w:color w:val="000000"/>
                <w:sz w:val="28"/>
              </w:rPr>
              <w:t>相对路径</w:t>
            </w:r>
          </w:p>
        </w:tc>
        <w:tc>
          <w:tcPr>
            <w:tcW w:type="dxa" w:w="4564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  <w:shd w:fill="F0F2F5"/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/>
                <w:color w:val="000000"/>
                <w:sz w:val="28"/>
              </w:rPr>
              <w:t>内容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run.py</w:t>
            </w:r>
          </w:p>
        </w:tc>
        <w:tc>
          <w:tcPr>
            <w:tcW w:type="dxa" w:w="4564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桌面、单次、批量与配对实验入口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engine.py</w:t>
            </w:r>
          </w:p>
        </w:tc>
        <w:tc>
          <w:tcPr>
            <w:tcW w:type="dxa" w:w="4564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场景、风险、A*、场站评分、任务调度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airspace.py</w:t>
            </w:r>
          </w:p>
        </w:tc>
        <w:tc>
          <w:tcPr>
            <w:tcW w:type="dxa" w:w="4564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分段航迹及连续时间间距审计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image_map.py</w:t>
            </w:r>
          </w:p>
        </w:tc>
        <w:tc>
          <w:tcPr>
            <w:tcW w:type="dxa" w:w="4564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本地建筑候选提取与底图处理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map_document.py</w:t>
            </w:r>
          </w:p>
        </w:tc>
        <w:tc>
          <w:tcPr>
            <w:tcW w:type="dxa" w:w="4564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组件事务、校验、定标、撤销重做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map_editor.py</w:t>
            </w:r>
          </w:p>
        </w:tc>
        <w:tc>
          <w:tcPr>
            <w:tcW w:type="dxa" w:w="4564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可视化地图编辑和手动楼高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map_import.py</w:t>
            </w:r>
          </w:p>
        </w:tc>
        <w:tc>
          <w:tcPr>
            <w:tcW w:type="dxa" w:w="4564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Excel/JSON导入与字段定位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app.py、ui.py、display.py</w:t>
            </w:r>
          </w:p>
        </w:tc>
        <w:tc>
          <w:tcPr>
            <w:tcW w:type="dxa" w:w="4564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界面、回放、高DPI与地图绘制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reporting.py、study.py</w:t>
            </w:r>
          </w:p>
        </w:tc>
        <w:tc>
          <w:tcPr>
            <w:tcW w:type="dxa" w:w="4564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导出、配对差值及统计报告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tests/</w:t>
            </w:r>
          </w:p>
        </w:tc>
        <w:tc>
          <w:tcPr>
            <w:tcW w:type="dxa" w:w="4564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41项自动核验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data/demo_scene.json</w:t>
            </w:r>
          </w:p>
        </w:tc>
        <w:tc>
          <w:tcPr>
            <w:tcW w:type="dxa" w:w="4564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本报告模拟场景输入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results/safety/</w:t>
            </w:r>
          </w:p>
        </w:tc>
        <w:tc>
          <w:tcPr>
            <w:tcW w:type="dxa" w:w="4564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原始、汇总、配对表与30份运行JSON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docs/验证记录.md</w:t>
            </w:r>
          </w:p>
        </w:tc>
        <w:tc>
          <w:tcPr>
            <w:tcW w:type="dxa" w:w="4564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桌面与高DPI历史检查记录</w:t>
            </w:r>
          </w:p>
        </w:tc>
      </w:tr>
      <w:tr>
        <w:trPr>
          <w:cantSplit/>
        </w:trPr>
        <w:tc>
          <w:tcPr>
            <w:tcW w:type="dxa" w:w="3742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matlab/analyze_results.m</w:t>
            </w:r>
          </w:p>
        </w:tc>
        <w:tc>
          <w:tcPr>
            <w:tcW w:type="dxa" w:w="4564"/>
            <w:vAlign w:val="center"/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left"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可选分析脚本，尚未实际运行验证</w:t>
            </w:r>
          </w:p>
        </w:tc>
      </w:tr>
    </w:tbl>
    <w:p>
      <w:pPr>
        <w:spacing w:after="60" w:line="20" w:lineRule="exact"/>
      </w:pPr>
      <w:r>
        <w:rPr>
          <w:rFonts w:ascii="仿宋" w:hAnsi="仿宋" w:eastAsia="仿宋"/>
          <w:b w:val="0"/>
          <w:color w:val="000000"/>
          <w:sz w:val="2"/>
        </w:rPr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在项目目录运行下列命令。为保留本报告证据，重新运行实验时使用新的输出目录results/report_reproduction；该目录可与results/safety逐项比较。测试不修改实验结果。</w:t>
      </w:r>
    </w:p>
    <w:p>
      <w:pPr>
        <w:keepNext/>
        <w:widowControl/>
        <w:spacing w:line="264" w:lineRule="auto" w:before="0" w:after="100"/>
        <w:ind w:left="0" w:right="0" w:firstLine="0"/>
        <w:snapToGrid w:val="0"/>
        <w:jc w:val="left"/>
      </w:pPr>
      <w:r>
        <w:rPr>
          <w:rFonts w:ascii="仿宋" w:hAnsi="仿宋" w:eastAsia="仿宋"/>
          <w:b w:val="0"/>
          <w:color w:val="000000"/>
          <w:sz w:val="28"/>
        </w:rPr>
        <w:t>python run.py</w:t>
      </w:r>
    </w:p>
    <w:p>
      <w:pPr>
        <w:keepNext/>
        <w:widowControl/>
        <w:spacing w:line="264" w:lineRule="auto" w:before="0" w:after="100"/>
        <w:ind w:left="0" w:right="0" w:firstLine="0"/>
        <w:snapToGrid w:val="0"/>
        <w:jc w:val="left"/>
      </w:pPr>
      <w:r>
        <w:rPr>
          <w:rFonts w:ascii="仿宋" w:hAnsi="仿宋" w:eastAsia="仿宋"/>
          <w:b w:val="0"/>
          <w:color w:val="000000"/>
          <w:sz w:val="28"/>
        </w:rPr>
        <w:t>python -m unittest discover -s tests -v</w:t>
      </w:r>
    </w:p>
    <w:p>
      <w:pPr>
        <w:keepNext/>
        <w:widowControl/>
        <w:spacing w:line="264" w:lineRule="auto" w:before="0" w:after="100"/>
        <w:ind w:left="0" w:right="0" w:firstLine="0"/>
        <w:snapToGrid w:val="0"/>
        <w:jc w:val="left"/>
      </w:pPr>
      <w:r>
        <w:rPr>
          <w:rFonts w:ascii="仿宋" w:hAnsi="仿宋" w:eastAsia="仿宋"/>
          <w:b w:val="0"/>
          <w:color w:val="000000"/>
          <w:sz w:val="28"/>
        </w:rPr>
        <w:t>python run.py --mode safety `</w:t>
      </w:r>
    </w:p>
    <w:p>
      <w:pPr>
        <w:keepNext/>
        <w:widowControl/>
        <w:spacing w:line="264" w:lineRule="auto" w:before="0" w:after="100"/>
        <w:ind w:left="0" w:right="0" w:firstLine="0"/>
        <w:snapToGrid w:val="0"/>
        <w:jc w:val="left"/>
      </w:pPr>
      <w:r>
        <w:rPr>
          <w:rFonts w:ascii="仿宋" w:hAnsi="仿宋" w:eastAsia="仿宋"/>
          <w:b w:val="0"/>
          <w:color w:val="000000"/>
          <w:sz w:val="28"/>
        </w:rPr>
        <w:t xml:space="preserve">  --scene data/demo_scene.json `</w:t>
      </w:r>
    </w:p>
    <w:p>
      <w:pPr>
        <w:keepNext w:val="0"/>
        <w:widowControl/>
        <w:spacing w:line="264" w:lineRule="auto" w:before="0" w:after="100"/>
        <w:ind w:left="0" w:right="0" w:firstLine="0"/>
        <w:snapToGrid w:val="0"/>
        <w:jc w:val="left"/>
      </w:pPr>
      <w:r>
        <w:rPr>
          <w:rFonts w:ascii="仿宋" w:hAnsi="仿宋" w:eastAsia="仿宋"/>
          <w:b w:val="0"/>
          <w:color w:val="000000"/>
          <w:sz w:val="28"/>
        </w:rPr>
        <w:t xml:space="preserve">  --output results/report_reproduction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单次导出包含result.json、comparison.csv、jobs.csv、failed.csv、conflicts.csv、map.svg和comparison.svg。配对实验保存90条运行指标、45条配对记录和30份JSON，每份JSON中包含3种布局。summary.csv每个指标均有有效运行数、均值和样本标准差。</w:t>
      </w:r>
    </w:p>
    <w:p>
      <w:pPr>
        <w:keepNext/>
        <w:widowControl/>
        <w:spacing w:line="300" w:lineRule="auto" w:before="0" w:after="100"/>
        <w:ind w:left="0" w:right="0" w:firstLine="0"/>
        <w:snapToGrid w:val="0"/>
        <w:jc w:val="center"/>
      </w:pPr>
      <w:r>
        <w:rPr>
          <w:rFonts w:ascii="仿宋" w:hAnsi="仿宋" w:eastAsia="仿宋"/>
          <w:b w:val="0"/>
          <w:color w:val="000000"/>
          <w:sz w:val="28"/>
        </w:rPr>
        <w:t>表A2 报告所用文件的SHA256校验值</w:t>
      </w:r>
    </w:p>
    <w:tbl>
      <w:tblPr>
        <w:tblW w:type="dxa" w:w="805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Ind w:w="0" w:type="dxa"/>
      </w:tblPr>
      <w:tblGrid>
        <w:gridCol w:w="3288"/>
        <w:gridCol w:w="4762"/>
      </w:tblGrid>
      <w:tr>
        <w:trPr>
          <w:cantSplit/>
          <w:tblHeader/>
        </w:trPr>
        <w:tc>
          <w:tcPr>
            <w:tcW w:type="dxa" w:w="3288"/>
            <w:vAlign w:val="center"/>
            <w:tcMar>
              <w:top w:w="75" w:type="dxa"/>
              <w:bottom w:w="75" w:type="dxa"/>
              <w:left w:w="60" w:type="dxa"/>
              <w:right w:w="60" w:type="dxa"/>
            </w:tcMar>
            <w:shd w:fill="F0F2F5"/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center"/>
              <w:keepLines/>
            </w:pPr>
            <w:r>
              <w:rPr>
                <w:rFonts w:ascii="仿宋" w:hAnsi="仿宋" w:eastAsia="仿宋"/>
                <w:b/>
                <w:color w:val="000000"/>
                <w:sz w:val="28"/>
              </w:rPr>
              <w:t>文件</w:t>
            </w:r>
          </w:p>
        </w:tc>
        <w:tc>
          <w:tcPr>
            <w:tcW w:type="dxa" w:w="4762"/>
            <w:vAlign w:val="center"/>
            <w:tcMar>
              <w:top w:w="75" w:type="dxa"/>
              <w:bottom w:w="75" w:type="dxa"/>
              <w:left w:w="60" w:type="dxa"/>
              <w:right w:w="60" w:type="dxa"/>
            </w:tcMar>
            <w:shd w:fill="F0F2F5"/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center"/>
              <w:keepLines/>
            </w:pPr>
            <w:r>
              <w:rPr>
                <w:rFonts w:ascii="仿宋" w:hAnsi="仿宋" w:eastAsia="仿宋"/>
                <w:b/>
                <w:color w:val="000000"/>
                <w:sz w:val="28"/>
              </w:rPr>
              <w:t>SHA256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Mar>
              <w:top w:w="75" w:type="dxa"/>
              <w:bottom w:w="75" w:type="dxa"/>
              <w:left w:w="60" w:type="dxa"/>
              <w:right w:w="60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center"/>
              <w:keepLines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data/</w:t>
              <w:br/>
              <w:t>demo_scene.json</w:t>
            </w:r>
          </w:p>
        </w:tc>
        <w:tc>
          <w:tcPr>
            <w:tcW w:type="dxa" w:w="4762"/>
            <w:vAlign w:val="center"/>
            <w:tcMar>
              <w:top w:w="75" w:type="dxa"/>
              <w:bottom w:w="75" w:type="dxa"/>
              <w:left w:w="60" w:type="dxa"/>
              <w:right w:w="60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center"/>
              <w:keepLines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f7334c3edcadbc67587a8af390037d42</w:t>
              <w:br/>
              <w:t>8c0b4b93d65e7262d9bff3ffb4201e38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Mar>
              <w:top w:w="75" w:type="dxa"/>
              <w:bottom w:w="75" w:type="dxa"/>
              <w:left w:w="60" w:type="dxa"/>
              <w:right w:w="60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center"/>
              <w:keepLines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results/</w:t>
              <w:br/>
              <w:t>safety/</w:t>
              <w:br/>
              <w:t>manifest.json</w:t>
            </w:r>
          </w:p>
        </w:tc>
        <w:tc>
          <w:tcPr>
            <w:tcW w:type="dxa" w:w="4762"/>
            <w:vAlign w:val="center"/>
            <w:tcMar>
              <w:top w:w="75" w:type="dxa"/>
              <w:bottom w:w="75" w:type="dxa"/>
              <w:left w:w="60" w:type="dxa"/>
              <w:right w:w="60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center"/>
              <w:keepLines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c12eb439409264138601d44c1fb9afbf</w:t>
              <w:br/>
              <w:t>2632a7ecca655caee49fe7399392f1ab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Mar>
              <w:top w:w="75" w:type="dxa"/>
              <w:bottom w:w="75" w:type="dxa"/>
              <w:left w:w="60" w:type="dxa"/>
              <w:right w:w="60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center"/>
              <w:keepLines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results/</w:t>
              <w:br/>
              <w:t>safety/</w:t>
              <w:br/>
              <w:t>raw_metrics.csv</w:t>
            </w:r>
          </w:p>
        </w:tc>
        <w:tc>
          <w:tcPr>
            <w:tcW w:type="dxa" w:w="4762"/>
            <w:vAlign w:val="center"/>
            <w:tcMar>
              <w:top w:w="75" w:type="dxa"/>
              <w:bottom w:w="75" w:type="dxa"/>
              <w:left w:w="60" w:type="dxa"/>
              <w:right w:w="60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center"/>
              <w:keepLines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4f3f5b1cdfb0a7f3777f3b1fa0c97762</w:t>
              <w:br/>
              <w:t>1e76e9e1524163097949b0e83574e2b4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Mar>
              <w:top w:w="75" w:type="dxa"/>
              <w:bottom w:w="75" w:type="dxa"/>
              <w:left w:w="60" w:type="dxa"/>
              <w:right w:w="60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center"/>
              <w:keepLines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results/</w:t>
              <w:br/>
              <w:t>safety/</w:t>
              <w:br/>
              <w:t>paired_comparison.csv</w:t>
            </w:r>
          </w:p>
        </w:tc>
        <w:tc>
          <w:tcPr>
            <w:tcW w:type="dxa" w:w="4762"/>
            <w:vAlign w:val="center"/>
            <w:tcMar>
              <w:top w:w="75" w:type="dxa"/>
              <w:bottom w:w="75" w:type="dxa"/>
              <w:left w:w="60" w:type="dxa"/>
              <w:right w:w="60" w:type="dxa"/>
            </w:tcMar>
          </w:tcPr>
          <w:p>
            <w:pPr>
              <w:keepNext/>
              <w:widowControl/>
              <w:spacing w:line="252" w:lineRule="auto" w:before="20" w:after="20"/>
              <w:ind w:left="0" w:right="0" w:firstLine="0"/>
              <w:snapToGrid w:val="0"/>
              <w:jc w:val="center"/>
              <w:keepLines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985b1634f259b02ac5c1d25d1faffd78</w:t>
              <w:br/>
              <w:t>c2161b2ddbeef3edab7b6ba5791314a7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Mar>
              <w:top w:w="75" w:type="dxa"/>
              <w:bottom w:w="75" w:type="dxa"/>
              <w:left w:w="60" w:type="dxa"/>
              <w:right w:w="60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center"/>
              <w:keepLines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results/</w:t>
              <w:br/>
              <w:t>safety/</w:t>
              <w:br/>
              <w:t>summary.csv</w:t>
            </w:r>
          </w:p>
        </w:tc>
        <w:tc>
          <w:tcPr>
            <w:tcW w:type="dxa" w:w="4762"/>
            <w:vAlign w:val="center"/>
            <w:tcMar>
              <w:top w:w="75" w:type="dxa"/>
              <w:bottom w:w="75" w:type="dxa"/>
              <w:left w:w="60" w:type="dxa"/>
              <w:right w:w="60" w:type="dxa"/>
            </w:tcMar>
          </w:tcPr>
          <w:p>
            <w:pPr>
              <w:keepNext w:val="0"/>
              <w:widowControl/>
              <w:spacing w:line="252" w:lineRule="auto" w:before="20" w:after="20"/>
              <w:ind w:left="0" w:right="0" w:firstLine="0"/>
              <w:snapToGrid w:val="0"/>
              <w:jc w:val="center"/>
              <w:keepLines/>
            </w:pPr>
            <w:r>
              <w:rPr>
                <w:rFonts w:ascii="仿宋" w:hAnsi="仿宋" w:eastAsia="仿宋"/>
                <w:b w:val="0"/>
                <w:color w:val="000000"/>
                <w:sz w:val="28"/>
              </w:rPr>
              <w:t>8fbbd3db56106c0a6f945e3ee17a3d2b</w:t>
              <w:br/>
              <w:t>6690134940654661f31832a933e70b52</w:t>
            </w:r>
          </w:p>
        </w:tc>
      </w:tr>
    </w:tbl>
    <w:p>
      <w:pPr>
        <w:spacing w:after="60" w:line="20" w:lineRule="exact"/>
      </w:pPr>
      <w:r>
        <w:rPr>
          <w:rFonts w:ascii="仿宋" w:hAnsi="仿宋" w:eastAsia="仿宋"/>
          <w:b w:val="0"/>
          <w:color w:val="000000"/>
          <w:sz w:val="2"/>
        </w:rPr>
      </w:r>
    </w:p>
    <w:p>
      <w:pPr>
        <w:widowControl/>
        <w:spacing w:line="300" w:lineRule="auto" w:before="0" w:after="100"/>
        <w:ind w:left="0" w:right="0" w:firstLine="0"/>
        <w:snapToGrid w:val="0"/>
        <w:jc w:val="left"/>
      </w:pPr>
      <w:r>
        <w:rPr>
          <w:rFonts w:ascii="仿宋" w:hAnsi="仿宋" w:eastAsia="仿宋"/>
          <w:b w:val="0"/>
          <w:color w:val="000000"/>
          <w:sz w:val="28"/>
        </w:rPr>
        <w:t>注：路径在“/”后换行，SHA256值按32位分行；校验时按顺序拼接，不包含换行。</w:t>
      </w:r>
    </w:p>
    <w:p>
      <w:pPr>
        <w:pStyle w:val="2"/>
        <w:keepNext/>
        <w:pageBreakBefore/>
        <w:widowControl/>
        <w:spacing w:line="300" w:lineRule="auto" w:before="180" w:after="120"/>
        <w:ind w:left="0" w:right="0" w:firstLine="0"/>
        <w:snapToGrid w:val="0"/>
        <w:jc w:val="both"/>
      </w:pPr>
      <w:r>
        <w:rPr>
          <w:rFonts w:ascii="宋体" w:hAnsi="宋体" w:eastAsia="宋体"/>
          <w:b/>
          <w:color w:val="000000"/>
          <w:sz w:val="28"/>
        </w:rPr>
        <w:t>附录B 人工智能辅助使用说明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本项目使用OpenAI Codex/ChatGPT开展生成式人工智能辅助工作，涉及选题与模型讨论、Python程序和测试脚本编写及修改、界面和地图编辑功能迭代、说明文字整理、报告初稿、表格排版及图表制作。报告的模型说明、结果分析和总结段落为AI辅助整理内容，应由参赛团队结合代码与原始结果审核后采用。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both"/>
      </w:pPr>
      <w:r>
        <w:rPr>
          <w:rFonts w:ascii="仿宋" w:hAnsi="仿宋" w:eastAsia="仿宋"/>
          <w:b w:val="0"/>
          <w:color w:val="000000"/>
          <w:sz w:val="28"/>
        </w:rPr>
        <w:t>实验表格和统计图读取已保存的CSV生成，界面图片为程序运行截图，未使用生成式图片冒充地图、实验现象或真实飞行记录。数据均为模拟输入；没有生成参赛人员、单位、联系方式、手写签名、实际测绘数据、专利或论文成果。</w:t>
      </w:r>
    </w:p>
    <w:p>
      <w:pPr>
        <w:keepNext w:val="0"/>
        <w:widowControl/>
        <w:spacing w:line="300" w:lineRule="auto" w:before="0" w:after="100"/>
        <w:ind w:left="0" w:right="0" w:firstLine="560"/>
        <w:snapToGrid w:val="0"/>
        <w:jc w:val="left"/>
      </w:pPr>
      <w:r>
        <w:rPr>
          <w:rFonts w:ascii="仿宋" w:hAnsi="仿宋" w:eastAsia="仿宋"/>
          <w:b w:val="0"/>
          <w:color w:val="000000"/>
          <w:sz w:val="28"/>
        </w:rPr>
        <w:t>AI辅助不能替代参赛者对原创性、数据真实性、软件许可和结论的责任。参赛团队应依据官网《参赛指南》（https://www.siac.net.cn/article/2）及《竞赛诚信规范手册》（https://www.siac.net.cn/article/26）核对允许的使用范围，如实补充个人实际工作、审核与修改记录，并在正式提交前完成模型理解、数据核查和承诺书手写签署。</w:t>
      </w:r>
    </w:p>
    <w:sectPr>
      <w:headerReference r:id="rId3" w:type="default"/>
      <w:footerReference w:type="default" r:id="rId15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KSOFE44F9426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仿宋" w:hAnsi="仿宋" w:eastAsia="仿宋"/>
        <w:b w:val="0"/>
        <w:color w:val="000000"/>
        <w:sz w:val="24"/>
      </w:rPr>
    </w:r>
    <w:fldSimple w:instr="PAGE"/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010891">
    <w:pPr>
      <w:pStyle w:val="9"/>
      <w:rPr>
        <w:rFonts w:hint="eastAsia"/>
      </w:rPr>
    </w:pPr>
    <w:r>
      <w:rPr>
        <w:rFonts w:hint="eastAsia"/>
      </w:rPr>
      <w:drawing>
        <wp:inline distT="0" distB="0" distL="0" distR="0">
          <wp:extent cx="2266950" cy="603250"/>
          <wp:effectExtent l="0" t="0" r="0" b="6350"/>
          <wp:docPr id="5" name="图片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323187" cy="6188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7531D53"/>
    <w:multiLevelType w:val="multilevel"/>
    <w:tmpl w:val="07531D53"/>
    <w:lvl w:ilvl="0" w:tentative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zdkMTI0ZjNhYTUwYTA1ODk5MTBlMDMwY2U1ZTM4NTYifQ=="/>
  </w:docVars>
  <w:rsids>
    <w:rsidRoot w:val="00B10653"/>
    <w:rsid w:val="00006FD4"/>
    <w:rsid w:val="0005374B"/>
    <w:rsid w:val="00064E5E"/>
    <w:rsid w:val="00067911"/>
    <w:rsid w:val="000A0080"/>
    <w:rsid w:val="000A5209"/>
    <w:rsid w:val="000A5297"/>
    <w:rsid w:val="000B3C38"/>
    <w:rsid w:val="000D2FCE"/>
    <w:rsid w:val="000D51CB"/>
    <w:rsid w:val="000E149A"/>
    <w:rsid w:val="000F1D0C"/>
    <w:rsid w:val="000F420E"/>
    <w:rsid w:val="001113A4"/>
    <w:rsid w:val="0012182E"/>
    <w:rsid w:val="00132EBA"/>
    <w:rsid w:val="00136F37"/>
    <w:rsid w:val="001401C9"/>
    <w:rsid w:val="00147912"/>
    <w:rsid w:val="00161796"/>
    <w:rsid w:val="00187107"/>
    <w:rsid w:val="0018796D"/>
    <w:rsid w:val="001D6F2F"/>
    <w:rsid w:val="001E0F52"/>
    <w:rsid w:val="002018B5"/>
    <w:rsid w:val="0022634B"/>
    <w:rsid w:val="00226F37"/>
    <w:rsid w:val="002611A1"/>
    <w:rsid w:val="0026124D"/>
    <w:rsid w:val="00267F67"/>
    <w:rsid w:val="002759B2"/>
    <w:rsid w:val="00282CDF"/>
    <w:rsid w:val="00287247"/>
    <w:rsid w:val="00293277"/>
    <w:rsid w:val="00296D76"/>
    <w:rsid w:val="002C04C0"/>
    <w:rsid w:val="002C6CDE"/>
    <w:rsid w:val="002E197E"/>
    <w:rsid w:val="002F0106"/>
    <w:rsid w:val="002F6A9C"/>
    <w:rsid w:val="003175DD"/>
    <w:rsid w:val="00335367"/>
    <w:rsid w:val="0034066F"/>
    <w:rsid w:val="00345DCD"/>
    <w:rsid w:val="0035766F"/>
    <w:rsid w:val="00395CE2"/>
    <w:rsid w:val="003B63E9"/>
    <w:rsid w:val="003C140B"/>
    <w:rsid w:val="003C6AD2"/>
    <w:rsid w:val="003D5FF5"/>
    <w:rsid w:val="00400696"/>
    <w:rsid w:val="00404906"/>
    <w:rsid w:val="00437510"/>
    <w:rsid w:val="00437AAC"/>
    <w:rsid w:val="00440E29"/>
    <w:rsid w:val="00467CAC"/>
    <w:rsid w:val="004938CE"/>
    <w:rsid w:val="004A4C3C"/>
    <w:rsid w:val="004B57FC"/>
    <w:rsid w:val="004C77B9"/>
    <w:rsid w:val="004D005A"/>
    <w:rsid w:val="004E469E"/>
    <w:rsid w:val="005150D0"/>
    <w:rsid w:val="0052704D"/>
    <w:rsid w:val="00540568"/>
    <w:rsid w:val="00545D44"/>
    <w:rsid w:val="00552963"/>
    <w:rsid w:val="005662E5"/>
    <w:rsid w:val="005725CD"/>
    <w:rsid w:val="00574C8B"/>
    <w:rsid w:val="005C37AC"/>
    <w:rsid w:val="005D1B19"/>
    <w:rsid w:val="005D2979"/>
    <w:rsid w:val="005D7026"/>
    <w:rsid w:val="005D7F76"/>
    <w:rsid w:val="005E0A76"/>
    <w:rsid w:val="005F1C90"/>
    <w:rsid w:val="00604D16"/>
    <w:rsid w:val="00642447"/>
    <w:rsid w:val="00642E7C"/>
    <w:rsid w:val="00642EBD"/>
    <w:rsid w:val="006804DA"/>
    <w:rsid w:val="00687737"/>
    <w:rsid w:val="0068799C"/>
    <w:rsid w:val="00690D99"/>
    <w:rsid w:val="00691A0A"/>
    <w:rsid w:val="006E567F"/>
    <w:rsid w:val="006F20F7"/>
    <w:rsid w:val="007522E8"/>
    <w:rsid w:val="00761A13"/>
    <w:rsid w:val="007809A4"/>
    <w:rsid w:val="007D3F80"/>
    <w:rsid w:val="007E7B81"/>
    <w:rsid w:val="007F651F"/>
    <w:rsid w:val="00803048"/>
    <w:rsid w:val="00803E8F"/>
    <w:rsid w:val="00807369"/>
    <w:rsid w:val="00811666"/>
    <w:rsid w:val="00845D00"/>
    <w:rsid w:val="0086643D"/>
    <w:rsid w:val="0087067A"/>
    <w:rsid w:val="00876C02"/>
    <w:rsid w:val="008A02C1"/>
    <w:rsid w:val="008B6589"/>
    <w:rsid w:val="009072BF"/>
    <w:rsid w:val="00932481"/>
    <w:rsid w:val="00944897"/>
    <w:rsid w:val="009474CC"/>
    <w:rsid w:val="0095264D"/>
    <w:rsid w:val="009875A7"/>
    <w:rsid w:val="009E409B"/>
    <w:rsid w:val="009F3F21"/>
    <w:rsid w:val="009F6450"/>
    <w:rsid w:val="009F67FB"/>
    <w:rsid w:val="00A22AEB"/>
    <w:rsid w:val="00A335AC"/>
    <w:rsid w:val="00A74CAF"/>
    <w:rsid w:val="00AA0448"/>
    <w:rsid w:val="00AA2EAD"/>
    <w:rsid w:val="00AC3AC5"/>
    <w:rsid w:val="00AC4892"/>
    <w:rsid w:val="00AD006F"/>
    <w:rsid w:val="00AF0533"/>
    <w:rsid w:val="00B10653"/>
    <w:rsid w:val="00B20B6C"/>
    <w:rsid w:val="00B30D1F"/>
    <w:rsid w:val="00B43583"/>
    <w:rsid w:val="00B45002"/>
    <w:rsid w:val="00B544D3"/>
    <w:rsid w:val="00B546FD"/>
    <w:rsid w:val="00B62411"/>
    <w:rsid w:val="00B8295E"/>
    <w:rsid w:val="00BA0DDE"/>
    <w:rsid w:val="00BA1C48"/>
    <w:rsid w:val="00BA360D"/>
    <w:rsid w:val="00BC1330"/>
    <w:rsid w:val="00BD1B53"/>
    <w:rsid w:val="00BD56EC"/>
    <w:rsid w:val="00BD5E46"/>
    <w:rsid w:val="00BD7155"/>
    <w:rsid w:val="00BE03D3"/>
    <w:rsid w:val="00BE0A6C"/>
    <w:rsid w:val="00BE286C"/>
    <w:rsid w:val="00BE43D0"/>
    <w:rsid w:val="00BF06E6"/>
    <w:rsid w:val="00C00A2B"/>
    <w:rsid w:val="00C0758D"/>
    <w:rsid w:val="00C16429"/>
    <w:rsid w:val="00C27A14"/>
    <w:rsid w:val="00C60BDF"/>
    <w:rsid w:val="00C6495B"/>
    <w:rsid w:val="00CA79A0"/>
    <w:rsid w:val="00CB35F2"/>
    <w:rsid w:val="00CB57C2"/>
    <w:rsid w:val="00CC12D9"/>
    <w:rsid w:val="00CE4A1A"/>
    <w:rsid w:val="00D0682E"/>
    <w:rsid w:val="00D26748"/>
    <w:rsid w:val="00D30682"/>
    <w:rsid w:val="00D335AF"/>
    <w:rsid w:val="00D45289"/>
    <w:rsid w:val="00D7789E"/>
    <w:rsid w:val="00D96F8F"/>
    <w:rsid w:val="00DB146D"/>
    <w:rsid w:val="00DC699A"/>
    <w:rsid w:val="00DD3149"/>
    <w:rsid w:val="00DE3E5A"/>
    <w:rsid w:val="00DE7D88"/>
    <w:rsid w:val="00DF1CF6"/>
    <w:rsid w:val="00E11D60"/>
    <w:rsid w:val="00E13438"/>
    <w:rsid w:val="00E406C0"/>
    <w:rsid w:val="00E43DAE"/>
    <w:rsid w:val="00E46A8E"/>
    <w:rsid w:val="00E5753B"/>
    <w:rsid w:val="00E81010"/>
    <w:rsid w:val="00E91054"/>
    <w:rsid w:val="00EA2A43"/>
    <w:rsid w:val="00EA763E"/>
    <w:rsid w:val="00EB22C3"/>
    <w:rsid w:val="00EB33B4"/>
    <w:rsid w:val="00EB5E58"/>
    <w:rsid w:val="00EC1DC4"/>
    <w:rsid w:val="00EE48D4"/>
    <w:rsid w:val="00EF4FCD"/>
    <w:rsid w:val="00F07BC5"/>
    <w:rsid w:val="00F51E76"/>
    <w:rsid w:val="00F70435"/>
    <w:rsid w:val="00F729C1"/>
    <w:rsid w:val="00F771CD"/>
    <w:rsid w:val="00F85152"/>
    <w:rsid w:val="00FA1F4D"/>
    <w:rsid w:val="00FB15A6"/>
    <w:rsid w:val="00FC5D41"/>
    <w:rsid w:val="00FE03D5"/>
    <w:rsid w:val="00FF08B9"/>
    <w:rsid w:val="00FF1542"/>
    <w:rsid w:val="0CD07CA1"/>
    <w:rsid w:val="0D1B79F7"/>
    <w:rsid w:val="1AE25F33"/>
    <w:rsid w:val="4AA668FD"/>
    <w:rsid w:val="527C159A"/>
    <w:rsid w:val="53290F44"/>
    <w:rsid w:val="691150EF"/>
    <w:rsid w:val="6D797B10"/>
    <w:rsid w:val="6FCD47E0"/>
    <w:rsid w:val="709B4B23"/>
    <w:rsid w:val="7ED74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qFormat="1" w:uiPriority="99" w:semiHidden="0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  <w:snapToGrid w:val="0"/>
    </w:pPr>
    <w:rPr>
      <w:rFonts w:ascii="仿宋" w:hAnsi="仿宋" w:eastAsia="仿宋" w:cs="Times New Roman"/>
      <w:color w:val="000000"/>
      <w:kern w:val="2"/>
      <w:sz w:val="28"/>
      <w:szCs w:val="22"/>
      <w:lang w:val="en-US" w:eastAsia="zh-CN" w:bidi="ar-SA"/>
    </w:rPr>
  </w:style>
  <w:style w:type="paragraph" w:styleId="2">
    <w:name w:val="heading 1"/>
    <w:basedOn w:val="1"/>
    <w:next w:val="1"/>
    <w:link w:val="25"/>
    <w:qFormat/>
    <w:uiPriority w:val="0"/>
    <w:pPr>
      <w:keepNext/>
      <w:keepLines/>
      <w:ind w:left="420" w:hanging="420"/>
      <w:outlineLvl w:val="0"/>
    </w:pPr>
    <w:rPr>
      <w:rFonts w:ascii="Times New Roman" w:hAnsi="Times New Roman" w:eastAsia="宋体"/>
      <w:b/>
      <w:color w:val="000000"/>
      <w:kern w:val="44"/>
      <w:sz w:val="30"/>
    </w:rPr>
  </w:style>
  <w:style w:type="paragraph" w:styleId="3">
    <w:name w:val="heading 2"/>
    <w:basedOn w:val="1"/>
    <w:next w:val="1"/>
    <w:link w:val="26"/>
    <w:unhideWhenUsed/>
    <w:qFormat/>
    <w:uiPriority w:val="9"/>
    <w:pPr>
      <w:keepNext/>
      <w:keepLines/>
      <w:spacing w:before="60" w:after="60" w:line="415" w:lineRule="auto"/>
      <w:outlineLvl w:val="1"/>
    </w:pPr>
    <w:rPr>
      <w:rFonts w:eastAsia="宋体" w:asciiTheme="majorHAnsi" w:hAnsiTheme="majorHAnsi" w:cstheme="majorBidi"/>
      <w:b/>
      <w:bCs/>
      <w:color w:val="000000"/>
      <w:sz w:val="24"/>
      <w:szCs w:val="32"/>
    </w:rPr>
  </w:style>
  <w:style w:type="paragraph" w:styleId="4">
    <w:name w:val="heading 3"/>
    <w:basedOn w:val="1"/>
    <w:next w:val="1"/>
    <w:link w:val="27"/>
    <w:unhideWhenUsed/>
    <w:qFormat/>
    <w:uiPriority w:val="9"/>
    <w:pPr>
      <w:keepNext/>
      <w:keepLines/>
      <w:spacing w:before="260" w:after="260" w:line="416" w:lineRule="auto"/>
      <w:outlineLvl w:val="2"/>
    </w:pPr>
    <w:rPr>
      <w:rFonts w:ascii="Times New Roman" w:hAnsi="Times New Roman" w:eastAsia="宋体"/>
      <w:b/>
      <w:bCs/>
      <w:color w:val="000000"/>
      <w:sz w:val="28"/>
      <w:szCs w:val="32"/>
    </w:rPr>
  </w:style>
  <w:style w:type="character" w:default="1" w:styleId="18">
    <w:name w:val="Default Paragraph Font"/>
    <w:unhideWhenUsed/>
    <w:uiPriority w:val="1"/>
  </w:style>
  <w:style w:type="table" w:default="1" w:styleId="1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caption"/>
    <w:basedOn w:val="1"/>
    <w:next w:val="1"/>
    <w:unhideWhenUsed/>
    <w:qFormat/>
    <w:uiPriority w:val="35"/>
    <w:rPr>
      <w:rFonts w:ascii="等线 Light" w:hAnsi="等线 Light" w:eastAsia="黑体"/>
      <w:sz w:val="20"/>
      <w:szCs w:val="20"/>
    </w:rPr>
  </w:style>
  <w:style w:type="paragraph" w:styleId="6">
    <w:name w:val="annotation text"/>
    <w:basedOn w:val="1"/>
    <w:link w:val="29"/>
    <w:unhideWhenUsed/>
    <w:qFormat/>
    <w:uiPriority w:val="99"/>
    <w:pPr>
      <w:jc w:val="left"/>
    </w:pPr>
  </w:style>
  <w:style w:type="paragraph" w:styleId="7">
    <w:name w:val="toc 3"/>
    <w:basedOn w:val="1"/>
    <w:next w:val="1"/>
    <w:unhideWhenUsed/>
    <w:qFormat/>
    <w:uiPriority w:val="39"/>
    <w:pPr>
      <w:ind w:left="840" w:leftChars="400"/>
    </w:pPr>
  </w:style>
  <w:style w:type="paragraph" w:styleId="8">
    <w:name w:val="footer"/>
    <w:basedOn w:val="1"/>
    <w:link w:val="23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9">
    <w:name w:val="header"/>
    <w:basedOn w:val="1"/>
    <w:link w:val="22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Theme="minorHAnsi" w:hAnsiTheme="minorHAnsi" w:eastAsiaTheme="minorEastAsia" w:cstheme="minorBidi"/>
      <w:sz w:val="18"/>
      <w:szCs w:val="18"/>
    </w:rPr>
  </w:style>
  <w:style w:type="paragraph" w:styleId="10">
    <w:name w:val="toc 1"/>
    <w:basedOn w:val="1"/>
    <w:next w:val="1"/>
    <w:unhideWhenUsed/>
    <w:qFormat/>
    <w:uiPriority w:val="39"/>
    <w:pPr>
      <w:tabs>
        <w:tab w:val="right" w:leader="dot" w:pos="8296"/>
      </w:tabs>
      <w:spacing w:before="156" w:beforeLines="50" w:line="300" w:lineRule="auto"/>
    </w:pPr>
    <w:rPr>
      <w:rFonts w:ascii="Times New Roman" w:hAnsi="Times New Roman" w:eastAsia="宋体"/>
      <w:b/>
      <w:bCs/>
      <w:sz w:val="24"/>
      <w:szCs w:val="24"/>
    </w:rPr>
  </w:style>
  <w:style w:type="paragraph" w:styleId="11">
    <w:name w:val="footnote text"/>
    <w:basedOn w:val="1"/>
    <w:link w:val="32"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paragraph" w:styleId="12">
    <w:name w:val="toc 2"/>
    <w:basedOn w:val="1"/>
    <w:next w:val="1"/>
    <w:unhideWhenUsed/>
    <w:qFormat/>
    <w:uiPriority w:val="39"/>
    <w:pPr>
      <w:tabs>
        <w:tab w:val="right" w:leader="dot" w:pos="8296"/>
      </w:tabs>
      <w:ind w:left="420" w:leftChars="200"/>
    </w:pPr>
    <w:rPr>
      <w:rFonts w:ascii="宋体" w:hAnsi="宋体" w:eastAsia="宋体"/>
      <w:sz w:val="24"/>
      <w:szCs w:val="24"/>
    </w:rPr>
  </w:style>
  <w:style w:type="paragraph" w:styleId="13">
    <w:name w:val="Normal (Web)"/>
    <w:basedOn w:val="1"/>
    <w:semiHidden/>
    <w:unhideWhenUsed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paragraph" w:styleId="14">
    <w:name w:val="Title"/>
    <w:basedOn w:val="1"/>
    <w:next w:val="1"/>
    <w:link w:val="24"/>
    <w:qFormat/>
    <w:uiPriority w:val="0"/>
    <w:pPr>
      <w:spacing w:before="240" w:after="60"/>
      <w:jc w:val="center"/>
      <w:outlineLvl w:val="0"/>
    </w:pPr>
    <w:rPr>
      <w:rFonts w:asciiTheme="majorHAnsi" w:hAnsiTheme="majorHAnsi" w:eastAsiaTheme="majorEastAsia" w:cstheme="majorBidi" w:eastAsia="宋体"/>
      <w:b/>
      <w:bCs/>
      <w:color w:val="000000"/>
      <w:sz w:val="32"/>
      <w:szCs w:val="32"/>
    </w:rPr>
  </w:style>
  <w:style w:type="paragraph" w:styleId="15">
    <w:name w:val="annotation subject"/>
    <w:basedOn w:val="6"/>
    <w:next w:val="6"/>
    <w:link w:val="30"/>
    <w:semiHidden/>
    <w:unhideWhenUsed/>
    <w:uiPriority w:val="99"/>
    <w:rPr>
      <w:b/>
      <w:bCs/>
    </w:rPr>
  </w:style>
  <w:style w:type="table" w:styleId="17">
    <w:name w:val="Table Grid"/>
    <w:basedOn w:val="16"/>
    <w:qFormat/>
    <w:uiPriority w:val="39"/>
    <w:rPr>
      <w:rFonts w:ascii="等线" w:hAnsi="等线" w:eastAsia="等线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9">
    <w:name w:val="Hyperlink"/>
    <w:unhideWhenUsed/>
    <w:uiPriority w:val="99"/>
    <w:rPr>
      <w:color w:val="0563C1"/>
      <w:u w:val="single"/>
    </w:rPr>
  </w:style>
  <w:style w:type="character" w:styleId="20">
    <w:name w:val="annotation reference"/>
    <w:semiHidden/>
    <w:unhideWhenUsed/>
    <w:uiPriority w:val="99"/>
    <w:rPr>
      <w:sz w:val="21"/>
      <w:szCs w:val="21"/>
    </w:rPr>
  </w:style>
  <w:style w:type="character" w:styleId="21">
    <w:name w:val="footnote reference"/>
    <w:semiHidden/>
    <w:unhideWhenUsed/>
    <w:qFormat/>
    <w:uiPriority w:val="99"/>
    <w:rPr>
      <w:vertAlign w:val="superscript"/>
    </w:rPr>
  </w:style>
  <w:style w:type="character" w:customStyle="1" w:styleId="22">
    <w:name w:val="页眉 字符"/>
    <w:basedOn w:val="18"/>
    <w:link w:val="9"/>
    <w:qFormat/>
    <w:uiPriority w:val="99"/>
    <w:rPr>
      <w:sz w:val="18"/>
      <w:szCs w:val="18"/>
    </w:rPr>
  </w:style>
  <w:style w:type="character" w:customStyle="1" w:styleId="23">
    <w:name w:val="页脚 字符"/>
    <w:basedOn w:val="18"/>
    <w:link w:val="8"/>
    <w:qFormat/>
    <w:uiPriority w:val="99"/>
    <w:rPr>
      <w:sz w:val="18"/>
      <w:szCs w:val="18"/>
    </w:rPr>
  </w:style>
  <w:style w:type="character" w:customStyle="1" w:styleId="24">
    <w:name w:val="标题 字符"/>
    <w:basedOn w:val="18"/>
    <w:link w:val="14"/>
    <w:qFormat/>
    <w:uiPriority w:val="0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25">
    <w:name w:val="标题 1 字符"/>
    <w:basedOn w:val="18"/>
    <w:link w:val="2"/>
    <w:uiPriority w:val="0"/>
    <w:rPr>
      <w:rFonts w:ascii="Times New Roman" w:hAnsi="Times New Roman" w:eastAsia="宋体" w:cs="Times New Roman"/>
      <w:b/>
      <w:kern w:val="44"/>
      <w:sz w:val="30"/>
    </w:rPr>
  </w:style>
  <w:style w:type="character" w:customStyle="1" w:styleId="26">
    <w:name w:val="标题 2 字符"/>
    <w:basedOn w:val="18"/>
    <w:link w:val="3"/>
    <w:uiPriority w:val="9"/>
    <w:rPr>
      <w:rFonts w:eastAsia="宋体" w:asciiTheme="majorHAnsi" w:hAnsiTheme="majorHAnsi" w:cstheme="majorBidi"/>
      <w:b/>
      <w:bCs/>
      <w:sz w:val="24"/>
      <w:szCs w:val="32"/>
    </w:rPr>
  </w:style>
  <w:style w:type="character" w:customStyle="1" w:styleId="27">
    <w:name w:val="标题 3 字符"/>
    <w:basedOn w:val="18"/>
    <w:link w:val="4"/>
    <w:uiPriority w:val="9"/>
    <w:rPr>
      <w:rFonts w:ascii="Times New Roman" w:hAnsi="Times New Roman" w:eastAsia="宋体" w:cs="Times New Roman"/>
      <w:b/>
      <w:bCs/>
      <w:sz w:val="28"/>
      <w:szCs w:val="32"/>
    </w:rPr>
  </w:style>
  <w:style w:type="character" w:styleId="28">
    <w:name w:val="Placeholder Text"/>
    <w:semiHidden/>
    <w:uiPriority w:val="99"/>
    <w:rPr>
      <w:color w:val="808080"/>
    </w:rPr>
  </w:style>
  <w:style w:type="character" w:customStyle="1" w:styleId="29">
    <w:name w:val="批注文字 字符"/>
    <w:basedOn w:val="18"/>
    <w:link w:val="6"/>
    <w:qFormat/>
    <w:uiPriority w:val="99"/>
    <w:rPr>
      <w:rFonts w:ascii="等线" w:hAnsi="等线" w:eastAsia="等线" w:cs="Times New Roman"/>
    </w:rPr>
  </w:style>
  <w:style w:type="character" w:customStyle="1" w:styleId="30">
    <w:name w:val="批注主题 字符"/>
    <w:basedOn w:val="29"/>
    <w:link w:val="15"/>
    <w:semiHidden/>
    <w:uiPriority w:val="99"/>
    <w:rPr>
      <w:rFonts w:ascii="等线" w:hAnsi="等线" w:eastAsia="等线" w:cs="Times New Roman"/>
      <w:b/>
      <w:bCs/>
    </w:rPr>
  </w:style>
  <w:style w:type="paragraph" w:customStyle="1" w:styleId="31">
    <w:name w:val="TOC 标题1"/>
    <w:basedOn w:val="2"/>
    <w:next w:val="1"/>
    <w:unhideWhenUsed/>
    <w:qFormat/>
    <w:uiPriority w:val="39"/>
    <w:pPr>
      <w:widowControl/>
      <w:spacing w:before="240" w:line="259" w:lineRule="auto"/>
      <w:ind w:left="0" w:firstLine="0"/>
      <w:jc w:val="left"/>
      <w:outlineLvl w:val="9"/>
    </w:pPr>
    <w:rPr>
      <w:rFonts w:ascii="等线 Light" w:hAnsi="等线 Light" w:eastAsia="等线 Light"/>
      <w:b w:val="0"/>
      <w:color w:val="2F5496"/>
      <w:kern w:val="0"/>
      <w:sz w:val="32"/>
      <w:szCs w:val="32"/>
    </w:rPr>
  </w:style>
  <w:style w:type="character" w:customStyle="1" w:styleId="32">
    <w:name w:val="脚注文本 字符"/>
    <w:basedOn w:val="18"/>
    <w:link w:val="11"/>
    <w:semiHidden/>
    <w:qFormat/>
    <w:uiPriority w:val="99"/>
    <w:rPr>
      <w:rFonts w:ascii="等线" w:hAnsi="等线" w:eastAsia="等线" w:cs="Times New Roman"/>
      <w:sz w:val="18"/>
      <w:szCs w:val="18"/>
    </w:rPr>
  </w:style>
  <w:style w:type="paragraph" w:customStyle="1" w:styleId="BodyText">
    <w:name w:val="Body Text"/>
    <w:basedOn w:val="1"/>
    <w:pPr>
      <w:snapToGrid w:val="0"/>
    </w:pPr>
    <w:rPr>
      <w:rFonts w:ascii="仿宋" w:hAnsi="仿宋" w:eastAsia="仿宋"/>
      <w:color w:val="000000"/>
      <w:sz w:val="28"/>
    </w:rPr>
  </w:style>
  <w:style w:type="paragraph" w:customStyle="1" w:styleId="FrontMatterHeading">
    <w:name w:val="Front Matter Heading"/>
    <w:basedOn w:val="1"/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C88C08-D0D8-46BD-BE50-A7EF9AD4997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68</Words>
  <Characters>71</Characters>
  <Lines>2</Lines>
  <Paragraphs>1</Paragraphs>
  <TotalTime>60</TotalTime>
  <ScaleCrop>false</ScaleCrop>
  <LinksUpToDate>false</LinksUpToDate>
  <CharactersWithSpaces>225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2022-11-16T02:33:00Z</dcterms:created>
  <dc:creator/>
  <cp:lastModifiedBy/>
  <dcterms:modified xsi:type="dcterms:W3CDTF">2026-10-07T00:38:11Z</dcterms:modified>
  <cp:revision>176</cp:revision>
  <dc:title>面向园区末端配送的低空风险仿真与起降场选址系统</dc:title>
  <dc:subject>中国仿真创新应用大赛作品设计方案</dc:subject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D6B36C5074F146338EB8A1C9BA1A1A22</vt:lpwstr>
  </property>
  <property fmtid="{D5CDD505-2E9C-101B-9397-08002B2CF9AE}" pid="4" name="KSOTemplateDocerSaveRecord">
    <vt:lpwstr>eyJoZGlkIjoiNTU0ZmIwYTQ3NzlmZGUxZmU3Zjk0M2IyZTNmM2IxNjAiLCJ1c2VySWQiOiIxNTYxNDU5MDkyIn0=</vt:lpwstr>
  </property>
</Properties>
</file>