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0596" w14:textId="77777777" w:rsidR="00D34A12" w:rsidRDefault="00D34A12" w:rsidP="00D34A12">
      <w:pPr>
        <w:spacing w:line="480" w:lineRule="auto"/>
        <w:ind w:firstLine="720"/>
        <w:jc w:val="center"/>
        <w:rPr>
          <w:b/>
          <w:bCs/>
          <w:sz w:val="40"/>
          <w:szCs w:val="40"/>
        </w:rPr>
      </w:pPr>
      <w:r w:rsidRPr="00F726C5">
        <w:rPr>
          <w:b/>
          <w:bCs/>
          <w:sz w:val="40"/>
          <w:szCs w:val="40"/>
        </w:rPr>
        <w:t>Title Page</w:t>
      </w:r>
    </w:p>
    <w:p w14:paraId="1ABC0BC9" w14:textId="156C024F" w:rsidR="00D34A12" w:rsidRPr="00D34A12" w:rsidRDefault="00D34A12" w:rsidP="00D34A12">
      <w:pPr>
        <w:ind w:left="2160" w:hanging="2160"/>
        <w:rPr>
          <w:b/>
          <w:bCs/>
          <w:sz w:val="40"/>
          <w:szCs w:val="40"/>
        </w:rPr>
      </w:pPr>
      <w:r w:rsidRPr="00F726C5">
        <w:rPr>
          <w:b/>
          <w:bCs/>
          <w:sz w:val="36"/>
          <w:szCs w:val="36"/>
        </w:rPr>
        <w:t>Topic:</w:t>
      </w:r>
      <w:r>
        <w:rPr>
          <w:b/>
          <w:bCs/>
          <w:sz w:val="36"/>
          <w:szCs w:val="36"/>
        </w:rPr>
        <w:tab/>
      </w:r>
      <w:r w:rsidRPr="00D34A12">
        <w:rPr>
          <w:b/>
          <w:bCs/>
          <w:color w:val="000000"/>
          <w:sz w:val="36"/>
          <w:szCs w:val="36"/>
          <w:shd w:val="clear" w:color="auto" w:fill="FFFFFF"/>
        </w:rPr>
        <w:t>Business Analytics Project Overview Report</w:t>
      </w:r>
      <w:r w:rsidRPr="00D34A12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D34A12">
        <w:rPr>
          <w:b/>
          <w:bCs/>
          <w:i/>
          <w:iCs/>
          <w:sz w:val="36"/>
          <w:szCs w:val="36"/>
        </w:rPr>
        <w:t xml:space="preserve">Insider Fraud </w:t>
      </w:r>
      <w:proofErr w:type="gramStart"/>
      <w:r>
        <w:rPr>
          <w:b/>
          <w:bCs/>
          <w:i/>
          <w:iCs/>
          <w:sz w:val="36"/>
          <w:szCs w:val="36"/>
        </w:rPr>
        <w:t>And</w:t>
      </w:r>
      <w:proofErr w:type="gramEnd"/>
      <w:r w:rsidRPr="00D34A12">
        <w:rPr>
          <w:b/>
          <w:bCs/>
          <w:i/>
          <w:iCs/>
          <w:sz w:val="36"/>
          <w:szCs w:val="36"/>
        </w:rPr>
        <w:t xml:space="preserve"> Anomaly Detection in Retail Banking Transactions</w:t>
      </w:r>
    </w:p>
    <w:p w14:paraId="20502EBB" w14:textId="3B1CE73A" w:rsidR="00D34A12" w:rsidRPr="00D34A12" w:rsidRDefault="00D34A12" w:rsidP="00D34A12">
      <w:pPr>
        <w:rPr>
          <w:b/>
          <w:bCs/>
          <w:i/>
          <w:iCs/>
          <w:sz w:val="36"/>
          <w:szCs w:val="36"/>
        </w:rPr>
      </w:pPr>
    </w:p>
    <w:p w14:paraId="3F1D8237" w14:textId="77777777" w:rsidR="00D34A12" w:rsidRPr="00F726C5" w:rsidRDefault="00D34A12" w:rsidP="00D34A12">
      <w:pPr>
        <w:spacing w:line="480" w:lineRule="auto"/>
        <w:rPr>
          <w:b/>
          <w:bCs/>
          <w:sz w:val="36"/>
          <w:szCs w:val="36"/>
        </w:rPr>
      </w:pPr>
    </w:p>
    <w:p w14:paraId="6A19605A" w14:textId="33575CB2" w:rsidR="00D34A12" w:rsidRDefault="00D34A12" w:rsidP="00D34A12">
      <w:pPr>
        <w:spacing w:line="480" w:lineRule="auto"/>
        <w:rPr>
          <w:b/>
          <w:bCs/>
          <w:sz w:val="36"/>
          <w:szCs w:val="36"/>
        </w:rPr>
      </w:pPr>
      <w:r w:rsidRPr="00F726C5">
        <w:rPr>
          <w:b/>
          <w:bCs/>
          <w:sz w:val="36"/>
          <w:szCs w:val="36"/>
        </w:rPr>
        <w:t>By:</w:t>
      </w:r>
      <w:r w:rsidRPr="00F726C5">
        <w:rPr>
          <w:b/>
          <w:bCs/>
          <w:sz w:val="36"/>
          <w:szCs w:val="36"/>
        </w:rPr>
        <w:tab/>
      </w:r>
      <w:r w:rsidRPr="00F726C5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F726C5">
        <w:rPr>
          <w:b/>
          <w:bCs/>
          <w:sz w:val="36"/>
          <w:szCs w:val="36"/>
        </w:rPr>
        <w:t>Okoh Chigozie Christiana</w:t>
      </w:r>
      <w:r w:rsidRPr="00F726C5">
        <w:rPr>
          <w:b/>
          <w:bCs/>
          <w:sz w:val="36"/>
          <w:szCs w:val="36"/>
        </w:rPr>
        <w:br/>
      </w:r>
      <w:r w:rsidRPr="00F726C5">
        <w:rPr>
          <w:b/>
          <w:bCs/>
          <w:sz w:val="36"/>
          <w:szCs w:val="36"/>
        </w:rPr>
        <w:br/>
        <w:t>Course:</w:t>
      </w:r>
      <w:r>
        <w:rPr>
          <w:b/>
          <w:bCs/>
          <w:sz w:val="36"/>
          <w:szCs w:val="36"/>
        </w:rPr>
        <w:tab/>
      </w:r>
      <w:r w:rsidRPr="00F726C5">
        <w:rPr>
          <w:b/>
          <w:bCs/>
          <w:sz w:val="36"/>
          <w:szCs w:val="36"/>
        </w:rPr>
        <w:tab/>
        <w:t>BAN</w:t>
      </w:r>
      <w:r>
        <w:rPr>
          <w:b/>
          <w:bCs/>
          <w:sz w:val="36"/>
          <w:szCs w:val="36"/>
        </w:rPr>
        <w:t>6800</w:t>
      </w:r>
      <w:r w:rsidRPr="00F726C5">
        <w:rPr>
          <w:b/>
          <w:bCs/>
          <w:sz w:val="36"/>
          <w:szCs w:val="36"/>
        </w:rPr>
        <w:br/>
      </w:r>
      <w:r w:rsidRPr="00F726C5">
        <w:rPr>
          <w:b/>
          <w:bCs/>
          <w:sz w:val="36"/>
          <w:szCs w:val="36"/>
        </w:rPr>
        <w:br/>
        <w:t>Date:</w:t>
      </w:r>
      <w:r w:rsidRPr="00F726C5">
        <w:rPr>
          <w:b/>
          <w:bCs/>
          <w:sz w:val="36"/>
          <w:szCs w:val="36"/>
        </w:rPr>
        <w:tab/>
      </w:r>
      <w:r w:rsidRPr="00F726C5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September</w:t>
      </w:r>
      <w:r w:rsidRPr="00F726C5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4th</w:t>
      </w:r>
      <w:r w:rsidRPr="00F726C5">
        <w:rPr>
          <w:b/>
          <w:bCs/>
          <w:sz w:val="36"/>
          <w:szCs w:val="36"/>
        </w:rPr>
        <w:t>, 2026.</w:t>
      </w:r>
    </w:p>
    <w:p w14:paraId="1CDE5DF7" w14:textId="77777777" w:rsidR="00D34A12" w:rsidRDefault="00D34A12" w:rsidP="00D34A12">
      <w:pPr>
        <w:spacing w:line="480" w:lineRule="auto"/>
        <w:rPr>
          <w:b/>
          <w:bCs/>
          <w:sz w:val="36"/>
          <w:szCs w:val="36"/>
        </w:rPr>
      </w:pPr>
    </w:p>
    <w:p w14:paraId="169C76C6" w14:textId="77777777" w:rsidR="00D34A12" w:rsidRPr="00880FBA" w:rsidRDefault="00D34A12" w:rsidP="00D34A12">
      <w:pPr>
        <w:spacing w:line="480" w:lineRule="auto"/>
        <w:rPr>
          <w:b/>
          <w:bCs/>
          <w:color w:val="000000" w:themeColor="text1"/>
          <w:sz w:val="36"/>
          <w:szCs w:val="36"/>
        </w:rPr>
      </w:pPr>
    </w:p>
    <w:p w14:paraId="1C0D84BE" w14:textId="77777777" w:rsidR="00880FBA" w:rsidRPr="00880FBA" w:rsidRDefault="00880FBA" w:rsidP="00880FBA">
      <w:pPr>
        <w:pStyle w:val="Heading1"/>
        <w:spacing w:before="220" w:after="100" w:line="480" w:lineRule="auto"/>
        <w:rPr>
          <w:color w:val="000000" w:themeColor="text1"/>
        </w:rPr>
      </w:pPr>
      <w:r w:rsidRPr="00880FB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1. Define the Business Problem</w:t>
      </w:r>
    </w:p>
    <w:p w14:paraId="4DAA1DF3" w14:textId="5D724764" w:rsidR="00880FBA" w:rsidRPr="00880FBA" w:rsidRDefault="00880FBA" w:rsidP="00880FBA">
      <w:pPr>
        <w:spacing w:after="180" w:line="480" w:lineRule="auto"/>
        <w:jc w:val="both"/>
        <w:rPr>
          <w:color w:val="000000" w:themeColor="text1"/>
        </w:rPr>
      </w:pPr>
      <w:r w:rsidRPr="00880FBA">
        <w:rPr>
          <w:color w:val="000000" w:themeColor="text1"/>
          <w:sz w:val="24"/>
          <w:szCs w:val="24"/>
        </w:rPr>
        <w:t xml:space="preserve">Core issue: </w:t>
      </w:r>
      <w:r>
        <w:rPr>
          <w:color w:val="000000" w:themeColor="text1"/>
          <w:sz w:val="24"/>
          <w:szCs w:val="24"/>
        </w:rPr>
        <w:t>M</w:t>
      </w:r>
      <w:r w:rsidRPr="00880FBA">
        <w:rPr>
          <w:color w:val="000000" w:themeColor="text1"/>
          <w:sz w:val="24"/>
          <w:szCs w:val="24"/>
        </w:rPr>
        <w:t xml:space="preserve">id-sized Nigerian retail banks detect insider and social-engineering-driven fraud primarily through manual reconciliation and static rule-based flagging, rather than continuous, model-driven anomaly detection, </w:t>
      </w:r>
      <w:r>
        <w:rPr>
          <w:color w:val="000000" w:themeColor="text1"/>
          <w:sz w:val="24"/>
          <w:szCs w:val="24"/>
        </w:rPr>
        <w:t xml:space="preserve">this leaves them relying on methods that do not target </w:t>
      </w:r>
      <w:r w:rsidRPr="00880FBA">
        <w:rPr>
          <w:color w:val="000000" w:themeColor="text1"/>
          <w:sz w:val="24"/>
          <w:szCs w:val="24"/>
        </w:rPr>
        <w:t>the fraud technique NIBSS (2026) identifies as most prevalent in the sector.</w:t>
      </w:r>
    </w:p>
    <w:p w14:paraId="69A7032C" w14:textId="77777777" w:rsidR="00880FBA" w:rsidRDefault="00880FBA" w:rsidP="00880FBA">
      <w:pPr>
        <w:spacing w:after="180" w:line="480" w:lineRule="auto"/>
        <w:jc w:val="both"/>
        <w:rPr>
          <w:color w:val="000000" w:themeColor="text1"/>
          <w:sz w:val="24"/>
          <w:szCs w:val="24"/>
        </w:rPr>
      </w:pPr>
      <w:r w:rsidRPr="00880FBA">
        <w:rPr>
          <w:color w:val="000000" w:themeColor="text1"/>
          <w:sz w:val="24"/>
          <w:szCs w:val="24"/>
        </w:rPr>
        <w:t xml:space="preserve">Applying the define → gather data → </w:t>
      </w:r>
      <w:proofErr w:type="spellStart"/>
      <w:r w:rsidRPr="00880FBA">
        <w:rPr>
          <w:color w:val="000000" w:themeColor="text1"/>
          <w:sz w:val="24"/>
          <w:szCs w:val="24"/>
        </w:rPr>
        <w:t>analyze</w:t>
      </w:r>
      <w:proofErr w:type="spellEnd"/>
      <w:r w:rsidRPr="00880FBA">
        <w:rPr>
          <w:color w:val="000000" w:themeColor="text1"/>
          <w:sz w:val="24"/>
          <w:szCs w:val="24"/>
        </w:rPr>
        <w:t xml:space="preserve"> → root cause → objectives framework: </w:t>
      </w:r>
      <w:r>
        <w:rPr>
          <w:color w:val="000000" w:themeColor="text1"/>
          <w:sz w:val="24"/>
          <w:szCs w:val="24"/>
        </w:rPr>
        <w:t>T</w:t>
      </w:r>
      <w:r w:rsidRPr="00880FBA">
        <w:rPr>
          <w:color w:val="000000" w:themeColor="text1"/>
          <w:sz w:val="24"/>
          <w:szCs w:val="24"/>
        </w:rPr>
        <w:t xml:space="preserve">he problem was defined in the Module 1 Vision Document (Okoh, 2026a) as a detection capability gap. Data gathering draws on the Credit Card Fraud Detection dataset (284,807 real </w:t>
      </w:r>
      <w:r w:rsidRPr="00880FBA">
        <w:rPr>
          <w:color w:val="000000" w:themeColor="text1"/>
          <w:sz w:val="24"/>
          <w:szCs w:val="24"/>
        </w:rPr>
        <w:lastRenderedPageBreak/>
        <w:t xml:space="preserve">transactions; Kaggle, 2018) for </w:t>
      </w:r>
      <w:proofErr w:type="spellStart"/>
      <w:r w:rsidRPr="00880FBA">
        <w:rPr>
          <w:color w:val="000000" w:themeColor="text1"/>
          <w:sz w:val="24"/>
          <w:szCs w:val="24"/>
        </w:rPr>
        <w:t>modeling</w:t>
      </w:r>
      <w:proofErr w:type="spellEnd"/>
      <w:r w:rsidRPr="00880FBA">
        <w:rPr>
          <w:color w:val="000000" w:themeColor="text1"/>
          <w:sz w:val="24"/>
          <w:szCs w:val="24"/>
        </w:rPr>
        <w:t xml:space="preserve">, and on published NIBSS/CBN industry statistics for organizational context. </w:t>
      </w:r>
    </w:p>
    <w:p w14:paraId="124BE492" w14:textId="26606889" w:rsidR="00880FBA" w:rsidRPr="00880FBA" w:rsidRDefault="00880FBA" w:rsidP="00880FBA">
      <w:pPr>
        <w:spacing w:after="180" w:line="480" w:lineRule="auto"/>
        <w:jc w:val="both"/>
        <w:rPr>
          <w:color w:val="000000" w:themeColor="text1"/>
        </w:rPr>
      </w:pPr>
      <w:r w:rsidRPr="00880FBA">
        <w:rPr>
          <w:color w:val="000000" w:themeColor="text1"/>
          <w:sz w:val="24"/>
          <w:szCs w:val="24"/>
        </w:rPr>
        <w:t>Analysis and root cause identification are conducted in Section 2 below. The resulting objectives, precision, recall, and triage-time targets</w:t>
      </w:r>
      <w:r w:rsidR="00196F60">
        <w:rPr>
          <w:color w:val="000000" w:themeColor="text1"/>
          <w:sz w:val="24"/>
          <w:szCs w:val="24"/>
        </w:rPr>
        <w:t xml:space="preserve"> </w:t>
      </w:r>
      <w:r w:rsidRPr="00880FBA">
        <w:rPr>
          <w:color w:val="000000" w:themeColor="text1"/>
          <w:sz w:val="24"/>
          <w:szCs w:val="24"/>
        </w:rPr>
        <w:t>carry forward unchanged from the measurable goals set in Module 1, since this plan operationalizes that vision rather than replacing it.</w:t>
      </w:r>
    </w:p>
    <w:p w14:paraId="048C8118" w14:textId="77777777" w:rsidR="00880FBA" w:rsidRPr="00880FBA" w:rsidRDefault="00880FBA" w:rsidP="00196F60">
      <w:pPr>
        <w:pStyle w:val="Heading1"/>
        <w:spacing w:before="220" w:after="100" w:line="480" w:lineRule="auto"/>
        <w:rPr>
          <w:color w:val="000000" w:themeColor="text1"/>
        </w:rPr>
      </w:pPr>
      <w:r w:rsidRPr="00880FB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2. Root Cause Analysis</w:t>
      </w:r>
    </w:p>
    <w:p w14:paraId="1D413735" w14:textId="77777777" w:rsidR="00880FBA" w:rsidRPr="00880FBA" w:rsidRDefault="00880FBA" w:rsidP="00196F60">
      <w:pPr>
        <w:pStyle w:val="Heading2"/>
        <w:spacing w:before="140" w:after="70" w:line="480" w:lineRule="auto"/>
        <w:rPr>
          <w:color w:val="000000" w:themeColor="text1"/>
        </w:rPr>
      </w:pPr>
      <w:r w:rsidRPr="00880FB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5 Whys</w:t>
      </w:r>
    </w:p>
    <w:p w14:paraId="3766037E" w14:textId="77777777" w:rsidR="00196F60" w:rsidRPr="00196F60" w:rsidRDefault="00880FBA" w:rsidP="00196F60">
      <w:pPr>
        <w:pStyle w:val="ListParagraph"/>
        <w:numPr>
          <w:ilvl w:val="0"/>
          <w:numId w:val="1"/>
        </w:numPr>
        <w:spacing w:after="60" w:line="340" w:lineRule="auto"/>
        <w:contextualSpacing w:val="0"/>
      </w:pPr>
      <w:r>
        <w:rPr>
          <w:sz w:val="22"/>
          <w:szCs w:val="22"/>
        </w:rPr>
        <w:t xml:space="preserve">Why does insider fraud go undetected for extended periods? </w:t>
      </w:r>
    </w:p>
    <w:p w14:paraId="69EFBCA6" w14:textId="24038DDC" w:rsidR="00880FBA" w:rsidRDefault="00880FBA" w:rsidP="00196F60">
      <w:pPr>
        <w:pStyle w:val="ListParagraph"/>
        <w:spacing w:after="60" w:line="340" w:lineRule="auto"/>
        <w:contextualSpacing w:val="0"/>
      </w:pPr>
      <w:r>
        <w:rPr>
          <w:sz w:val="22"/>
          <w:szCs w:val="22"/>
        </w:rPr>
        <w:t xml:space="preserve">Detection relies on manual reconciliation and static rule-based flagging, not continuous </w:t>
      </w:r>
      <w:r w:rsidR="00196F60">
        <w:rPr>
          <w:sz w:val="22"/>
          <w:szCs w:val="22"/>
        </w:rPr>
        <w:t>behavioural</w:t>
      </w:r>
      <w:r>
        <w:rPr>
          <w:sz w:val="22"/>
          <w:szCs w:val="22"/>
        </w:rPr>
        <w:t xml:space="preserve"> monitoring.</w:t>
      </w:r>
    </w:p>
    <w:p w14:paraId="38B3D796" w14:textId="77777777" w:rsidR="00196F60" w:rsidRPr="00196F60" w:rsidRDefault="00880FBA" w:rsidP="00196F60">
      <w:pPr>
        <w:pStyle w:val="ListParagraph"/>
        <w:numPr>
          <w:ilvl w:val="0"/>
          <w:numId w:val="1"/>
        </w:numPr>
        <w:spacing w:after="60" w:line="340" w:lineRule="auto"/>
        <w:contextualSpacing w:val="0"/>
      </w:pPr>
      <w:r>
        <w:rPr>
          <w:sz w:val="22"/>
          <w:szCs w:val="22"/>
        </w:rPr>
        <w:t xml:space="preserve">Why does detection rely on manual reconciliation? </w:t>
      </w:r>
    </w:p>
    <w:p w14:paraId="2D2528B0" w14:textId="7B85C59B" w:rsidR="00880FBA" w:rsidRDefault="00880FBA" w:rsidP="00196F60">
      <w:pPr>
        <w:pStyle w:val="ListParagraph"/>
        <w:spacing w:after="60" w:line="340" w:lineRule="auto"/>
        <w:contextualSpacing w:val="0"/>
      </w:pPr>
      <w:r>
        <w:rPr>
          <w:sz w:val="22"/>
          <w:szCs w:val="22"/>
        </w:rPr>
        <w:t xml:space="preserve">Transaction monitoring systems at most mid-sized banks were built to meet regulatory reporting thresholds, not to detect </w:t>
      </w:r>
      <w:r w:rsidR="00196F60">
        <w:rPr>
          <w:sz w:val="22"/>
          <w:szCs w:val="22"/>
        </w:rPr>
        <w:t>behavioural</w:t>
      </w:r>
      <w:r>
        <w:rPr>
          <w:sz w:val="22"/>
          <w:szCs w:val="22"/>
        </w:rPr>
        <w:t xml:space="preserve"> anomalies.</w:t>
      </w:r>
    </w:p>
    <w:p w14:paraId="0E30B6DD" w14:textId="77777777" w:rsidR="00196F60" w:rsidRPr="00196F60" w:rsidRDefault="00880FBA" w:rsidP="00196F60">
      <w:pPr>
        <w:pStyle w:val="ListParagraph"/>
        <w:numPr>
          <w:ilvl w:val="0"/>
          <w:numId w:val="1"/>
        </w:numPr>
        <w:spacing w:after="60" w:line="340" w:lineRule="auto"/>
        <w:contextualSpacing w:val="0"/>
      </w:pPr>
      <w:r>
        <w:rPr>
          <w:sz w:val="22"/>
          <w:szCs w:val="22"/>
        </w:rPr>
        <w:t xml:space="preserve">Why were systems built only to reporting thresholds? </w:t>
      </w:r>
    </w:p>
    <w:p w14:paraId="0596AF7F" w14:textId="64D515AE" w:rsidR="00880FBA" w:rsidRDefault="00880FBA" w:rsidP="00196F60">
      <w:pPr>
        <w:pStyle w:val="ListParagraph"/>
        <w:spacing w:after="60" w:line="340" w:lineRule="auto"/>
        <w:contextualSpacing w:val="0"/>
      </w:pPr>
      <w:r>
        <w:rPr>
          <w:sz w:val="22"/>
          <w:szCs w:val="22"/>
        </w:rPr>
        <w:t>Historical CBN/NIBSS requirements were themselves case</w:t>
      </w:r>
      <w:r w:rsidR="00196F60">
        <w:rPr>
          <w:sz w:val="22"/>
          <w:szCs w:val="22"/>
        </w:rPr>
        <w:t xml:space="preserve">s </w:t>
      </w:r>
      <w:r>
        <w:rPr>
          <w:sz w:val="22"/>
          <w:szCs w:val="22"/>
        </w:rPr>
        <w:t>and threshold-driven rather than proactive-analytics-driven, so institutions built to the compliance minimum.</w:t>
      </w:r>
    </w:p>
    <w:p w14:paraId="66D8F2C3" w14:textId="77777777" w:rsidR="00196F60" w:rsidRPr="00196F60" w:rsidRDefault="00880FBA" w:rsidP="00196F60">
      <w:pPr>
        <w:pStyle w:val="ListParagraph"/>
        <w:numPr>
          <w:ilvl w:val="0"/>
          <w:numId w:val="1"/>
        </w:numPr>
        <w:spacing w:after="60" w:line="340" w:lineRule="auto"/>
        <w:contextualSpacing w:val="0"/>
      </w:pPr>
      <w:r>
        <w:rPr>
          <w:sz w:val="22"/>
          <w:szCs w:val="22"/>
        </w:rPr>
        <w:t xml:space="preserve">Why did institutions under-invest in analytics beyond that minimum? </w:t>
      </w:r>
    </w:p>
    <w:p w14:paraId="00D76086" w14:textId="5DAD9278" w:rsidR="00880FBA" w:rsidRDefault="00880FBA" w:rsidP="00196F60">
      <w:pPr>
        <w:pStyle w:val="ListParagraph"/>
        <w:spacing w:after="60" w:line="340" w:lineRule="auto"/>
        <w:contextualSpacing w:val="0"/>
      </w:pPr>
      <w:r>
        <w:rPr>
          <w:sz w:val="22"/>
          <w:szCs w:val="22"/>
        </w:rPr>
        <w:t>The cost of under-investment was not clearly quantified industry-wide until recently.</w:t>
      </w:r>
    </w:p>
    <w:p w14:paraId="1F2C3D02" w14:textId="77777777" w:rsidR="00196F60" w:rsidRDefault="00880FBA" w:rsidP="00196F60">
      <w:pPr>
        <w:pStyle w:val="ListParagraph"/>
        <w:numPr>
          <w:ilvl w:val="0"/>
          <w:numId w:val="1"/>
        </w:numPr>
        <w:spacing w:after="60" w:line="340" w:lineRule="auto"/>
        <w:contextualSpacing w:val="0"/>
      </w:pPr>
      <w:r>
        <w:rPr>
          <w:sz w:val="22"/>
          <w:szCs w:val="22"/>
        </w:rPr>
        <w:t>Why wasn't that cost quantified earlier? Loss data broken out by specific fraud technique (insider abuse vs. other vectors) was not centrally aggregated and published until NIBSS's 2025/2026</w:t>
      </w:r>
      <w:r w:rsidR="00196F60">
        <w:rPr>
          <w:sz w:val="22"/>
          <w:szCs w:val="22"/>
        </w:rPr>
        <w:t xml:space="preserve"> </w:t>
      </w:r>
      <w:r w:rsidR="00196F60">
        <w:rPr>
          <w:sz w:val="22"/>
          <w:szCs w:val="22"/>
        </w:rPr>
        <w:t>disclosures (NIBSS, 2026), so individual institutions lacked an industry benchmark to justify the investment case internally.</w:t>
      </w:r>
    </w:p>
    <w:p w14:paraId="7F2D278D" w14:textId="42942BAA" w:rsidR="00196F60" w:rsidRDefault="00196F60" w:rsidP="00196F60">
      <w:pPr>
        <w:spacing w:after="180"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Root cause: the absence of </w:t>
      </w:r>
      <w:r>
        <w:rPr>
          <w:sz w:val="24"/>
          <w:szCs w:val="24"/>
        </w:rPr>
        <w:t>behavioural</w:t>
      </w:r>
      <w:r>
        <w:rPr>
          <w:sz w:val="24"/>
          <w:szCs w:val="24"/>
        </w:rPr>
        <w:t>/statistical anomaly detection capability, historically justified by a lack of industry-wide data isolating insider-fraud losses specifically. That data gap has now closed, which is what makes this project's business case timely rather than speculative.</w:t>
      </w:r>
    </w:p>
    <w:p w14:paraId="13BC34B4" w14:textId="5ACFB0A4" w:rsidR="00196F60" w:rsidRPr="00196F60" w:rsidRDefault="00196F60" w:rsidP="00196F60">
      <w:pPr>
        <w:pStyle w:val="Heading2"/>
        <w:spacing w:before="140" w:after="70" w:line="480" w:lineRule="auto"/>
        <w:rPr>
          <w:color w:val="000000" w:themeColor="text1"/>
          <w:sz w:val="28"/>
          <w:szCs w:val="28"/>
        </w:rPr>
      </w:pPr>
      <w:r w:rsidRPr="00196F6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Fishbone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50"/>
      </w:tblGrid>
      <w:tr w:rsidR="00196F60" w14:paraId="580C19DF" w14:textId="77777777" w:rsidTr="00196F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E9B5B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AD438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b/>
                <w:bCs/>
                <w:sz w:val="24"/>
                <w:szCs w:val="24"/>
              </w:rPr>
              <w:t>Contributing Factor</w:t>
            </w:r>
          </w:p>
        </w:tc>
      </w:tr>
      <w:tr w:rsidR="00196F60" w14:paraId="747BB16D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95C52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People</w:t>
            </w:r>
          </w:p>
        </w:tc>
        <w:tc>
          <w:tcPr>
            <w:tcW w:w="7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7AD9A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Detection currently depends on an individual employee noticing a discrepancy during routine work, not a systematic process.</w:t>
            </w:r>
          </w:p>
        </w:tc>
      </w:tr>
      <w:tr w:rsidR="00196F60" w14:paraId="679DBB9B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2A38D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Process</w:t>
            </w:r>
          </w:p>
        </w:tc>
        <w:tc>
          <w:tcPr>
            <w:tcW w:w="7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2EE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Reconciliation is periodic (monthly/quarterly), not continuous, creating a detection lag.</w:t>
            </w:r>
          </w:p>
        </w:tc>
      </w:tr>
      <w:tr w:rsidR="00196F60" w14:paraId="1060AD3A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31D86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Technology</w:t>
            </w:r>
          </w:p>
        </w:tc>
        <w:tc>
          <w:tcPr>
            <w:tcW w:w="7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06CF5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Existing systems are rule-based and threshold-triggered, not model-driven or adaptive.</w:t>
            </w:r>
          </w:p>
        </w:tc>
      </w:tr>
      <w:tr w:rsidR="00196F60" w14:paraId="4E55C640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E242B7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Data / Regulatory</w:t>
            </w:r>
          </w:p>
        </w:tc>
        <w:tc>
          <w:tcPr>
            <w:tcW w:w="7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64C9B" w14:textId="77777777" w:rsidR="00196F60" w:rsidRPr="00196F60" w:rsidRDefault="00196F60" w:rsidP="000167DA">
            <w:pPr>
              <w:rPr>
                <w:sz w:val="24"/>
                <w:szCs w:val="24"/>
              </w:rPr>
            </w:pPr>
            <w:r w:rsidRPr="00196F60">
              <w:rPr>
                <w:sz w:val="24"/>
                <w:szCs w:val="24"/>
              </w:rPr>
              <w:t>Industry-wide loss data by fraud technique was not published until 2025/2026, delaying the investment case.</w:t>
            </w:r>
          </w:p>
        </w:tc>
      </w:tr>
    </w:tbl>
    <w:p w14:paraId="1E6F4270" w14:textId="4E060547" w:rsidR="00196F60" w:rsidRDefault="00196F60" w:rsidP="00196F60">
      <w:pPr>
        <w:jc w:val="both"/>
        <w:rPr>
          <w:sz w:val="24"/>
          <w:szCs w:val="24"/>
        </w:rPr>
      </w:pPr>
      <w:r>
        <w:rPr>
          <w:sz w:val="24"/>
          <w:szCs w:val="24"/>
        </w:rPr>
        <w:t>These findings link directly to the KPIs set in Module 1: precision and recall targets address the Technology gap, and the triage-time KPI directly addresses the Process gap (reconciliation lag) identified above.</w:t>
      </w:r>
    </w:p>
    <w:p w14:paraId="3AFA3231" w14:textId="77777777" w:rsidR="00196F60" w:rsidRDefault="00196F60" w:rsidP="00196F60">
      <w:pPr>
        <w:jc w:val="both"/>
        <w:rPr>
          <w:sz w:val="24"/>
          <w:szCs w:val="24"/>
        </w:rPr>
      </w:pPr>
    </w:p>
    <w:p w14:paraId="40D51A03" w14:textId="77777777" w:rsidR="00196F60" w:rsidRDefault="00196F60" w:rsidP="00196F60">
      <w:pPr>
        <w:jc w:val="both"/>
        <w:rPr>
          <w:sz w:val="24"/>
          <w:szCs w:val="24"/>
        </w:rPr>
      </w:pPr>
    </w:p>
    <w:p w14:paraId="605B7896" w14:textId="77777777" w:rsidR="00196F60" w:rsidRPr="00196F60" w:rsidRDefault="00196F60" w:rsidP="00196F60">
      <w:pPr>
        <w:pStyle w:val="Heading1"/>
        <w:spacing w:before="220" w:after="100" w:line="480" w:lineRule="auto"/>
        <w:rPr>
          <w:color w:val="000000" w:themeColor="text1"/>
        </w:rPr>
      </w:pPr>
      <w:r w:rsidRPr="00196F6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3. Business Analytics Project Overview</w:t>
      </w:r>
    </w:p>
    <w:p w14:paraId="302DF46D" w14:textId="2F3974CB" w:rsidR="00196F60" w:rsidRDefault="00196F60" w:rsidP="00196F60">
      <w:pPr>
        <w:spacing w:after="180" w:line="480" w:lineRule="auto"/>
        <w:jc w:val="both"/>
      </w:pPr>
      <w:r>
        <w:rPr>
          <w:sz w:val="24"/>
          <w:szCs w:val="24"/>
        </w:rPr>
        <w:t xml:space="preserve">Objectives and scope carry forward from Module 1: </w:t>
      </w:r>
      <w:r>
        <w:rPr>
          <w:sz w:val="24"/>
          <w:szCs w:val="24"/>
        </w:rPr>
        <w:t>B</w:t>
      </w:r>
      <w:r>
        <w:rPr>
          <w:sz w:val="24"/>
          <w:szCs w:val="24"/>
        </w:rPr>
        <w:t xml:space="preserve">uild a predictive fraud-probability classifier and a prescriptive investigation-priority queue, evaluated on the ULB Credit Card Fraud dataset, with deliverables limited to a trained model, an explainability layer, a fairness audit, and an analyst-facing dashboard </w:t>
      </w:r>
      <w:proofErr w:type="spellStart"/>
      <w:r>
        <w:rPr>
          <w:sz w:val="24"/>
          <w:szCs w:val="24"/>
        </w:rPr>
        <w:t>mockup</w:t>
      </w:r>
      <w:proofErr w:type="spellEnd"/>
      <w:r>
        <w:rPr>
          <w:sz w:val="24"/>
          <w:szCs w:val="24"/>
        </w:rPr>
        <w:t xml:space="preserve">, not a live production deployment. Data types and sources are detailed in the accompanying Data Dictionary (see submission files): the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dataset itself, plus a documented schema for the production data types (core banking feed, KYC metadata, device metadata) a real deployment would require.</w:t>
      </w:r>
    </w:p>
    <w:p w14:paraId="6E06BC95" w14:textId="77777777" w:rsidR="00196F60" w:rsidRDefault="00196F60" w:rsidP="00196F60">
      <w:pPr>
        <w:spacing w:after="180"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predictive layer is a gradient-boosted classifier (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) producing a calibrated fraud-probability score (0–1) per transaction, using engineered features from transaction amount, timing, and the anonymized </w:t>
      </w:r>
      <w:proofErr w:type="spellStart"/>
      <w:r>
        <w:rPr>
          <w:sz w:val="24"/>
          <w:szCs w:val="24"/>
        </w:rPr>
        <w:t>behavioral</w:t>
      </w:r>
      <w:proofErr w:type="spellEnd"/>
      <w:r>
        <w:rPr>
          <w:sz w:val="24"/>
          <w:szCs w:val="24"/>
        </w:rPr>
        <w:t xml:space="preserve"> components V1–28 (Dal </w:t>
      </w:r>
      <w:proofErr w:type="spellStart"/>
      <w:r>
        <w:rPr>
          <w:sz w:val="24"/>
          <w:szCs w:val="24"/>
        </w:rPr>
        <w:t>Pozzolo</w:t>
      </w:r>
      <w:proofErr w:type="spellEnd"/>
      <w:r>
        <w:rPr>
          <w:sz w:val="24"/>
          <w:szCs w:val="24"/>
        </w:rPr>
        <w:t xml:space="preserve"> et al., 2015). The prescriptive layer does not simply sort by that score: it weights each flagged transaction by estimated loss exposure (probability × transaction amount × account risk tier), so a smaller transaction at a slightly lower probability is not mistakenly deprioritized behind a trivial high-probability case. Each flagged transaction reaches the analyst dashboard with three elements </w:t>
      </w:r>
      <w:r>
        <w:rPr>
          <w:sz w:val="24"/>
          <w:szCs w:val="24"/>
        </w:rPr>
        <w:lastRenderedPageBreak/>
        <w:t>together, not the score in isolation: the priority rank, a SHAP-generated explanation of which features drove the score, and the account's recent transaction history for context. This is the decision-support function this project commits to: narrowing a large transaction volume down to a ranked, explained shortlist an analyst can act on directly, not a raw probability list requiring separate interpretation.</w:t>
      </w:r>
    </w:p>
    <w:p w14:paraId="6A752A55" w14:textId="77777777" w:rsidR="003B32D7" w:rsidRDefault="003B32D7" w:rsidP="003B32D7">
      <w:pPr>
        <w:pStyle w:val="Heading2"/>
        <w:spacing w:before="140" w:after="7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3B32D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Requirements, By Role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3B32D7" w14:paraId="5B6C55A5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312BA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21495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3B32D7" w14:paraId="090EC8CD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1E79A6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Fraud Analyst</w:t>
            </w:r>
          </w:p>
        </w:tc>
        <w:tc>
          <w:tcPr>
            <w:tcW w:w="6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DC5EC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Dashboard load time under 5 seconds per flagged case; SHAP explanation rendered inline, not as a separate lookup step.</w:t>
            </w:r>
          </w:p>
        </w:tc>
      </w:tr>
      <w:tr w:rsidR="003B32D7" w14:paraId="4F37EF14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3A20B0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Compliance Officer</w:t>
            </w:r>
          </w:p>
        </w:tc>
        <w:tc>
          <w:tcPr>
            <w:tcW w:w="6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4CCF7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Monthly aggregate report auto-generated in NIBSS-aligned reporting fields, avoiding manual reformatting of model output.</w:t>
            </w:r>
          </w:p>
        </w:tc>
      </w:tr>
      <w:tr w:rsidR="003B32D7" w14:paraId="5AD94F10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BB9D1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Data Engineer</w:t>
            </w:r>
          </w:p>
        </w:tc>
        <w:tc>
          <w:tcPr>
            <w:tcW w:w="6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461D1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 xml:space="preserve">Automatic retraining trigger when </w:t>
            </w:r>
            <w:proofErr w:type="spellStart"/>
            <w:r w:rsidRPr="003B32D7">
              <w:rPr>
                <w:sz w:val="24"/>
                <w:szCs w:val="24"/>
              </w:rPr>
              <w:t>MLflow</w:t>
            </w:r>
            <w:proofErr w:type="spellEnd"/>
            <w:r w:rsidRPr="003B32D7">
              <w:rPr>
                <w:sz w:val="24"/>
                <w:szCs w:val="24"/>
              </w:rPr>
              <w:t>-tracked recall drops below a defined drift threshold, not only on a fixed schedule.</w:t>
            </w:r>
          </w:p>
        </w:tc>
      </w:tr>
    </w:tbl>
    <w:p w14:paraId="728B22CE" w14:textId="77777777" w:rsidR="003B32D7" w:rsidRPr="003B32D7" w:rsidRDefault="003B32D7" w:rsidP="003B32D7"/>
    <w:p w14:paraId="711FB505" w14:textId="37377E73" w:rsidR="003B32D7" w:rsidRPr="003B32D7" w:rsidRDefault="003B32D7" w:rsidP="003B32D7">
      <w:pPr>
        <w:spacing w:after="180" w:line="480" w:lineRule="auto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Non-functional requirements are stated as concrete thresholds rather than general goals: transaction scoring latency under 500ms (this sits in a near-real-time monitoring path, not a batch job); system uptime of at least 99.5%, matching typical core banking SLA expectations; encryption at AES-256 at rest and TLS 1.2+ in transit; and a model performance floor of precision ≥ 85% and recall ≥ 75% on held-out fraud cases before the Ethics Committee (Section 3, Module 1) approves production deployment, giving that review a concrete gate rather than </w:t>
      </w:r>
      <w:r w:rsidRPr="003B32D7">
        <w:rPr>
          <w:color w:val="000000" w:themeColor="text1"/>
          <w:sz w:val="24"/>
          <w:szCs w:val="24"/>
        </w:rPr>
        <w:t>a subjective judgment call.</w:t>
      </w:r>
    </w:p>
    <w:p w14:paraId="5E601346" w14:textId="77777777" w:rsidR="003B32D7" w:rsidRDefault="003B32D7" w:rsidP="003B32D7">
      <w:pPr>
        <w:pStyle w:val="Heading2"/>
        <w:spacing w:before="140" w:after="7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3B32D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Technical Architecture</w:t>
      </w:r>
    </w:p>
    <w:p w14:paraId="53362623" w14:textId="5F61E235" w:rsidR="003B32D7" w:rsidRDefault="003B32D7" w:rsidP="003B32D7">
      <w:r w:rsidRPr="003B32D7">
        <w:rPr>
          <w:noProof/>
          <w:sz w:val="24"/>
          <w:szCs w:val="24"/>
        </w:rPr>
        <w:drawing>
          <wp:inline distT="0" distB="0" distL="0" distR="0" wp14:anchorId="492FEEC2" wp14:editId="47B9FF16">
            <wp:extent cx="5731510" cy="3096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801" w14:textId="77777777" w:rsidR="003B32D7" w:rsidRDefault="003B32D7" w:rsidP="003B32D7">
      <w:pPr>
        <w:spacing w:after="180"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architecture directly extends the technical stack and repository structure proposed in Module 1 (Okoh, 2026a): the same Python/Airflow ingestion layer, PostgreSQL/S3 storage,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tracking, Docker/SageMaker deployment, and Power BI dashboard, with an explicit SHAP explainability layer and Ethics Committee checkpoint added to operationalize the Ethical AI Vision established in that document.</w:t>
      </w:r>
    </w:p>
    <w:p w14:paraId="44C7C6DC" w14:textId="77777777" w:rsidR="003B32D7" w:rsidRPr="003B32D7" w:rsidRDefault="003B32D7" w:rsidP="003B32D7">
      <w:pPr>
        <w:pStyle w:val="Heading1"/>
        <w:spacing w:before="220" w:after="100" w:line="480" w:lineRule="auto"/>
        <w:rPr>
          <w:color w:val="000000" w:themeColor="text1"/>
        </w:rPr>
      </w:pPr>
      <w:r w:rsidRPr="003B32D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4. Apply Agile Methodology</w:t>
      </w:r>
    </w:p>
    <w:p w14:paraId="3F24B9D8" w14:textId="77777777" w:rsidR="003B32D7" w:rsidRDefault="003B32D7" w:rsidP="003B32D7">
      <w:pPr>
        <w:spacing w:after="180"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project runs as three two-week sprints, using iterative delivery, continuous feedback, and adaptation rather than a single upfront build. Each sprint ends with a working increment (a data pipeline, then a trained model, then an audited/explainable model), allowing scope to adjust based on what the prior sprint's results show, consistent with agile principles rather than a fixed waterfall plan.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50"/>
      </w:tblGrid>
      <w:tr w:rsidR="003B32D7" w:rsidRPr="003B32D7" w14:paraId="634F4A9A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25913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2FDC81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b/>
                <w:bCs/>
                <w:sz w:val="24"/>
                <w:szCs w:val="24"/>
              </w:rPr>
              <w:t>Ticket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2B4052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b/>
                <w:bCs/>
                <w:sz w:val="24"/>
                <w:szCs w:val="24"/>
              </w:rPr>
              <w:t>Deliverable</w:t>
            </w:r>
          </w:p>
        </w:tc>
      </w:tr>
      <w:tr w:rsidR="003B32D7" w:rsidRPr="003B32D7" w14:paraId="5C044EC4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DD45A" w14:textId="06152FD6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Sprint 1 (W</w:t>
            </w:r>
            <w:r>
              <w:rPr>
                <w:sz w:val="24"/>
                <w:szCs w:val="24"/>
              </w:rPr>
              <w:t>ee</w:t>
            </w:r>
            <w:r w:rsidRPr="003B32D7">
              <w:rPr>
                <w:sz w:val="24"/>
                <w:szCs w:val="24"/>
              </w:rPr>
              <w:t>ks 1–2)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F87BCE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Set up repo per Module 1 structure; load &amp; profile dataset; write data validation tests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25219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Working ingestion pipeline + data dictionary</w:t>
            </w:r>
          </w:p>
        </w:tc>
      </w:tr>
      <w:tr w:rsidR="003B32D7" w:rsidRPr="003B32D7" w14:paraId="0033B71D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E8C32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lastRenderedPageBreak/>
              <w:t>Sprint 1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52F95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Handle class imbalance (SMOTE/class weighting); baseline logistic regression model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DF43AB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Baseline model + evaluation report</w:t>
            </w:r>
          </w:p>
        </w:tc>
      </w:tr>
      <w:tr w:rsidR="003B32D7" w:rsidRPr="003B32D7" w14:paraId="60DA8A66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48BA8" w14:textId="1AC36FD4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Sprint 2 (W</w:t>
            </w:r>
            <w:r>
              <w:rPr>
                <w:sz w:val="24"/>
                <w:szCs w:val="24"/>
              </w:rPr>
              <w:t>ee</w:t>
            </w:r>
            <w:r w:rsidRPr="003B32D7">
              <w:rPr>
                <w:sz w:val="24"/>
                <w:szCs w:val="24"/>
              </w:rPr>
              <w:t>ks 3–4)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E87BE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 xml:space="preserve">Train </w:t>
            </w:r>
            <w:proofErr w:type="spellStart"/>
            <w:r w:rsidRPr="003B32D7">
              <w:rPr>
                <w:sz w:val="24"/>
                <w:szCs w:val="24"/>
              </w:rPr>
              <w:t>XGBoost</w:t>
            </w:r>
            <w:proofErr w:type="spellEnd"/>
            <w:r w:rsidRPr="003B32D7">
              <w:rPr>
                <w:sz w:val="24"/>
                <w:szCs w:val="24"/>
              </w:rPr>
              <w:t xml:space="preserve"> classifier; log experiments in </w:t>
            </w:r>
            <w:proofErr w:type="spellStart"/>
            <w:r w:rsidRPr="003B32D7">
              <w:rPr>
                <w:sz w:val="24"/>
                <w:szCs w:val="24"/>
              </w:rPr>
              <w:t>MLflow</w:t>
            </w:r>
            <w:proofErr w:type="spellEnd"/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A78D7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Trained predictive model</w:t>
            </w:r>
          </w:p>
        </w:tc>
      </w:tr>
      <w:tr w:rsidR="003B32D7" w:rsidRPr="003B32D7" w14:paraId="2DF73CFF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C5108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Sprint 2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D81E9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Build prescriptive priority-ranking logic on top of model scores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DB7F7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Prescriptive queue prototype</w:t>
            </w:r>
          </w:p>
        </w:tc>
      </w:tr>
      <w:tr w:rsidR="003B32D7" w:rsidRPr="003B32D7" w14:paraId="2FF0CFA5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EBDA4F" w14:textId="3450D1DB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Sprint 3 (W</w:t>
            </w:r>
            <w:r>
              <w:rPr>
                <w:sz w:val="24"/>
                <w:szCs w:val="24"/>
              </w:rPr>
              <w:t>ee</w:t>
            </w:r>
            <w:r w:rsidRPr="003B32D7">
              <w:rPr>
                <w:sz w:val="24"/>
                <w:szCs w:val="24"/>
              </w:rPr>
              <w:t>ks 5–6)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22A9BD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 xml:space="preserve">Integrate SHAP explainability layer; run </w:t>
            </w:r>
            <w:proofErr w:type="spellStart"/>
            <w:r w:rsidRPr="003B32D7">
              <w:rPr>
                <w:sz w:val="24"/>
                <w:szCs w:val="24"/>
              </w:rPr>
              <w:t>Fairlearn</w:t>
            </w:r>
            <w:proofErr w:type="spellEnd"/>
            <w:r w:rsidRPr="003B32D7">
              <w:rPr>
                <w:sz w:val="24"/>
                <w:szCs w:val="24"/>
              </w:rPr>
              <w:t xml:space="preserve"> fairness audit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6BBD6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Explainability report + fairness audit results</w:t>
            </w:r>
          </w:p>
        </w:tc>
      </w:tr>
      <w:tr w:rsidR="003B32D7" w:rsidRPr="003B32D7" w14:paraId="794DE177" w14:textId="77777777" w:rsidTr="003B32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5AAAAF" w14:textId="77777777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>Sprint 3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52C8D3" w14:textId="17A3238E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 xml:space="preserve">Build Power BI dashboard </w:t>
            </w:r>
            <w:r w:rsidRPr="003B32D7">
              <w:rPr>
                <w:sz w:val="24"/>
                <w:szCs w:val="24"/>
              </w:rPr>
              <w:t>mock-up</w:t>
            </w:r>
            <w:r w:rsidRPr="003B32D7">
              <w:rPr>
                <w:sz w:val="24"/>
                <w:szCs w:val="24"/>
              </w:rPr>
              <w:t>; Ethics Committee review checkpoint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F2AE8" w14:textId="5E0A6341" w:rsidR="003B32D7" w:rsidRPr="003B32D7" w:rsidRDefault="003B32D7" w:rsidP="000167DA">
            <w:pPr>
              <w:rPr>
                <w:sz w:val="24"/>
                <w:szCs w:val="24"/>
              </w:rPr>
            </w:pPr>
            <w:r w:rsidRPr="003B32D7">
              <w:rPr>
                <w:sz w:val="24"/>
                <w:szCs w:val="24"/>
              </w:rPr>
              <w:t xml:space="preserve">Dashboard </w:t>
            </w:r>
            <w:r w:rsidRPr="003B32D7">
              <w:rPr>
                <w:sz w:val="24"/>
                <w:szCs w:val="24"/>
              </w:rPr>
              <w:t>mock-up</w:t>
            </w:r>
            <w:r w:rsidRPr="003B32D7">
              <w:rPr>
                <w:sz w:val="24"/>
                <w:szCs w:val="24"/>
              </w:rPr>
              <w:t xml:space="preserve"> + governance sign-off</w:t>
            </w:r>
          </w:p>
        </w:tc>
      </w:tr>
    </w:tbl>
    <w:p w14:paraId="0D9F82AC" w14:textId="1BAB3963" w:rsidR="003B32D7" w:rsidRDefault="003B32D7" w:rsidP="003B32D7">
      <w:pPr>
        <w:spacing w:after="180" w:line="480" w:lineRule="auto"/>
        <w:jc w:val="both"/>
      </w:pPr>
    </w:p>
    <w:p w14:paraId="3404C635" w14:textId="54D8B2CA" w:rsidR="00364E00" w:rsidRDefault="00364E00" w:rsidP="003B32D7">
      <w:pPr>
        <w:spacing w:after="180" w:line="480" w:lineRule="auto"/>
        <w:jc w:val="both"/>
      </w:pPr>
      <w:r>
        <w:t xml:space="preserve">Shown and detailed my </w:t>
      </w:r>
      <w:proofErr w:type="spellStart"/>
      <w:r>
        <w:t>Github</w:t>
      </w:r>
      <w:proofErr w:type="spellEnd"/>
      <w:r>
        <w:t>.</w:t>
      </w:r>
    </w:p>
    <w:p w14:paraId="093E5AB2" w14:textId="77777777" w:rsidR="00364E00" w:rsidRPr="00364E00" w:rsidRDefault="00364E00" w:rsidP="00364E00">
      <w:pPr>
        <w:pStyle w:val="Heading1"/>
        <w:spacing w:before="220" w:after="10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5. Implementation and Communication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364E00" w:rsidRPr="00364E00" w14:paraId="133E80D0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2A0A33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Stakeholder</w:t>
            </w:r>
          </w:p>
        </w:tc>
        <w:tc>
          <w:tcPr>
            <w:tcW w:w="38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60E75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295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586BB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Communication Cadence</w:t>
            </w:r>
          </w:p>
        </w:tc>
      </w:tr>
      <w:tr w:rsidR="00364E00" w:rsidRPr="00364E00" w14:paraId="327F2C83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E06CF9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Chief Risk Officer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17C40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Accountable for loss exposure; final sign-off on deployment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87D63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End-of-sprint demo (3x)</w:t>
            </w:r>
          </w:p>
        </w:tc>
      </w:tr>
      <w:tr w:rsidR="00364E00" w:rsidRPr="00364E00" w14:paraId="23A85355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B66A5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Head of Compliance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DA59B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NDPA/NIBSS reporting alignment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6E0BB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Sprint 3 governance review</w:t>
            </w:r>
          </w:p>
        </w:tc>
      </w:tr>
      <w:tr w:rsidR="00364E00" w:rsidRPr="00364E00" w14:paraId="1C149CBB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19EDA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Fraud Analysts (users)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7C2CC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Dashboard usability feedback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8EF64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Sprint 2–3 usability sessions</w:t>
            </w:r>
          </w:p>
        </w:tc>
      </w:tr>
      <w:tr w:rsidR="00364E00" w:rsidRPr="00364E00" w14:paraId="53D7108D" w14:textId="77777777" w:rsidTr="000167D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D7DC2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AI &amp; Data Ethics Committee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E74C9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Fairness audit review, threshold approval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B31FC8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Sprint 3 checkpoint (Section 6)</w:t>
            </w:r>
          </w:p>
        </w:tc>
      </w:tr>
    </w:tbl>
    <w:p w14:paraId="7CA2C357" w14:textId="77777777" w:rsidR="00364E00" w:rsidRDefault="00364E00" w:rsidP="00364E00">
      <w:pPr>
        <w:spacing w:after="180" w:line="480" w:lineRule="auto"/>
        <w:jc w:val="both"/>
      </w:pPr>
      <w:r>
        <w:rPr>
          <w:sz w:val="24"/>
          <w:szCs w:val="24"/>
        </w:rPr>
        <w:t>Success is measured against the KPIs set in Module 1: flagged-transaction precision, fraud recall on held-out cases, and average investigator triage time, tracked sprint over sprint rather than only at project close, so a KPI trending in the wrong direction triggers a scope conversation before the final sprint, not after it.</w:t>
      </w:r>
    </w:p>
    <w:p w14:paraId="0B2CE3CF" w14:textId="6BEBEF44" w:rsidR="00364E00" w:rsidRDefault="00364E00" w:rsidP="00364E00">
      <w:pPr>
        <w:spacing w:after="180" w:line="480" w:lineRule="auto"/>
        <w:jc w:val="both"/>
      </w:pPr>
      <w:r>
        <w:rPr>
          <w:sz w:val="24"/>
          <w:szCs w:val="24"/>
        </w:rPr>
        <w:t xml:space="preserve">A condensed view of the project's top risks, assumptions, issues, and dependencies is below; the full Technical RAID Log is included as a separate spreadsheet in </w:t>
      </w:r>
      <w:r>
        <w:rPr>
          <w:sz w:val="24"/>
          <w:szCs w:val="24"/>
        </w:rPr>
        <w:t>my</w:t>
      </w:r>
      <w:r>
        <w:rPr>
          <w:sz w:val="24"/>
          <w:szCs w:val="24"/>
        </w:rPr>
        <w:t xml:space="preserve"> submission.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650"/>
      </w:tblGrid>
      <w:tr w:rsidR="00364E00" w:rsidRPr="00364E00" w14:paraId="443917A8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C31C6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E4DE6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F49A6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Mitigation</w:t>
            </w:r>
          </w:p>
        </w:tc>
      </w:tr>
      <w:tr w:rsidR="00364E00" w:rsidRPr="00364E00" w14:paraId="257D6385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D6444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Risk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C758B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0.172% fraud rate biases the model toward predicting ‘not fraud’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64477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Class weighting/resampling; evaluate on PR-AUC and recall, not accuracy</w:t>
            </w:r>
          </w:p>
        </w:tc>
      </w:tr>
      <w:tr w:rsidR="00364E00" w:rsidRPr="00364E00" w14:paraId="71937A9B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FBA6F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lastRenderedPageBreak/>
              <w:t>Assumption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01B5A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Historical data adequately represents both normal and fraudulent patterns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61C2C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Validate via EDA in Module 3; flag underrepresented segments</w:t>
            </w:r>
          </w:p>
        </w:tc>
      </w:tr>
      <w:tr w:rsidR="00364E00" w:rsidRPr="00364E00" w14:paraId="7EECA587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D3761C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Dependency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66D5EE" w14:textId="7483C016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 xml:space="preserve">Module 3 </w:t>
            </w:r>
            <w:r w:rsidRPr="00364E00">
              <w:rPr>
                <w:color w:val="000000" w:themeColor="text1"/>
                <w:sz w:val="24"/>
                <w:szCs w:val="24"/>
              </w:rPr>
              <w:t>modelling</w:t>
            </w:r>
            <w:r w:rsidRPr="00364E00">
              <w:rPr>
                <w:color w:val="000000" w:themeColor="text1"/>
                <w:sz w:val="24"/>
                <w:szCs w:val="24"/>
              </w:rPr>
              <w:t xml:space="preserve"> work depends on this architecture and repo being finalized first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9E96C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Freeze repo structure and environment file before Module 3 begins</w:t>
            </w:r>
          </w:p>
        </w:tc>
      </w:tr>
    </w:tbl>
    <w:p w14:paraId="2BCDA060" w14:textId="77777777" w:rsidR="003B32D7" w:rsidRDefault="003B32D7" w:rsidP="003B32D7">
      <w:pPr>
        <w:spacing w:after="180" w:line="480" w:lineRule="auto"/>
        <w:jc w:val="both"/>
      </w:pPr>
    </w:p>
    <w:p w14:paraId="2E4E0077" w14:textId="77777777" w:rsidR="00364E00" w:rsidRPr="00364E00" w:rsidRDefault="00364E00" w:rsidP="00364E00">
      <w:pPr>
        <w:pStyle w:val="Heading1"/>
        <w:spacing w:before="220" w:after="10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6. Privacy, Fairness, and Compliance Requirements</w:t>
      </w:r>
    </w:p>
    <w:p w14:paraId="0174A868" w14:textId="77777777" w:rsidR="00364E00" w:rsidRPr="00364E00" w:rsidRDefault="00364E00" w:rsidP="00364E00">
      <w:pPr>
        <w:pStyle w:val="Heading2"/>
        <w:spacing w:before="140" w:after="7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Data Privacy Plan</w:t>
      </w:r>
    </w:p>
    <w:p w14:paraId="736D42B8" w14:textId="5C793918" w:rsidR="00364E00" w:rsidRPr="00364E00" w:rsidRDefault="00364E00" w:rsidP="00364E00">
      <w:pPr>
        <w:spacing w:after="180" w:line="480" w:lineRule="auto"/>
        <w:jc w:val="both"/>
        <w:rPr>
          <w:color w:val="000000" w:themeColor="text1"/>
        </w:rPr>
      </w:pPr>
      <w:r w:rsidRPr="00364E00">
        <w:rPr>
          <w:color w:val="000000" w:themeColor="text1"/>
          <w:sz w:val="24"/>
          <w:szCs w:val="24"/>
        </w:rPr>
        <w:t>Modelling</w:t>
      </w:r>
      <w:r w:rsidRPr="00364E00">
        <w:rPr>
          <w:color w:val="000000" w:themeColor="text1"/>
          <w:sz w:val="24"/>
          <w:szCs w:val="24"/>
        </w:rPr>
        <w:t xml:space="preserve"> features (V1–28) are already PCA-anonymized at source (Kaggle, 2018); any production extension using real KYC/device data would require role-based access control, encryption at rest and in transit, and a documented retention schedule, consistent with NDPA 2023 Section 24 safeguarding requirements and its 72-hour breach notification rule (</w:t>
      </w:r>
      <w:proofErr w:type="spellStart"/>
      <w:r w:rsidRPr="00364E00">
        <w:rPr>
          <w:color w:val="000000" w:themeColor="text1"/>
          <w:sz w:val="24"/>
          <w:szCs w:val="24"/>
        </w:rPr>
        <w:t>Dimeri</w:t>
      </w:r>
      <w:proofErr w:type="spellEnd"/>
      <w:r w:rsidRPr="00364E00">
        <w:rPr>
          <w:color w:val="000000" w:themeColor="text1"/>
          <w:sz w:val="24"/>
          <w:szCs w:val="24"/>
        </w:rPr>
        <w:t>, 2026).</w:t>
      </w:r>
    </w:p>
    <w:p w14:paraId="41A57BBD" w14:textId="77777777" w:rsidR="00364E00" w:rsidRPr="00364E00" w:rsidRDefault="00364E00" w:rsidP="00364E00">
      <w:pPr>
        <w:pStyle w:val="Heading2"/>
        <w:spacing w:before="140" w:after="7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Fairness Metrics</w:t>
      </w:r>
    </w:p>
    <w:p w14:paraId="0488E073" w14:textId="544330C2" w:rsidR="00364E00" w:rsidRPr="00364E00" w:rsidRDefault="00364E00" w:rsidP="00364E00">
      <w:pPr>
        <w:spacing w:after="180" w:line="480" w:lineRule="auto"/>
        <w:jc w:val="both"/>
        <w:rPr>
          <w:color w:val="000000" w:themeColor="text1"/>
        </w:rPr>
      </w:pPr>
      <w:r w:rsidRPr="00364E00">
        <w:rPr>
          <w:color w:val="000000" w:themeColor="text1"/>
          <w:sz w:val="24"/>
          <w:szCs w:val="24"/>
        </w:rPr>
        <w:t xml:space="preserve">This project adopts Demographic Parity and Equalized Odds, the </w:t>
      </w:r>
      <w:r w:rsidRPr="00364E00">
        <w:rPr>
          <w:color w:val="000000" w:themeColor="text1"/>
          <w:sz w:val="24"/>
          <w:szCs w:val="24"/>
        </w:rPr>
        <w:t>two-fairness</w:t>
      </w:r>
      <w:r w:rsidRPr="00364E00">
        <w:rPr>
          <w:color w:val="000000" w:themeColor="text1"/>
          <w:sz w:val="24"/>
          <w:szCs w:val="24"/>
        </w:rPr>
        <w:t xml:space="preserve"> metrics most established in financial fraud/AML literature (Databricks, 2022; Springer Discover AI, 2026), evaluated via the </w:t>
      </w:r>
      <w:proofErr w:type="spellStart"/>
      <w:r w:rsidRPr="00364E00">
        <w:rPr>
          <w:color w:val="000000" w:themeColor="text1"/>
          <w:sz w:val="24"/>
          <w:szCs w:val="24"/>
        </w:rPr>
        <w:t>Fairlearn</w:t>
      </w:r>
      <w:proofErr w:type="spellEnd"/>
      <w:r w:rsidRPr="00364E00">
        <w:rPr>
          <w:color w:val="000000" w:themeColor="text1"/>
          <w:sz w:val="24"/>
          <w:szCs w:val="24"/>
        </w:rPr>
        <w:t xml:space="preserve"> library. Equalized Odds is prioritized as the primary metric, since it evaluates true- and false-positive rate parity across groups rather than raw flagging rate, which better fits a context where the underlying fraud rate may legitimately differ across segments (SHAP documentation, n.d.).</w:t>
      </w:r>
    </w:p>
    <w:p w14:paraId="121746A4" w14:textId="77777777" w:rsidR="00364E00" w:rsidRPr="00364E00" w:rsidRDefault="00364E00" w:rsidP="00364E00">
      <w:pPr>
        <w:pStyle w:val="Heading2"/>
        <w:spacing w:before="140" w:after="7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Explainability Framework</w:t>
      </w:r>
    </w:p>
    <w:p w14:paraId="21FDB129" w14:textId="77777777" w:rsidR="00364E00" w:rsidRPr="00364E00" w:rsidRDefault="00364E00" w:rsidP="00364E00">
      <w:pPr>
        <w:spacing w:after="180" w:line="480" w:lineRule="auto"/>
        <w:jc w:val="both"/>
        <w:rPr>
          <w:color w:val="000000" w:themeColor="text1"/>
        </w:rPr>
      </w:pPr>
      <w:r w:rsidRPr="00364E00">
        <w:rPr>
          <w:color w:val="000000" w:themeColor="text1"/>
          <w:sz w:val="24"/>
          <w:szCs w:val="24"/>
        </w:rPr>
        <w:t>SHAP (</w:t>
      </w:r>
      <w:proofErr w:type="spellStart"/>
      <w:r w:rsidRPr="00364E00">
        <w:rPr>
          <w:color w:val="000000" w:themeColor="text1"/>
          <w:sz w:val="24"/>
          <w:szCs w:val="24"/>
        </w:rPr>
        <w:t>SHapley</w:t>
      </w:r>
      <w:proofErr w:type="spellEnd"/>
      <w:r w:rsidRPr="00364E00">
        <w:rPr>
          <w:color w:val="000000" w:themeColor="text1"/>
          <w:sz w:val="24"/>
          <w:szCs w:val="24"/>
        </w:rPr>
        <w:t xml:space="preserve"> Additive </w:t>
      </w:r>
      <w:proofErr w:type="spellStart"/>
      <w:r w:rsidRPr="00364E00">
        <w:rPr>
          <w:color w:val="000000" w:themeColor="text1"/>
          <w:sz w:val="24"/>
          <w:szCs w:val="24"/>
        </w:rPr>
        <w:t>exPlanations</w:t>
      </w:r>
      <w:proofErr w:type="spellEnd"/>
      <w:r w:rsidRPr="00364E00">
        <w:rPr>
          <w:color w:val="000000" w:themeColor="text1"/>
          <w:sz w:val="24"/>
          <w:szCs w:val="24"/>
        </w:rPr>
        <w:t>) is adopted as the explainability method, providing both global explanations (which features drive fraud predictions overall) and local, per-transaction explanations for analyst review, consistent with recent applications of SHAP specifically to credit card fraud models (</w:t>
      </w:r>
      <w:proofErr w:type="spellStart"/>
      <w:r w:rsidRPr="00364E00">
        <w:rPr>
          <w:color w:val="000000" w:themeColor="text1"/>
          <w:sz w:val="24"/>
          <w:szCs w:val="24"/>
        </w:rPr>
        <w:t>Researchgate</w:t>
      </w:r>
      <w:proofErr w:type="spellEnd"/>
      <w:r w:rsidRPr="00364E00">
        <w:rPr>
          <w:color w:val="000000" w:themeColor="text1"/>
          <w:sz w:val="24"/>
          <w:szCs w:val="24"/>
        </w:rPr>
        <w:t>, 2026).</w:t>
      </w:r>
    </w:p>
    <w:p w14:paraId="1C82327C" w14:textId="77777777" w:rsidR="00364E00" w:rsidRPr="00364E00" w:rsidRDefault="00364E00" w:rsidP="00364E00">
      <w:pPr>
        <w:pStyle w:val="Heading2"/>
        <w:spacing w:before="140" w:after="70" w:line="480" w:lineRule="auto"/>
        <w:rPr>
          <w:color w:val="000000" w:themeColor="text1"/>
        </w:rPr>
      </w:pPr>
      <w:r w:rsidRPr="00364E0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Regulatory Compliance Checklist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50"/>
      </w:tblGrid>
      <w:tr w:rsidR="00364E00" w:rsidRPr="00364E00" w14:paraId="146201F1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7888D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E6A54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b/>
                <w:bCs/>
                <w:color w:val="000000" w:themeColor="text1"/>
                <w:sz w:val="24"/>
                <w:szCs w:val="24"/>
              </w:rPr>
              <w:t>Status / Action</w:t>
            </w:r>
          </w:p>
        </w:tc>
      </w:tr>
      <w:tr w:rsidR="00364E00" w:rsidRPr="00364E00" w14:paraId="62B6A371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143E9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NDPC registration (if “major importance” controller)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C6EE73" w14:textId="0395CF66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 xml:space="preserve">To confirm at production-scale deployment; not applicable to this academic </w:t>
            </w:r>
            <w:r w:rsidRPr="00364E00">
              <w:rPr>
                <w:color w:val="000000" w:themeColor="text1"/>
                <w:sz w:val="24"/>
                <w:szCs w:val="24"/>
              </w:rPr>
              <w:t>modelling</w:t>
            </w:r>
            <w:r w:rsidRPr="00364E00">
              <w:rPr>
                <w:color w:val="000000" w:themeColor="text1"/>
                <w:sz w:val="24"/>
                <w:szCs w:val="24"/>
              </w:rPr>
              <w:t xml:space="preserve"> exercise</w:t>
            </w:r>
          </w:p>
        </w:tc>
      </w:tr>
      <w:tr w:rsidR="00364E00" w:rsidRPr="00364E00" w14:paraId="74D7062A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A914F3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Data Protection Impact Assessment (DPIA)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55B29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Required before production use; documented as a Sprint 3+ follow-on item</w:t>
            </w:r>
          </w:p>
        </w:tc>
      </w:tr>
      <w:tr w:rsidR="00364E00" w:rsidRPr="00364E00" w14:paraId="75F69BBC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46407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Lawful basis for processing (NDPA S.25 / GDPR-equivalent)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E5A9A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Public dataset used under its stated research/education license (Kaggle, 2018)</w:t>
            </w:r>
          </w:p>
        </w:tc>
      </w:tr>
      <w:tr w:rsidR="00364E00" w:rsidRPr="00364E00" w14:paraId="3D657794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17AAE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Breach notification (72 hours, NDPA)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8C1098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Documented as a production operating procedure, not applicable to static dataset use</w:t>
            </w:r>
          </w:p>
        </w:tc>
      </w:tr>
      <w:tr w:rsidR="00364E00" w:rsidRPr="00364E00" w14:paraId="4BC86A89" w14:textId="77777777" w:rsidTr="00364E00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932DE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CBN/NIBSS monthly fraud reporting (BOFIA 2020 S.24)</w:t>
            </w:r>
          </w:p>
        </w:tc>
        <w:tc>
          <w:tcPr>
            <w:tcW w:w="4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16124" w14:textId="77777777" w:rsidR="00364E00" w:rsidRPr="00364E00" w:rsidRDefault="00364E00" w:rsidP="000167DA">
            <w:pPr>
              <w:rPr>
                <w:color w:val="000000" w:themeColor="text1"/>
                <w:sz w:val="24"/>
                <w:szCs w:val="24"/>
              </w:rPr>
            </w:pPr>
            <w:r w:rsidRPr="00364E00">
              <w:rPr>
                <w:color w:val="000000" w:themeColor="text1"/>
                <w:sz w:val="24"/>
                <w:szCs w:val="24"/>
              </w:rPr>
              <w:t>Referenced as the downstream reporting requirement this project's output would feed</w:t>
            </w:r>
          </w:p>
        </w:tc>
      </w:tr>
    </w:tbl>
    <w:p w14:paraId="62ABD60B" w14:textId="7545E32F" w:rsidR="00364E00" w:rsidRDefault="00364E00" w:rsidP="00364E00">
      <w:pPr>
        <w:rPr>
          <w:color w:val="000000" w:themeColor="text1"/>
        </w:rPr>
      </w:pPr>
    </w:p>
    <w:p w14:paraId="2B31F81B" w14:textId="77777777" w:rsidR="00364E00" w:rsidRDefault="00364E00" w:rsidP="00364E00">
      <w:pPr>
        <w:spacing w:after="240"/>
        <w:rPr>
          <w:b/>
          <w:bCs/>
          <w:sz w:val="26"/>
          <w:szCs w:val="26"/>
        </w:rPr>
      </w:pPr>
    </w:p>
    <w:p w14:paraId="5691C47A" w14:textId="39C08EC5" w:rsidR="00364E00" w:rsidRDefault="00364E00" w:rsidP="00364E00">
      <w:pPr>
        <w:spacing w:after="240"/>
      </w:pPr>
      <w:r>
        <w:rPr>
          <w:b/>
          <w:bCs/>
          <w:sz w:val="26"/>
          <w:szCs w:val="26"/>
        </w:rPr>
        <w:t>References</w:t>
      </w:r>
    </w:p>
    <w:p w14:paraId="0DB62C60" w14:textId="6A0CAF9A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 xml:space="preserve">Dal Pozzolo, A., Caelen, O., Johnson, R. A., &amp; Bontempi, G. (2015). Calibrating probability with </w:t>
      </w:r>
      <w:proofErr w:type="spellStart"/>
      <w:r w:rsidRPr="00364E00">
        <w:rPr>
          <w:sz w:val="24"/>
          <w:szCs w:val="24"/>
        </w:rPr>
        <w:t>undersampling</w:t>
      </w:r>
      <w:proofErr w:type="spellEnd"/>
      <w:r w:rsidRPr="00364E00">
        <w:rPr>
          <w:sz w:val="24"/>
          <w:szCs w:val="24"/>
        </w:rPr>
        <w:t xml:space="preserve"> for unbalanced classification. 2015 IEEE Symposium Series on Computational Intelligence. https://doi.org/10.1109/SSCI.2015.33</w:t>
      </w:r>
      <w:r>
        <w:rPr>
          <w:sz w:val="24"/>
          <w:szCs w:val="24"/>
        </w:rPr>
        <w:t>.</w:t>
      </w:r>
    </w:p>
    <w:p w14:paraId="430C8544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 xml:space="preserve">Databricks. (2022). Mitigating bias in ML with SHAP, </w:t>
      </w:r>
      <w:proofErr w:type="spellStart"/>
      <w:r w:rsidRPr="00364E00">
        <w:rPr>
          <w:sz w:val="24"/>
          <w:szCs w:val="24"/>
        </w:rPr>
        <w:t>Fairlearn</w:t>
      </w:r>
      <w:proofErr w:type="spellEnd"/>
      <w:r w:rsidRPr="00364E00">
        <w:rPr>
          <w:sz w:val="24"/>
          <w:szCs w:val="24"/>
        </w:rPr>
        <w:t>. https://www.databricks.com/blog/mitigating-bias-machine-learning-shap-and-fairlearn</w:t>
      </w:r>
      <w:r>
        <w:rPr>
          <w:sz w:val="24"/>
          <w:szCs w:val="24"/>
        </w:rPr>
        <w:t>.</w:t>
      </w:r>
    </w:p>
    <w:p w14:paraId="2DA42048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 w:rsidRPr="00364E00">
        <w:rPr>
          <w:sz w:val="24"/>
          <w:szCs w:val="24"/>
        </w:rPr>
        <w:t>Dimeri</w:t>
      </w:r>
      <w:proofErr w:type="spellEnd"/>
      <w:r w:rsidRPr="00364E00">
        <w:rPr>
          <w:sz w:val="24"/>
          <w:szCs w:val="24"/>
        </w:rPr>
        <w:t>. (2026). Nigeria Data Protection Act (NDPA) 2023: Complete compliance checklist. https://www.dimeri.ai/blog/guides/ndpa-compliance-checklist-nigeria</w:t>
      </w:r>
      <w:r>
        <w:rPr>
          <w:sz w:val="24"/>
          <w:szCs w:val="24"/>
        </w:rPr>
        <w:t>.</w:t>
      </w:r>
    </w:p>
    <w:p w14:paraId="77D4867E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>Kaggle / Machine Learning Group, Université Libre de Bruxelles. (2018). Credit card fraud detection [Data set]. https://www.kaggle.com/datasets/mlg-ulb/creditcardfraud</w:t>
      </w:r>
      <w:r>
        <w:rPr>
          <w:sz w:val="24"/>
          <w:szCs w:val="24"/>
        </w:rPr>
        <w:t>.</w:t>
      </w:r>
    </w:p>
    <w:p w14:paraId="31BF4D8B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>Nigeria Inter-Bank Settlement System (NIBSS). (2026). Digital payment fraud drops 51% to N25.85b, Lagos accounts for 63%. https://nibss-plc.com.ng/digital-payment-fraud-drops-51-to-n25-85b-lagos-accounts-for-63/</w:t>
      </w:r>
      <w:r>
        <w:rPr>
          <w:sz w:val="24"/>
          <w:szCs w:val="24"/>
        </w:rPr>
        <w:t>.</w:t>
      </w:r>
    </w:p>
    <w:p w14:paraId="6ED8135B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 xml:space="preserve">Okoh, C. (2026a). Business analytics project vision document: Insider fraud &amp; anomaly detection in retail banking transactions [Module 1 assignment]. </w:t>
      </w:r>
      <w:proofErr w:type="spellStart"/>
      <w:r w:rsidRPr="00364E00">
        <w:rPr>
          <w:sz w:val="24"/>
          <w:szCs w:val="24"/>
        </w:rPr>
        <w:t>Nexford</w:t>
      </w:r>
      <w:proofErr w:type="spellEnd"/>
      <w:r w:rsidRPr="00364E00">
        <w:rPr>
          <w:sz w:val="24"/>
          <w:szCs w:val="24"/>
        </w:rPr>
        <w:t xml:space="preserve"> University.</w:t>
      </w:r>
    </w:p>
    <w:p w14:paraId="6321E883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lastRenderedPageBreak/>
        <w:t>ResearchGate. (2026). Explainable AI (XAI) analysis using SHAP for credit card fraud. https://www.researchgate.net/publication/400212662</w:t>
      </w:r>
      <w:r>
        <w:rPr>
          <w:sz w:val="24"/>
          <w:szCs w:val="24"/>
        </w:rPr>
        <w:t>.</w:t>
      </w:r>
    </w:p>
    <w:p w14:paraId="026C9AC9" w14:textId="77777777" w:rsidR="00364E00" w:rsidRP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>SHAP Documentation. (n.d.). Explaining quantitative measures of fairness. https://shap.readthedocs.io/en/latest/example_notebooks/overviews/Explaining%20quantitative%20measures%20of%20fairness.html</w:t>
      </w:r>
      <w:r>
        <w:rPr>
          <w:sz w:val="24"/>
          <w:szCs w:val="24"/>
        </w:rPr>
        <w:t>.</w:t>
      </w:r>
    </w:p>
    <w:p w14:paraId="2D56FBB1" w14:textId="5030FD27" w:rsidR="00364E00" w:rsidRDefault="00364E00" w:rsidP="00364E00">
      <w:pPr>
        <w:pStyle w:val="ListParagraph"/>
        <w:numPr>
          <w:ilvl w:val="0"/>
          <w:numId w:val="2"/>
        </w:numPr>
        <w:spacing w:line="480" w:lineRule="auto"/>
        <w:jc w:val="both"/>
      </w:pPr>
      <w:r w:rsidRPr="00364E00">
        <w:rPr>
          <w:sz w:val="24"/>
          <w:szCs w:val="24"/>
        </w:rPr>
        <w:t>Springer Discover Artificial Intelligence. (2026). Explainable and fair anti-money laundering models using a reproducible SHAP framework for financial institutions. https://link.springer.com/article/10.1007/s44163-026-00944-7</w:t>
      </w:r>
    </w:p>
    <w:p w14:paraId="70DFD8EC" w14:textId="77777777" w:rsidR="00364E00" w:rsidRPr="00364E00" w:rsidRDefault="00364E00" w:rsidP="00364E00">
      <w:pPr>
        <w:rPr>
          <w:color w:val="000000" w:themeColor="text1"/>
        </w:rPr>
      </w:pPr>
    </w:p>
    <w:p w14:paraId="3D98E9CC" w14:textId="77777777" w:rsidR="00364E00" w:rsidRDefault="00364E00" w:rsidP="003B32D7">
      <w:pPr>
        <w:spacing w:after="180" w:line="480" w:lineRule="auto"/>
        <w:jc w:val="both"/>
      </w:pPr>
    </w:p>
    <w:p w14:paraId="269BDF07" w14:textId="77777777" w:rsidR="003B32D7" w:rsidRDefault="003B32D7" w:rsidP="003B32D7">
      <w:pPr>
        <w:spacing w:after="180" w:line="480" w:lineRule="auto"/>
        <w:jc w:val="both"/>
      </w:pPr>
    </w:p>
    <w:p w14:paraId="3688FC55" w14:textId="77777777" w:rsidR="003B32D7" w:rsidRPr="003B32D7" w:rsidRDefault="003B32D7" w:rsidP="003B32D7"/>
    <w:p w14:paraId="592E4028" w14:textId="77777777" w:rsidR="003B32D7" w:rsidRDefault="003B32D7" w:rsidP="003B32D7">
      <w:pPr>
        <w:spacing w:after="180" w:line="480" w:lineRule="auto"/>
        <w:jc w:val="both"/>
      </w:pPr>
    </w:p>
    <w:p w14:paraId="32866FA0" w14:textId="77777777" w:rsidR="003B32D7" w:rsidRDefault="003B32D7" w:rsidP="00196F60">
      <w:pPr>
        <w:spacing w:after="180" w:line="480" w:lineRule="auto"/>
        <w:jc w:val="both"/>
      </w:pPr>
    </w:p>
    <w:p w14:paraId="155D3D6A" w14:textId="77777777" w:rsidR="00196F60" w:rsidRDefault="00196F60" w:rsidP="00196F60">
      <w:pPr>
        <w:jc w:val="both"/>
      </w:pPr>
    </w:p>
    <w:p w14:paraId="26BB1B38" w14:textId="7E15571F" w:rsidR="00196F60" w:rsidRPr="00196F60" w:rsidRDefault="00196F60" w:rsidP="00196F60">
      <w:pPr>
        <w:pStyle w:val="Heading2"/>
        <w:spacing w:before="140" w:after="70" w:line="480" w:lineRule="auto"/>
        <w:rPr>
          <w:color w:val="000000" w:themeColor="text1"/>
        </w:rPr>
      </w:pPr>
    </w:p>
    <w:p w14:paraId="1B7E922B" w14:textId="77777777" w:rsidR="00196F60" w:rsidRDefault="00196F60" w:rsidP="00196F60">
      <w:pPr>
        <w:spacing w:after="180" w:line="480" w:lineRule="auto"/>
        <w:jc w:val="both"/>
      </w:pPr>
    </w:p>
    <w:p w14:paraId="502BF0BF" w14:textId="02534469" w:rsidR="00D34A12" w:rsidRDefault="00D34A12" w:rsidP="00196F60"/>
    <w:sectPr w:rsidR="00D3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27AD"/>
    <w:multiLevelType w:val="hybridMultilevel"/>
    <w:tmpl w:val="87067B46"/>
    <w:lvl w:ilvl="0" w:tplc="977CF28C">
      <w:start w:val="1"/>
      <w:numFmt w:val="bullet"/>
      <w:lvlText w:val="●"/>
      <w:lvlJc w:val="left"/>
      <w:pPr>
        <w:ind w:left="720" w:hanging="360"/>
      </w:pPr>
    </w:lvl>
    <w:lvl w:ilvl="1" w:tplc="8BF49746">
      <w:start w:val="1"/>
      <w:numFmt w:val="bullet"/>
      <w:lvlText w:val="○"/>
      <w:lvlJc w:val="left"/>
      <w:pPr>
        <w:ind w:left="1440" w:hanging="360"/>
      </w:pPr>
    </w:lvl>
    <w:lvl w:ilvl="2" w:tplc="CE8208B6">
      <w:start w:val="1"/>
      <w:numFmt w:val="bullet"/>
      <w:lvlText w:val="■"/>
      <w:lvlJc w:val="left"/>
      <w:pPr>
        <w:ind w:left="2160" w:hanging="360"/>
      </w:pPr>
    </w:lvl>
    <w:lvl w:ilvl="3" w:tplc="6FDA78C6">
      <w:start w:val="1"/>
      <w:numFmt w:val="bullet"/>
      <w:lvlText w:val="●"/>
      <w:lvlJc w:val="left"/>
      <w:pPr>
        <w:ind w:left="2880" w:hanging="360"/>
      </w:pPr>
    </w:lvl>
    <w:lvl w:ilvl="4" w:tplc="E886F4D6">
      <w:start w:val="1"/>
      <w:numFmt w:val="bullet"/>
      <w:lvlText w:val="○"/>
      <w:lvlJc w:val="left"/>
      <w:pPr>
        <w:ind w:left="3600" w:hanging="360"/>
      </w:pPr>
    </w:lvl>
    <w:lvl w:ilvl="5" w:tplc="746A7BCC">
      <w:start w:val="1"/>
      <w:numFmt w:val="bullet"/>
      <w:lvlText w:val="■"/>
      <w:lvlJc w:val="left"/>
      <w:pPr>
        <w:ind w:left="4320" w:hanging="360"/>
      </w:pPr>
    </w:lvl>
    <w:lvl w:ilvl="6" w:tplc="B5ECCFBA">
      <w:start w:val="1"/>
      <w:numFmt w:val="bullet"/>
      <w:lvlText w:val="●"/>
      <w:lvlJc w:val="left"/>
      <w:pPr>
        <w:ind w:left="5040" w:hanging="360"/>
      </w:pPr>
    </w:lvl>
    <w:lvl w:ilvl="7" w:tplc="A1941712">
      <w:start w:val="1"/>
      <w:numFmt w:val="bullet"/>
      <w:lvlText w:val="●"/>
      <w:lvlJc w:val="left"/>
      <w:pPr>
        <w:ind w:left="5760" w:hanging="360"/>
      </w:pPr>
    </w:lvl>
    <w:lvl w:ilvl="8" w:tplc="525AC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D97452"/>
    <w:multiLevelType w:val="hybridMultilevel"/>
    <w:tmpl w:val="66E62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210543">
    <w:abstractNumId w:val="0"/>
    <w:lvlOverride w:ilvl="0">
      <w:startOverride w:val="1"/>
    </w:lvlOverride>
  </w:num>
  <w:num w:numId="2" w16cid:durableId="207481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12"/>
    <w:rsid w:val="00177CD1"/>
    <w:rsid w:val="00196F60"/>
    <w:rsid w:val="00364E00"/>
    <w:rsid w:val="003B32D7"/>
    <w:rsid w:val="00880FBA"/>
    <w:rsid w:val="00D3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53F0F"/>
  <w15:chartTrackingRefBased/>
  <w15:docId w15:val="{1B47DE80-5C0B-F84B-A085-F3FB248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A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1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3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1658</Words>
  <Characters>11243</Characters>
  <Application>Microsoft Office Word</Application>
  <DocSecurity>0</DocSecurity>
  <Lines>340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Okoh</dc:creator>
  <cp:keywords/>
  <dc:description/>
  <cp:lastModifiedBy>Christie Okoh</cp:lastModifiedBy>
  <cp:revision>1</cp:revision>
  <dcterms:created xsi:type="dcterms:W3CDTF">2026-09-04T12:10:00Z</dcterms:created>
  <dcterms:modified xsi:type="dcterms:W3CDTF">2026-09-04T13:01:00Z</dcterms:modified>
</cp:coreProperties>
</file>