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6DA1D9A"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ANN</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419D7AEE"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Rationale &amp;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0483F836" w14:textId="23868A7C" w:rsidR="002C0CFD" w:rsidRPr="002C0CFD" w:rsidRDefault="002C0CFD" w:rsidP="00DB1A9F">
      <w:pPr>
        <w:shd w:val="clear" w:color="auto" w:fill="FFFFFF"/>
        <w:spacing w:after="0" w:line="240" w:lineRule="auto"/>
        <w:rPr>
          <w:rFonts w:ascii="Verdana" w:eastAsia="Times New Roman" w:hAnsi="Verdana" w:cs="Times New Roman"/>
          <w:i/>
          <w:iCs/>
          <w:color w:val="00B0F0"/>
          <w:lang w:val="en-GB"/>
        </w:rPr>
      </w:pPr>
      <w:r w:rsidRPr="002C0CFD">
        <w:rPr>
          <w:i/>
          <w:iCs/>
          <w:color w:val="00B0F0"/>
        </w:rPr>
        <w:t xml:space="preserve">The occurrence of harmful algal blooms (HABs) has increased in U.S. freshwater ecosystems in recent years [1–4]. Many cyanobacteria species can produce toxins that affect the nerve system, liver, and skin and cause harmful impacts on humans and animals using them for drinking water or recreation [5–7].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w:t>
      </w:r>
      <w:r w:rsidRPr="002C0CFD">
        <w:rPr>
          <w:i/>
          <w:iCs/>
          <w:color w:val="00B0F0"/>
        </w:rPr>
        <w:lastRenderedPageBreak/>
        <w:t>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w:t>
      </w:r>
      <w:proofErr w:type="spellStart"/>
      <w:r w:rsidRPr="002C0CFD">
        <w:rPr>
          <w:i/>
          <w:iCs/>
          <w:color w:val="00B0F0"/>
        </w:rPr>
        <w:t>Chl</w:t>
      </w:r>
      <w:proofErr w:type="spellEnd"/>
      <w:r w:rsidRPr="002C0CFD">
        <w:rPr>
          <w:i/>
          <w:iCs/>
          <w:color w:val="00B0F0"/>
        </w:rPr>
        <w:t>-a),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77777777" w:rsidR="00DB1A9F" w:rsidRPr="009753AB" w:rsidRDefault="00DB1A9F" w:rsidP="00DB1A9F">
      <w:pPr>
        <w:shd w:val="clear" w:color="auto" w:fill="FFFFFF"/>
        <w:spacing w:before="240"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7695231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5. Study area</w:t>
      </w:r>
    </w:p>
    <w:p w14:paraId="526FBC76" w14:textId="41213E96" w:rsidR="00DB1A9F" w:rsidRPr="00B96BF4" w:rsidRDefault="00A026B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 xml:space="preserve">Figure 1 shows the extent of the study area and the locations of water quality samples obtained by the U.S. Army Corps of Engineers (USACE) Louisville District Water Quality Team [48]. In situ water quality data have been consistently collected for 12 USACE lakes in the tri-state region, including 5 in Kentucky (Barren River Lake, Green River Lake, Nolin River Lake, Rough River Lake, and Taylorsville Lake), 4 in Indiana (Brookville Lake, </w:t>
      </w:r>
      <w:proofErr w:type="spellStart"/>
      <w:r w:rsidRPr="00B96BF4">
        <w:rPr>
          <w:i/>
          <w:iCs/>
          <w:color w:val="00B0F0"/>
        </w:rPr>
        <w:t>Cagles</w:t>
      </w:r>
      <w:proofErr w:type="spellEnd"/>
      <w:r w:rsidRPr="00B96BF4">
        <w:rPr>
          <w:i/>
          <w:iCs/>
          <w:color w:val="00B0F0"/>
        </w:rPr>
        <w:t xml:space="preserve"> Mill Lake, Monroe Lake, and Patoka Lake), and 3 in Ohio (Caesar Creek Lake, West Fork Lake, and Harsha Lake) (https://www.lrl.usace.army.mil/ Missions/</w:t>
      </w:r>
      <w:proofErr w:type="spellStart"/>
      <w:r w:rsidRPr="00B96BF4">
        <w:rPr>
          <w:i/>
          <w:iCs/>
          <w:color w:val="00B0F0"/>
        </w:rPr>
        <w:t>CivilWorks</w:t>
      </w:r>
      <w:proofErr w:type="spellEnd"/>
      <w:r w:rsidRPr="00B96BF4">
        <w:rPr>
          <w:i/>
          <w:iCs/>
          <w:color w:val="00B0F0"/>
        </w:rPr>
        <w:t xml:space="preserve">/Water-Information/Water-Quality/). USACE water 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w:t>
      </w:r>
      <w:proofErr w:type="spellStart"/>
      <w:r w:rsidRPr="00B96BF4">
        <w:rPr>
          <w:i/>
          <w:iCs/>
          <w:color w:val="00B0F0"/>
        </w:rPr>
        <w:t>Chl</w:t>
      </w:r>
      <w:proofErr w:type="spellEnd"/>
      <w:r w:rsidRPr="00B96BF4">
        <w:rPr>
          <w:i/>
          <w:iCs/>
          <w:color w:val="00B0F0"/>
        </w:rPr>
        <w:t xml:space="preserve">-a concentration measurements are used in the present study for the development and validation of the SVM predictive models. The USACE water quality data were collected in the months of May, June, July, August, September, and October. The </w:t>
      </w:r>
      <w:proofErr w:type="spellStart"/>
      <w:r w:rsidRPr="00B96BF4">
        <w:rPr>
          <w:i/>
          <w:iCs/>
          <w:color w:val="00B0F0"/>
        </w:rPr>
        <w:t>Chl</w:t>
      </w:r>
      <w:proofErr w:type="spellEnd"/>
      <w:r w:rsidRPr="00B96BF4">
        <w:rPr>
          <w:i/>
          <w:iCs/>
          <w:color w:val="00B0F0"/>
        </w:rPr>
        <w:t xml:space="preserve">-a concentrations varied from 1.3 to 63.1 µg/L, with an average value of 9.9 µg/L and a standard deviation of 7.8 µg/L. There are seasonal changes in the mean values of the </w:t>
      </w:r>
      <w:proofErr w:type="spellStart"/>
      <w:r w:rsidRPr="00B96BF4">
        <w:rPr>
          <w:i/>
          <w:iCs/>
          <w:color w:val="00B0F0"/>
        </w:rPr>
        <w:t>Chl</w:t>
      </w:r>
      <w:proofErr w:type="spellEnd"/>
      <w:r w:rsidRPr="00B96BF4">
        <w:rPr>
          <w:i/>
          <w:iCs/>
          <w:color w:val="00B0F0"/>
        </w:rPr>
        <w:t xml:space="preserve">-a samples, indicating the role of climate and some other seasonal factors such as agriculture activities in shaping </w:t>
      </w:r>
      <w:proofErr w:type="spellStart"/>
      <w:r w:rsidRPr="00B96BF4">
        <w:rPr>
          <w:i/>
          <w:iCs/>
          <w:color w:val="00B0F0"/>
        </w:rPr>
        <w:t>Chl</w:t>
      </w:r>
      <w:proofErr w:type="spellEnd"/>
      <w:r w:rsidRPr="00B96BF4">
        <w:rPr>
          <w:i/>
          <w:iCs/>
          <w:color w:val="00B0F0"/>
        </w:rPr>
        <w:t xml:space="preserve">-a concentrations in these lakes. The average </w:t>
      </w:r>
      <w:proofErr w:type="spellStart"/>
      <w:r w:rsidRPr="00B96BF4">
        <w:rPr>
          <w:i/>
          <w:iCs/>
          <w:color w:val="00B0F0"/>
        </w:rPr>
        <w:t>Chl</w:t>
      </w:r>
      <w:proofErr w:type="spellEnd"/>
      <w:r w:rsidRPr="00B96BF4">
        <w:rPr>
          <w:i/>
          <w:iCs/>
          <w:color w:val="00B0F0"/>
        </w:rPr>
        <w:t>-a values (µg/L) gradually increase from May (7.7) to June (8.2), July (8.4), August (9.1), and reach the peak in September (11.7). It then drops in October (8.4) to a similar level as in June and Jul</w:t>
      </w:r>
      <w:r w:rsidR="00B96BF4" w:rsidRPr="00B96BF4">
        <w:rPr>
          <w:i/>
          <w:iCs/>
          <w:color w:val="00B0F0"/>
        </w:rPr>
        <w:t>y</w:t>
      </w: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7ACD60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comprehensive aim of this project is to come up with a mid-level geo-intelligent system for monitoring and short-term forecasting of cyanobacteria and algal </w:t>
      </w:r>
      <w:r w:rsidRPr="009753AB">
        <w:rPr>
          <w:rFonts w:ascii="Verdana" w:eastAsia="Times New Roman" w:hAnsi="Verdana" w:cs="Times New Roman"/>
          <w:color w:val="000000"/>
          <w:lang w:val="en-GB"/>
        </w:rPr>
        <w:lastRenderedPageBreak/>
        <w:t>blooms in the area of study. By employing automated Internet of Things (IoT) sensors and Earth Observation (EO) data, the Harmful Algal Blooms (HABs) monitoring and prediction can be achieved in near real-time.</w:t>
      </w:r>
    </w:p>
    <w:p w14:paraId="33F1060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0822C77" w14:textId="3FFAD548"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77777777" w:rsidR="00B02A1E" w:rsidRP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w:t>
      </w:r>
      <w:proofErr w:type="spellStart"/>
      <w:r w:rsidRPr="00B02A1E">
        <w:rPr>
          <w:i/>
          <w:iCs/>
          <w:color w:val="00B0F0"/>
        </w:rPr>
        <w:t>SeaWiFS</w:t>
      </w:r>
      <w:proofErr w:type="spellEnd"/>
      <w:r w:rsidRPr="00B02A1E">
        <w:rPr>
          <w:i/>
          <w:iCs/>
          <w:color w:val="00B0F0"/>
        </w:rPr>
        <w:t xml:space="preserve">,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w:t>
      </w:r>
      <w:proofErr w:type="spellStart"/>
      <w:r w:rsidRPr="00B02A1E">
        <w:rPr>
          <w:i/>
          <w:iCs/>
          <w:color w:val="00B0F0"/>
        </w:rPr>
        <w:t>Chl</w:t>
      </w:r>
      <w:proofErr w:type="spellEnd"/>
      <w:r w:rsidRPr="00B02A1E">
        <w:rPr>
          <w:i/>
          <w:iCs/>
          <w:color w:val="00B0F0"/>
        </w:rPr>
        <w:t xml:space="preserve">-a (Chlorophyll concentration estimate), as phytoplankton increases the backscattered light within pigment absorption spectral frequencies. An excellent review of these historical and current methods, sensors and satellites is given by </w:t>
      </w:r>
      <w:proofErr w:type="spellStart"/>
      <w:r w:rsidRPr="00B02A1E">
        <w:rPr>
          <w:i/>
          <w:iCs/>
          <w:color w:val="00B0F0"/>
        </w:rPr>
        <w:t>Blondeau-Patissier</w:t>
      </w:r>
      <w:proofErr w:type="spellEnd"/>
      <w:r w:rsidRPr="00B02A1E">
        <w:rPr>
          <w:i/>
          <w:iCs/>
          <w:color w:val="00B0F0"/>
        </w:rPr>
        <w:t xml:space="preserve">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 xml:space="preserve">Previous remote sensing based HAB detection methods have, in the majority of cases used spatially isolated and single satellite sensor data samples. Many methods have been developed for HAB detection </w:t>
      </w:r>
      <w:proofErr w:type="spellStart"/>
      <w:r w:rsidRPr="00BE3817">
        <w:rPr>
          <w:i/>
          <w:iCs/>
          <w:color w:val="00B0F0"/>
        </w:rPr>
        <w:t>utilising</w:t>
      </w:r>
      <w:proofErr w:type="spellEnd"/>
      <w:r w:rsidRPr="00BE3817">
        <w:rPr>
          <w:i/>
          <w:iCs/>
          <w:color w:val="00B0F0"/>
        </w:rPr>
        <w:t xml:space="preserve"> a wide range of satellite sensors and bands. Many common methods of HAB detection are currently based on Chlorophyll concentration products, as </w:t>
      </w:r>
      <w:proofErr w:type="spellStart"/>
      <w:r w:rsidRPr="00BE3817">
        <w:rPr>
          <w:i/>
          <w:iCs/>
          <w:color w:val="00B0F0"/>
        </w:rPr>
        <w:t>Chl</w:t>
      </w:r>
      <w:proofErr w:type="spellEnd"/>
      <w:r w:rsidRPr="00BE3817">
        <w:rPr>
          <w:i/>
          <w:iCs/>
          <w:color w:val="00B0F0"/>
        </w:rPr>
        <w:t xml:space="preserve">-a is in many cases, a very accurate proxy of local algal activity. Phytoplankton is the primary water constituent [16], [17] thus, </w:t>
      </w:r>
      <w:proofErr w:type="spellStart"/>
      <w:r w:rsidRPr="00BE3817">
        <w:rPr>
          <w:i/>
          <w:iCs/>
          <w:color w:val="00B0F0"/>
        </w:rPr>
        <w:t>Chl</w:t>
      </w:r>
      <w:proofErr w:type="spellEnd"/>
      <w:r w:rsidRPr="00BE3817">
        <w:rPr>
          <w:i/>
          <w:iCs/>
          <w:color w:val="00B0F0"/>
        </w:rPr>
        <w:t xml:space="preserve">-a can often be accurately estimated using the water-leaving reflectance using relationships (such as remote sensing band-ratios) for data from sensors such as </w:t>
      </w:r>
      <w:proofErr w:type="spellStart"/>
      <w:r w:rsidRPr="00BE3817">
        <w:rPr>
          <w:i/>
          <w:iCs/>
          <w:color w:val="00B0F0"/>
        </w:rPr>
        <w:t>SeaWiFS</w:t>
      </w:r>
      <w:proofErr w:type="spellEnd"/>
      <w:r w:rsidRPr="00BE3817">
        <w:rPr>
          <w:i/>
          <w:iCs/>
          <w:color w:val="00B0F0"/>
        </w:rPr>
        <w:t>,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 xml:space="preserve">These simplistic methods in many cases suffer from a large quantity of false positive detections. The most effective updates to these methods further consider measures of Carbon Dissolved Organic Matter (CDOM) </w:t>
      </w:r>
      <w:proofErr w:type="spellStart"/>
      <w:r w:rsidRPr="00BE3817">
        <w:rPr>
          <w:i/>
          <w:iCs/>
          <w:color w:val="00B0F0"/>
        </w:rPr>
        <w:t>utilising</w:t>
      </w:r>
      <w:proofErr w:type="spellEnd"/>
      <w:r w:rsidRPr="00BE3817">
        <w:rPr>
          <w:i/>
          <w:iCs/>
          <w:color w:val="00B0F0"/>
        </w:rPr>
        <w:t xml:space="preserve"> backscattering data from </w:t>
      </w:r>
      <w:proofErr w:type="spellStart"/>
      <w:r w:rsidRPr="00BE3817">
        <w:rPr>
          <w:i/>
          <w:iCs/>
          <w:color w:val="00B0F0"/>
        </w:rPr>
        <w:t>SeaWiFS</w:t>
      </w:r>
      <w:proofErr w:type="spellEnd"/>
      <w:r w:rsidRPr="00BE3817">
        <w:rPr>
          <w:i/>
          <w:iCs/>
          <w:color w:val="00B0F0"/>
        </w:rPr>
        <w:t xml:space="preserve">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lastRenderedPageBreak/>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algorithms will then be usable in near real-time through the IoT utilizing incoming </w:t>
      </w:r>
      <w:r w:rsidRPr="009753AB">
        <w:rPr>
          <w:rFonts w:ascii="Verdana" w:eastAsia="Times New Roman" w:hAnsi="Verdana" w:cs="Times New Roman"/>
          <w:i/>
          <w:iCs/>
          <w:color w:val="000000"/>
          <w:lang w:val="en-GB"/>
        </w:rPr>
        <w:t>in-situ</w:t>
      </w:r>
      <w:r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Maps</w:t>
      </w:r>
    </w:p>
    <w:p w14:paraId="0D913FAF"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Graphic</w:t>
      </w:r>
    </w:p>
    <w:p w14:paraId="1844D752"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Messaging components in the User Interface, </w:t>
      </w:r>
    </w:p>
    <w:p w14:paraId="240527DA"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lang w:val="en-GB"/>
        </w:rPr>
        <w:t> </w:t>
      </w:r>
    </w:p>
    <w:p w14:paraId="0000001A" w14:textId="3A520DB7" w:rsidR="004D7C29" w:rsidRPr="009753AB" w:rsidRDefault="004D7C29" w:rsidP="00DB1A9F">
      <w:pPr>
        <w:rPr>
          <w:rFonts w:ascii="Verdana" w:hAnsi="Verdana"/>
        </w:rPr>
      </w:pPr>
    </w:p>
    <w:sectPr w:rsidR="004D7C29" w:rsidRPr="009753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3"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lvl w:ilvl="0">
        <w:numFmt w:val="upperRoman"/>
        <w:lvlText w:val="%1."/>
        <w:lvlJc w:val="right"/>
      </w:lvl>
    </w:lvlOverride>
  </w:num>
  <w:num w:numId="3">
    <w:abstractNumId w:val="6"/>
  </w:num>
  <w:num w:numId="4">
    <w:abstractNumId w:val="4"/>
    <w:lvlOverride w:ilvl="0">
      <w:lvl w:ilvl="0">
        <w:numFmt w:val="upperRoman"/>
        <w:lvlText w:val="%1."/>
        <w:lvlJc w:val="right"/>
      </w:lvl>
    </w:lvlOverride>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182C"/>
    <w:rsid w:val="000A7C5B"/>
    <w:rsid w:val="001670E5"/>
    <w:rsid w:val="00175EC8"/>
    <w:rsid w:val="001C3FAC"/>
    <w:rsid w:val="001F1E36"/>
    <w:rsid w:val="0020497A"/>
    <w:rsid w:val="002C0CFD"/>
    <w:rsid w:val="003463D0"/>
    <w:rsid w:val="00376823"/>
    <w:rsid w:val="00446B48"/>
    <w:rsid w:val="004D7C29"/>
    <w:rsid w:val="00555E84"/>
    <w:rsid w:val="00636F18"/>
    <w:rsid w:val="00875B09"/>
    <w:rsid w:val="008E0F69"/>
    <w:rsid w:val="009753AB"/>
    <w:rsid w:val="00A026B8"/>
    <w:rsid w:val="00B02A1E"/>
    <w:rsid w:val="00B96BF4"/>
    <w:rsid w:val="00BE3817"/>
    <w:rsid w:val="00C03413"/>
    <w:rsid w:val="00C91319"/>
    <w:rsid w:val="00CF58BE"/>
    <w:rsid w:val="00DB1A9F"/>
    <w:rsid w:val="00DB5A15"/>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18</cp:revision>
  <dcterms:created xsi:type="dcterms:W3CDTF">2021-05-18T07:43:00Z</dcterms:created>
  <dcterms:modified xsi:type="dcterms:W3CDTF">2021-05-22T13:36:00Z</dcterms:modified>
</cp:coreProperties>
</file>