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Initialisation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Zero Configuration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  <w:t xml:space="preserve">DataTables has most features enabled by default, so all you need to do to use it with your own tables is to call the construction function: $().DataTable();. You can refer full documentation from here </w:t>
      </w:r>
      <w:hyperlink r:id="rId53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Default Ordering</w:t>
      </w:r>
    </w:p>
    <w:p w:rsidR="00000000" w:rsidDel="00000000" w:rsidP="00000000" w:rsidRDefault="00000000" w:rsidRPr="00000000" w14:paraId="000001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DataTables you can alter the ordering characteristics of the table at initialisation time. Using the order | option order initialisation parameter, you can set the table to display the data in exactly the order that you want.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Multi-column ordering</w:t>
      </w:r>
    </w:p>
    <w:p w:rsidR="00000000" w:rsidDel="00000000" w:rsidP="00000000" w:rsidRDefault="00000000" w:rsidRPr="00000000" w14:paraId="000003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a per-column basis (i.e. order by a specific column and then a secondary column if the data in the first column is identical), through the columns.orderData option.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datatables.net/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54" Type="http://schemas.openxmlformats.org/officeDocument/2006/relationships/hyperlink" Target="https://wrappixel.co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