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3C4CFC" w14:textId="77777777" w:rsidR="007C0A80" w:rsidRPr="00A663DD" w:rsidRDefault="007C0A80" w:rsidP="007C0A80">
      <w:pPr>
        <w:rPr>
          <w:rFonts w:ascii="Aptos Narrow" w:hAnsi="Aptos Narrow"/>
          <w:b/>
          <w:bCs/>
        </w:rPr>
      </w:pPr>
    </w:p>
    <w:p w14:paraId="746224A1" w14:textId="3C95A00B" w:rsidR="007C0A80" w:rsidRDefault="007C0A80" w:rsidP="007C0A80">
      <w:pPr>
        <w:rPr>
          <w:rFonts w:ascii="Aptos Narrow" w:hAnsi="Aptos Narrow"/>
          <w:b/>
          <w:bCs/>
        </w:rPr>
      </w:pPr>
      <w:r w:rsidRPr="00A663DD">
        <w:rPr>
          <w:rFonts w:ascii="Aptos Narrow" w:hAnsi="Aptos Narrow"/>
          <w:b/>
          <w:bCs/>
        </w:rPr>
        <w:t xml:space="preserve">TECHNICAL REPORT ANALYSIS FOR </w:t>
      </w:r>
      <w:r w:rsidR="007D2BE3">
        <w:rPr>
          <w:rFonts w:ascii="Aptos Narrow" w:hAnsi="Aptos Narrow"/>
          <w:b/>
          <w:bCs/>
        </w:rPr>
        <w:t>HOLY CROSS</w:t>
      </w:r>
      <w:r w:rsidR="00883EAB">
        <w:rPr>
          <w:rFonts w:ascii="Aptos Narrow" w:hAnsi="Aptos Narrow"/>
          <w:b/>
          <w:bCs/>
        </w:rPr>
        <w:t xml:space="preserve"> HOSPITAL CHAIN</w:t>
      </w:r>
      <w:r w:rsidRPr="00A663DD">
        <w:rPr>
          <w:rFonts w:ascii="Aptos Narrow" w:hAnsi="Aptos Narrow"/>
          <w:b/>
          <w:bCs/>
        </w:rPr>
        <w:t xml:space="preserve"> FOR THE YEAR</w:t>
      </w:r>
      <w:r w:rsidR="00883EAB">
        <w:rPr>
          <w:rFonts w:ascii="Aptos Narrow" w:hAnsi="Aptos Narrow"/>
          <w:b/>
          <w:bCs/>
        </w:rPr>
        <w:t>S</w:t>
      </w:r>
      <w:r w:rsidRPr="00A663DD">
        <w:rPr>
          <w:rFonts w:ascii="Aptos Narrow" w:hAnsi="Aptos Narrow"/>
          <w:b/>
          <w:bCs/>
        </w:rPr>
        <w:t xml:space="preserve"> 202</w:t>
      </w:r>
      <w:r w:rsidR="00883EAB">
        <w:rPr>
          <w:rFonts w:ascii="Aptos Narrow" w:hAnsi="Aptos Narrow"/>
          <w:b/>
          <w:bCs/>
        </w:rPr>
        <w:t>19 - 2024</w:t>
      </w:r>
      <w:r w:rsidRPr="00A663DD">
        <w:rPr>
          <w:rFonts w:ascii="Aptos Narrow" w:hAnsi="Aptos Narrow"/>
          <w:b/>
          <w:bCs/>
        </w:rPr>
        <w:t>.</w:t>
      </w:r>
    </w:p>
    <w:p w14:paraId="00A900F4" w14:textId="77777777" w:rsidR="007F6D2B" w:rsidRPr="007F6D2B" w:rsidRDefault="007F6D2B" w:rsidP="007F6D2B">
      <w:pPr>
        <w:rPr>
          <w:rFonts w:ascii="Aptos Narrow" w:hAnsi="Aptos Narrow"/>
          <w:b/>
          <w:bCs/>
        </w:rPr>
      </w:pPr>
      <w:r w:rsidRPr="007F6D2B">
        <w:rPr>
          <w:rFonts w:ascii="Aptos Narrow" w:hAnsi="Aptos Narrow"/>
          <w:b/>
          <w:bCs/>
        </w:rPr>
        <w:t>Introduction</w:t>
      </w:r>
    </w:p>
    <w:p w14:paraId="6E964A2F" w14:textId="77777777" w:rsidR="007F6D2B" w:rsidRPr="007F6D2B" w:rsidRDefault="007F6D2B" w:rsidP="007F6D2B">
      <w:pPr>
        <w:rPr>
          <w:rFonts w:ascii="Aptos Narrow" w:hAnsi="Aptos Narrow"/>
          <w:b/>
          <w:bCs/>
        </w:rPr>
      </w:pPr>
    </w:p>
    <w:p w14:paraId="16A8DA19" w14:textId="77777777" w:rsidR="007F6D2B" w:rsidRPr="007F6D2B" w:rsidRDefault="007F6D2B" w:rsidP="007F6D2B">
      <w:pPr>
        <w:rPr>
          <w:rFonts w:ascii="Aptos Narrow" w:hAnsi="Aptos Narrow"/>
          <w:b/>
          <w:bCs/>
        </w:rPr>
      </w:pPr>
      <w:r w:rsidRPr="007F6D2B">
        <w:rPr>
          <w:rFonts w:ascii="Aptos Narrow" w:hAnsi="Aptos Narrow"/>
          <w:b/>
          <w:bCs/>
        </w:rPr>
        <w:t>· Story of Data</w:t>
      </w:r>
    </w:p>
    <w:p w14:paraId="66C3BB2F" w14:textId="77777777" w:rsidR="007F6D2B" w:rsidRPr="007F6D2B" w:rsidRDefault="007F6D2B" w:rsidP="007F6D2B">
      <w:pPr>
        <w:rPr>
          <w:rFonts w:ascii="Aptos Narrow" w:hAnsi="Aptos Narrow"/>
          <w:b/>
          <w:bCs/>
        </w:rPr>
      </w:pPr>
    </w:p>
    <w:p w14:paraId="7DF0EC90" w14:textId="77777777" w:rsidR="007F6D2B" w:rsidRPr="007F6D2B" w:rsidRDefault="007F6D2B" w:rsidP="007F6D2B">
      <w:pPr>
        <w:rPr>
          <w:rFonts w:ascii="Aptos Narrow" w:hAnsi="Aptos Narrow"/>
          <w:b/>
          <w:bCs/>
        </w:rPr>
      </w:pPr>
      <w:r w:rsidRPr="007F6D2B">
        <w:rPr>
          <w:rFonts w:ascii="Aptos Narrow" w:hAnsi="Aptos Narrow"/>
          <w:b/>
          <w:bCs/>
        </w:rPr>
        <w:t>· Pre-Analysis</w:t>
      </w:r>
    </w:p>
    <w:p w14:paraId="1EB03F22" w14:textId="77777777" w:rsidR="007F6D2B" w:rsidRPr="007F6D2B" w:rsidRDefault="007F6D2B" w:rsidP="007F6D2B">
      <w:pPr>
        <w:rPr>
          <w:rFonts w:ascii="Aptos Narrow" w:hAnsi="Aptos Narrow"/>
          <w:b/>
          <w:bCs/>
        </w:rPr>
      </w:pPr>
    </w:p>
    <w:p w14:paraId="6A72C7B4" w14:textId="77777777" w:rsidR="007F6D2B" w:rsidRPr="007F6D2B" w:rsidRDefault="007F6D2B" w:rsidP="007F6D2B">
      <w:pPr>
        <w:rPr>
          <w:rFonts w:ascii="Aptos Narrow" w:hAnsi="Aptos Narrow"/>
          <w:b/>
          <w:bCs/>
        </w:rPr>
      </w:pPr>
      <w:r w:rsidRPr="007F6D2B">
        <w:rPr>
          <w:rFonts w:ascii="Aptos Narrow" w:hAnsi="Aptos Narrow"/>
          <w:b/>
          <w:bCs/>
        </w:rPr>
        <w:t>· In-Analysis</w:t>
      </w:r>
    </w:p>
    <w:p w14:paraId="506421C0" w14:textId="77777777" w:rsidR="007F6D2B" w:rsidRPr="007F6D2B" w:rsidRDefault="007F6D2B" w:rsidP="007F6D2B">
      <w:pPr>
        <w:rPr>
          <w:rFonts w:ascii="Aptos Narrow" w:hAnsi="Aptos Narrow"/>
          <w:b/>
          <w:bCs/>
        </w:rPr>
      </w:pPr>
    </w:p>
    <w:p w14:paraId="2C6FA907" w14:textId="77777777" w:rsidR="007F6D2B" w:rsidRPr="007F6D2B" w:rsidRDefault="007F6D2B" w:rsidP="007F6D2B">
      <w:pPr>
        <w:rPr>
          <w:rFonts w:ascii="Aptos Narrow" w:hAnsi="Aptos Narrow"/>
          <w:b/>
          <w:bCs/>
        </w:rPr>
      </w:pPr>
      <w:r w:rsidRPr="007F6D2B">
        <w:rPr>
          <w:rFonts w:ascii="Aptos Narrow" w:hAnsi="Aptos Narrow"/>
          <w:b/>
          <w:bCs/>
        </w:rPr>
        <w:t>· Post-Analysis and Insights</w:t>
      </w:r>
    </w:p>
    <w:p w14:paraId="52B4490F" w14:textId="77777777" w:rsidR="007F6D2B" w:rsidRPr="007F6D2B" w:rsidRDefault="007F6D2B" w:rsidP="007F6D2B">
      <w:pPr>
        <w:rPr>
          <w:rFonts w:ascii="Aptos Narrow" w:hAnsi="Aptos Narrow"/>
          <w:b/>
          <w:bCs/>
        </w:rPr>
      </w:pPr>
    </w:p>
    <w:p w14:paraId="6963A448" w14:textId="77777777" w:rsidR="007F6D2B" w:rsidRPr="007F6D2B" w:rsidRDefault="007F6D2B" w:rsidP="007F6D2B">
      <w:pPr>
        <w:rPr>
          <w:rFonts w:ascii="Aptos Narrow" w:hAnsi="Aptos Narrow"/>
          <w:b/>
          <w:bCs/>
        </w:rPr>
      </w:pPr>
      <w:r w:rsidRPr="007F6D2B">
        <w:rPr>
          <w:rFonts w:ascii="Aptos Narrow" w:hAnsi="Aptos Narrow"/>
          <w:b/>
          <w:bCs/>
        </w:rPr>
        <w:t>· Recommendations and Observations</w:t>
      </w:r>
    </w:p>
    <w:p w14:paraId="2EA24436" w14:textId="77777777" w:rsidR="007F6D2B" w:rsidRPr="007F6D2B" w:rsidRDefault="007F6D2B" w:rsidP="007F6D2B">
      <w:pPr>
        <w:rPr>
          <w:rFonts w:ascii="Aptos Narrow" w:hAnsi="Aptos Narrow"/>
          <w:b/>
          <w:bCs/>
        </w:rPr>
      </w:pPr>
    </w:p>
    <w:p w14:paraId="65818898" w14:textId="221F8E3B" w:rsidR="007F6D2B" w:rsidRDefault="007F6D2B" w:rsidP="007F6D2B">
      <w:pPr>
        <w:rPr>
          <w:rFonts w:ascii="Aptos Narrow" w:hAnsi="Aptos Narrow"/>
          <w:b/>
          <w:bCs/>
        </w:rPr>
      </w:pPr>
      <w:r w:rsidRPr="007F6D2B">
        <w:rPr>
          <w:rFonts w:ascii="Aptos Narrow" w:hAnsi="Aptos Narrow"/>
          <w:b/>
          <w:bCs/>
        </w:rPr>
        <w:t>· Conclusion</w:t>
      </w:r>
    </w:p>
    <w:p w14:paraId="0DB48E1B" w14:textId="77777777" w:rsidR="007F6D2B" w:rsidRPr="00A663DD" w:rsidRDefault="007F6D2B" w:rsidP="007C0A80">
      <w:pPr>
        <w:rPr>
          <w:rFonts w:ascii="Aptos Narrow" w:hAnsi="Aptos Narrow"/>
          <w:b/>
          <w:bCs/>
        </w:rPr>
      </w:pPr>
    </w:p>
    <w:p w14:paraId="649FD2BB" w14:textId="77777777" w:rsidR="00505312" w:rsidRPr="00505312" w:rsidRDefault="00505312" w:rsidP="00505312">
      <w:pPr>
        <w:rPr>
          <w:rFonts w:ascii="Aptos Narrow" w:hAnsi="Aptos Narrow"/>
          <w:b/>
          <w:bCs/>
        </w:rPr>
      </w:pPr>
      <w:r w:rsidRPr="00505312">
        <w:rPr>
          <w:rFonts w:ascii="Aptos Narrow" w:hAnsi="Aptos Narrow"/>
          <w:b/>
          <w:bCs/>
        </w:rPr>
        <w:t>1. Introduction</w:t>
      </w:r>
    </w:p>
    <w:p w14:paraId="7EBFB6D8" w14:textId="5D7BFAAE" w:rsidR="00A268C3" w:rsidRDefault="00505312" w:rsidP="00505312">
      <w:pPr>
        <w:rPr>
          <w:rFonts w:ascii="Aptos Narrow" w:hAnsi="Aptos Narrow"/>
        </w:rPr>
      </w:pPr>
      <w:r w:rsidRPr="00505312">
        <w:rPr>
          <w:rFonts w:ascii="Aptos Narrow" w:hAnsi="Aptos Narrow"/>
        </w:rPr>
        <w:t xml:space="preserve">This report presents a detailed analysis of </w:t>
      </w:r>
      <w:r w:rsidR="00EE6578">
        <w:rPr>
          <w:rFonts w:ascii="Aptos Narrow" w:hAnsi="Aptos Narrow"/>
        </w:rPr>
        <w:t>Holy Cross</w:t>
      </w:r>
      <w:r w:rsidR="001C280D">
        <w:rPr>
          <w:rFonts w:ascii="Aptos Narrow" w:hAnsi="Aptos Narrow"/>
        </w:rPr>
        <w:t xml:space="preserve"> Hospital </w:t>
      </w:r>
      <w:r w:rsidR="00EE6578">
        <w:rPr>
          <w:rFonts w:ascii="Aptos Narrow" w:hAnsi="Aptos Narrow"/>
        </w:rPr>
        <w:t xml:space="preserve">Chain </w:t>
      </w:r>
      <w:r w:rsidR="00CB1092">
        <w:rPr>
          <w:rFonts w:ascii="Aptos Narrow" w:hAnsi="Aptos Narrow"/>
        </w:rPr>
        <w:t>Performance</w:t>
      </w:r>
      <w:r w:rsidR="00EE6578">
        <w:rPr>
          <w:rFonts w:ascii="Aptos Narrow" w:hAnsi="Aptos Narrow"/>
        </w:rPr>
        <w:t xml:space="preserve"> for the years 2019 to 2024.</w:t>
      </w:r>
      <w:r w:rsidR="00CB1092">
        <w:rPr>
          <w:rFonts w:ascii="Aptos Narrow" w:hAnsi="Aptos Narrow"/>
        </w:rPr>
        <w:t xml:space="preserve"> </w:t>
      </w:r>
      <w:r w:rsidR="00EE6578">
        <w:rPr>
          <w:rFonts w:ascii="Aptos Narrow" w:hAnsi="Aptos Narrow"/>
        </w:rPr>
        <w:t xml:space="preserve">This </w:t>
      </w:r>
      <w:r w:rsidR="00CB1092" w:rsidRPr="00572EF6">
        <w:t xml:space="preserve">report provides a comprehensive analysis focusing on revenue generation, patient demographics, and medical conditions. The analysis </w:t>
      </w:r>
      <w:r w:rsidR="00287C6D">
        <w:t xml:space="preserve">goal is to identify patterns, improve </w:t>
      </w:r>
      <w:r w:rsidR="00B96D8B">
        <w:t>healthcare service.</w:t>
      </w:r>
      <w:r w:rsidR="00A268C3">
        <w:t xml:space="preserve"> The</w:t>
      </w:r>
      <w:r w:rsidRPr="00505312">
        <w:rPr>
          <w:rFonts w:ascii="Aptos Narrow" w:hAnsi="Aptos Narrow"/>
        </w:rPr>
        <w:t xml:space="preserve"> analysis aims to provide actionable insights to support strategic decision-making for the upcoming year. The dataset includes </w:t>
      </w:r>
      <w:r w:rsidR="00A268C3">
        <w:rPr>
          <w:rFonts w:ascii="Aptos Narrow" w:hAnsi="Aptos Narrow"/>
        </w:rPr>
        <w:t>Name, Age, Blood type</w:t>
      </w:r>
      <w:r w:rsidR="00056D1A">
        <w:rPr>
          <w:rFonts w:ascii="Aptos Narrow" w:hAnsi="Aptos Narrow"/>
        </w:rPr>
        <w:t xml:space="preserve">, </w:t>
      </w:r>
      <w:r w:rsidR="00B10B9D">
        <w:rPr>
          <w:rFonts w:ascii="Aptos Narrow" w:hAnsi="Aptos Narrow"/>
        </w:rPr>
        <w:t xml:space="preserve">Medical Condition, Date of Admission, Doctor, </w:t>
      </w:r>
      <w:r w:rsidR="000E6339">
        <w:rPr>
          <w:rFonts w:ascii="Aptos Narrow" w:hAnsi="Aptos Narrow"/>
        </w:rPr>
        <w:t>Hospital, Insurance</w:t>
      </w:r>
      <w:r w:rsidR="00A816A5">
        <w:rPr>
          <w:rFonts w:ascii="Aptos Narrow" w:hAnsi="Aptos Narrow"/>
        </w:rPr>
        <w:t xml:space="preserve"> Provider</w:t>
      </w:r>
      <w:r w:rsidR="000E6339">
        <w:rPr>
          <w:rFonts w:ascii="Aptos Narrow" w:hAnsi="Aptos Narrow"/>
        </w:rPr>
        <w:t xml:space="preserve">, Billing Amount, </w:t>
      </w:r>
      <w:r w:rsidR="00C42157">
        <w:rPr>
          <w:rFonts w:ascii="Aptos Narrow" w:hAnsi="Aptos Narrow"/>
        </w:rPr>
        <w:t>Room Number, Admission Type, Discharge Date</w:t>
      </w:r>
      <w:r w:rsidR="00A816A5">
        <w:rPr>
          <w:rFonts w:ascii="Aptos Narrow" w:hAnsi="Aptos Narrow"/>
        </w:rPr>
        <w:t>,</w:t>
      </w:r>
      <w:r w:rsidR="005B2CC8">
        <w:rPr>
          <w:rFonts w:ascii="Aptos Narrow" w:hAnsi="Aptos Narrow"/>
        </w:rPr>
        <w:t xml:space="preserve"> </w:t>
      </w:r>
      <w:r w:rsidR="00A816A5">
        <w:rPr>
          <w:rFonts w:ascii="Aptos Narrow" w:hAnsi="Aptos Narrow"/>
        </w:rPr>
        <w:t>Medication</w:t>
      </w:r>
      <w:r w:rsidR="005B2CC8">
        <w:rPr>
          <w:rFonts w:ascii="Aptos Narrow" w:hAnsi="Aptos Narrow"/>
        </w:rPr>
        <w:t xml:space="preserve"> and Discharge Date.</w:t>
      </w:r>
    </w:p>
    <w:p w14:paraId="43953218" w14:textId="77777777" w:rsidR="00CF47BC" w:rsidRPr="00CF47BC" w:rsidRDefault="00CF47BC" w:rsidP="00CF47BC">
      <w:pPr>
        <w:rPr>
          <w:rFonts w:ascii="Aptos Narrow" w:hAnsi="Aptos Narrow"/>
          <w:b/>
          <w:bCs/>
        </w:rPr>
      </w:pPr>
      <w:r w:rsidRPr="00CF47BC">
        <w:rPr>
          <w:rFonts w:ascii="Aptos Narrow" w:hAnsi="Aptos Narrow"/>
          <w:b/>
          <w:bCs/>
        </w:rPr>
        <w:t>2. Story of the Data</w:t>
      </w:r>
    </w:p>
    <w:p w14:paraId="6D261B4B" w14:textId="7D51FC5E" w:rsidR="002454C6" w:rsidRPr="00A663DD" w:rsidRDefault="002A318E" w:rsidP="002454C6">
      <w:pPr>
        <w:rPr>
          <w:rFonts w:ascii="Aptos Narrow" w:hAnsi="Aptos Narrow"/>
        </w:rPr>
      </w:pPr>
      <w:r w:rsidRPr="00A663DD">
        <w:rPr>
          <w:rFonts w:ascii="Aptos Narrow" w:hAnsi="Aptos Narrow"/>
        </w:rPr>
        <w:t xml:space="preserve">The dataset was collected from Kaggle.com. </w:t>
      </w:r>
      <w:r w:rsidR="00CF47BC" w:rsidRPr="00CF47BC">
        <w:rPr>
          <w:rFonts w:ascii="Aptos Narrow" w:hAnsi="Aptos Narrow"/>
        </w:rPr>
        <w:t xml:space="preserve">The dataset reflects </w:t>
      </w:r>
      <w:r w:rsidR="00ED7F41">
        <w:rPr>
          <w:rFonts w:ascii="Aptos Narrow" w:hAnsi="Aptos Narrow"/>
        </w:rPr>
        <w:t xml:space="preserve">the hospital chain performance </w:t>
      </w:r>
      <w:r w:rsidR="00A86685">
        <w:rPr>
          <w:rFonts w:ascii="Aptos Narrow" w:hAnsi="Aptos Narrow"/>
        </w:rPr>
        <w:t xml:space="preserve">from the year 2019 to 2024. </w:t>
      </w:r>
      <w:r w:rsidR="00EC1C10" w:rsidRPr="00EC1C10">
        <w:rPr>
          <w:rFonts w:ascii="Aptos Narrow" w:hAnsi="Aptos Narrow"/>
        </w:rPr>
        <w:t>The data tells a story about different medical conditions of patients, the hospital they visit for treatments, the doctor treating them and the insurance provider they have</w:t>
      </w:r>
      <w:r w:rsidR="00EC1C10">
        <w:rPr>
          <w:rFonts w:ascii="Aptos Narrow" w:hAnsi="Aptos Narrow"/>
        </w:rPr>
        <w:t>.</w:t>
      </w:r>
    </w:p>
    <w:p w14:paraId="582869C5" w14:textId="44ED1C61" w:rsidR="00CF47BC" w:rsidRPr="00A663DD" w:rsidRDefault="002454C6" w:rsidP="002454C6">
      <w:pPr>
        <w:rPr>
          <w:rFonts w:ascii="Aptos Narrow" w:hAnsi="Aptos Narrow"/>
          <w:b/>
          <w:bCs/>
        </w:rPr>
      </w:pPr>
      <w:r w:rsidRPr="00A663DD">
        <w:rPr>
          <w:rFonts w:ascii="Aptos Narrow" w:hAnsi="Aptos Narrow"/>
          <w:b/>
          <w:bCs/>
        </w:rPr>
        <w:lastRenderedPageBreak/>
        <w:t xml:space="preserve">3. </w:t>
      </w:r>
      <w:r w:rsidR="00CF47BC" w:rsidRPr="00A663DD">
        <w:rPr>
          <w:rFonts w:ascii="Aptos Narrow" w:hAnsi="Aptos Narrow"/>
          <w:b/>
          <w:bCs/>
        </w:rPr>
        <w:t>Data Splitting and Preprocessing</w:t>
      </w:r>
    </w:p>
    <w:p w14:paraId="216E9A10" w14:textId="28354EFC" w:rsidR="00CF47BC" w:rsidRPr="00A663DD" w:rsidRDefault="00CF47BC" w:rsidP="00CF47BC">
      <w:pPr>
        <w:pStyle w:val="ListParagraph"/>
        <w:numPr>
          <w:ilvl w:val="0"/>
          <w:numId w:val="2"/>
        </w:numPr>
        <w:rPr>
          <w:rFonts w:ascii="Aptos Narrow" w:hAnsi="Aptos Narrow"/>
        </w:rPr>
      </w:pPr>
      <w:r w:rsidRPr="00A663DD">
        <w:rPr>
          <w:rFonts w:ascii="Aptos Narrow" w:hAnsi="Aptos Narrow"/>
        </w:rPr>
        <w:t xml:space="preserve">Data Cleaning: The dataset was reviewed for inconsistencies. There was no empty row </w:t>
      </w:r>
      <w:r w:rsidR="002A318E" w:rsidRPr="00A663DD">
        <w:rPr>
          <w:rFonts w:ascii="Aptos Narrow" w:hAnsi="Aptos Narrow"/>
        </w:rPr>
        <w:t xml:space="preserve">and empty cells </w:t>
      </w:r>
      <w:r w:rsidRPr="00A663DD">
        <w:rPr>
          <w:rFonts w:ascii="Aptos Narrow" w:hAnsi="Aptos Narrow"/>
        </w:rPr>
        <w:t>in the dataset.</w:t>
      </w:r>
      <w:r w:rsidR="00DD69D1">
        <w:rPr>
          <w:rFonts w:ascii="Aptos Narrow" w:hAnsi="Aptos Narrow"/>
        </w:rPr>
        <w:t xml:space="preserve"> The </w:t>
      </w:r>
      <w:r w:rsidR="006A4CF5">
        <w:rPr>
          <w:rFonts w:ascii="Aptos Narrow" w:hAnsi="Aptos Narrow"/>
        </w:rPr>
        <w:t>d</w:t>
      </w:r>
      <w:r w:rsidR="00DD69D1">
        <w:rPr>
          <w:rFonts w:ascii="Aptos Narrow" w:hAnsi="Aptos Narrow"/>
        </w:rPr>
        <w:t>ata</w:t>
      </w:r>
      <w:r w:rsidR="006A4CF5">
        <w:rPr>
          <w:rFonts w:ascii="Aptos Narrow" w:hAnsi="Aptos Narrow"/>
        </w:rPr>
        <w:t>set</w:t>
      </w:r>
      <w:r w:rsidR="00DD69D1">
        <w:rPr>
          <w:rFonts w:ascii="Aptos Narrow" w:hAnsi="Aptos Narrow"/>
        </w:rPr>
        <w:t xml:space="preserve"> had </w:t>
      </w:r>
      <w:r w:rsidR="00B271B1">
        <w:rPr>
          <w:rFonts w:ascii="Aptos Narrow" w:hAnsi="Aptos Narrow"/>
        </w:rPr>
        <w:t>duplicates;</w:t>
      </w:r>
      <w:r w:rsidR="006A4CF5">
        <w:rPr>
          <w:rFonts w:ascii="Aptos Narrow" w:hAnsi="Aptos Narrow"/>
        </w:rPr>
        <w:t xml:space="preserve"> the duplicates were removed</w:t>
      </w:r>
      <w:r w:rsidR="00B271B1">
        <w:rPr>
          <w:rFonts w:ascii="Aptos Narrow" w:hAnsi="Aptos Narrow"/>
        </w:rPr>
        <w:t xml:space="preserve">. </w:t>
      </w:r>
      <w:r w:rsidR="00457254">
        <w:rPr>
          <w:rFonts w:ascii="Aptos Narrow" w:hAnsi="Aptos Narrow"/>
        </w:rPr>
        <w:t>Column A and Column</w:t>
      </w:r>
      <w:r w:rsidR="008062BD">
        <w:rPr>
          <w:rFonts w:ascii="Aptos Narrow" w:hAnsi="Aptos Narrow"/>
        </w:rPr>
        <w:t xml:space="preserve"> H w</w:t>
      </w:r>
      <w:r w:rsidR="00F16D02">
        <w:rPr>
          <w:rFonts w:ascii="Aptos Narrow" w:hAnsi="Aptos Narrow"/>
        </w:rPr>
        <w:t>ere corrected by using proper on both columns.</w:t>
      </w:r>
    </w:p>
    <w:p w14:paraId="2B191614" w14:textId="1657F14C" w:rsidR="00CF47BC" w:rsidRPr="00A663DD" w:rsidRDefault="00CF47BC" w:rsidP="00CF47BC">
      <w:pPr>
        <w:pStyle w:val="ListParagraph"/>
        <w:numPr>
          <w:ilvl w:val="0"/>
          <w:numId w:val="2"/>
        </w:numPr>
        <w:rPr>
          <w:rFonts w:ascii="Aptos Narrow" w:hAnsi="Aptos Narrow"/>
        </w:rPr>
      </w:pPr>
      <w:r w:rsidRPr="00A663DD">
        <w:rPr>
          <w:rFonts w:ascii="Aptos Narrow" w:hAnsi="Aptos Narrow"/>
        </w:rPr>
        <w:t xml:space="preserve">Data Segmentation: The data was split by </w:t>
      </w:r>
      <w:r w:rsidR="00F16D02">
        <w:rPr>
          <w:rFonts w:ascii="Aptos Narrow" w:hAnsi="Aptos Narrow"/>
        </w:rPr>
        <w:t>Name, Age, Blood type, Medical Condition, Date of Admission, Doctor, Hospital, Insurance Provider, Billing Amount, Room Number, Admission Type, Discharge Date, Medication and Discharge Date.</w:t>
      </w:r>
    </w:p>
    <w:p w14:paraId="60A7912F" w14:textId="022F4442" w:rsidR="00994924" w:rsidRPr="000E1BDF" w:rsidRDefault="00CF47BC" w:rsidP="000E1BDF">
      <w:pPr>
        <w:pStyle w:val="ListParagraph"/>
        <w:numPr>
          <w:ilvl w:val="0"/>
          <w:numId w:val="2"/>
        </w:numPr>
        <w:rPr>
          <w:rFonts w:ascii="Aptos Narrow" w:hAnsi="Aptos Narrow"/>
        </w:rPr>
      </w:pPr>
      <w:r w:rsidRPr="00A663DD">
        <w:rPr>
          <w:rFonts w:ascii="Aptos Narrow" w:hAnsi="Aptos Narrow"/>
        </w:rPr>
        <w:t xml:space="preserve">Data Splitting:  The data was divided into Independent and dependent variables. </w:t>
      </w:r>
      <w:r w:rsidRPr="00A663DD">
        <w:rPr>
          <w:rFonts w:ascii="Aptos Narrow" w:hAnsi="Aptos Narrow"/>
          <w:b/>
          <w:bCs/>
        </w:rPr>
        <w:t xml:space="preserve">Independent Values in the project </w:t>
      </w:r>
      <w:r w:rsidR="002A318E" w:rsidRPr="00A663DD">
        <w:rPr>
          <w:rFonts w:ascii="Aptos Narrow" w:hAnsi="Aptos Narrow"/>
          <w:b/>
          <w:bCs/>
        </w:rPr>
        <w:t>are</w:t>
      </w:r>
      <w:r w:rsidRPr="00A663DD">
        <w:rPr>
          <w:rFonts w:ascii="Aptos Narrow" w:hAnsi="Aptos Narrow"/>
          <w:b/>
          <w:bCs/>
        </w:rPr>
        <w:t xml:space="preserve"> </w:t>
      </w:r>
      <w:r w:rsidR="00994924" w:rsidRPr="00994924">
        <w:rPr>
          <w:rFonts w:ascii="Aptos Narrow" w:hAnsi="Aptos Narrow"/>
        </w:rPr>
        <w:t>Name</w:t>
      </w:r>
      <w:r w:rsidR="00743C8A">
        <w:rPr>
          <w:rFonts w:ascii="Aptos Narrow" w:hAnsi="Aptos Narrow"/>
        </w:rPr>
        <w:t xml:space="preserve">, </w:t>
      </w:r>
      <w:r w:rsidR="00994924" w:rsidRPr="00994924">
        <w:rPr>
          <w:rFonts w:ascii="Aptos Narrow" w:hAnsi="Aptos Narrow"/>
        </w:rPr>
        <w:t>Insurance Provider</w:t>
      </w:r>
      <w:r w:rsidR="00743C8A">
        <w:rPr>
          <w:rFonts w:ascii="Aptos Narrow" w:hAnsi="Aptos Narrow"/>
        </w:rPr>
        <w:t xml:space="preserve">, </w:t>
      </w:r>
      <w:r w:rsidR="00994924" w:rsidRPr="00743C8A">
        <w:rPr>
          <w:rFonts w:ascii="Aptos Narrow" w:hAnsi="Aptos Narrow"/>
        </w:rPr>
        <w:t>Gender</w:t>
      </w:r>
      <w:r w:rsidR="00743C8A">
        <w:rPr>
          <w:rFonts w:ascii="Aptos Narrow" w:hAnsi="Aptos Narrow"/>
        </w:rPr>
        <w:t xml:space="preserve">, </w:t>
      </w:r>
      <w:r w:rsidR="00994924" w:rsidRPr="00743C8A">
        <w:rPr>
          <w:rFonts w:ascii="Aptos Narrow" w:hAnsi="Aptos Narrow"/>
        </w:rPr>
        <w:t>Admission Type</w:t>
      </w:r>
      <w:r w:rsidR="00743C8A">
        <w:rPr>
          <w:rFonts w:ascii="Aptos Narrow" w:hAnsi="Aptos Narrow"/>
        </w:rPr>
        <w:t xml:space="preserve">, </w:t>
      </w:r>
      <w:r w:rsidR="00994924" w:rsidRPr="00743C8A">
        <w:rPr>
          <w:rFonts w:ascii="Aptos Narrow" w:hAnsi="Aptos Narrow"/>
        </w:rPr>
        <w:t>Blood Type</w:t>
      </w:r>
      <w:r w:rsidR="00743C8A">
        <w:rPr>
          <w:rFonts w:ascii="Aptos Narrow" w:hAnsi="Aptos Narrow"/>
        </w:rPr>
        <w:t xml:space="preserve">, </w:t>
      </w:r>
      <w:r w:rsidR="00994924" w:rsidRPr="00743C8A">
        <w:rPr>
          <w:rFonts w:ascii="Aptos Narrow" w:hAnsi="Aptos Narrow"/>
        </w:rPr>
        <w:t>Medication</w:t>
      </w:r>
      <w:r w:rsidR="00743C8A">
        <w:rPr>
          <w:rFonts w:ascii="Aptos Narrow" w:hAnsi="Aptos Narrow"/>
        </w:rPr>
        <w:t xml:space="preserve">, </w:t>
      </w:r>
      <w:r w:rsidR="00994924" w:rsidRPr="00743C8A">
        <w:rPr>
          <w:rFonts w:ascii="Aptos Narrow" w:hAnsi="Aptos Narrow"/>
        </w:rPr>
        <w:t>Medical Condition</w:t>
      </w:r>
      <w:r w:rsidR="00743C8A">
        <w:rPr>
          <w:rFonts w:ascii="Aptos Narrow" w:hAnsi="Aptos Narrow"/>
        </w:rPr>
        <w:t xml:space="preserve">, </w:t>
      </w:r>
      <w:r w:rsidR="00994924" w:rsidRPr="00743C8A">
        <w:rPr>
          <w:rFonts w:ascii="Aptos Narrow" w:hAnsi="Aptos Narrow"/>
        </w:rPr>
        <w:t>Age</w:t>
      </w:r>
      <w:r w:rsidR="00743C8A">
        <w:rPr>
          <w:rFonts w:ascii="Aptos Narrow" w:hAnsi="Aptos Narrow"/>
        </w:rPr>
        <w:t xml:space="preserve">, </w:t>
      </w:r>
      <w:r w:rsidR="00994924" w:rsidRPr="00743C8A">
        <w:rPr>
          <w:rFonts w:ascii="Aptos Narrow" w:hAnsi="Aptos Narrow"/>
        </w:rPr>
        <w:t>Doctor</w:t>
      </w:r>
      <w:r w:rsidR="00743C8A" w:rsidRPr="00743C8A">
        <w:rPr>
          <w:rFonts w:ascii="Aptos Narrow" w:hAnsi="Aptos Narrow"/>
        </w:rPr>
        <w:t xml:space="preserve">, </w:t>
      </w:r>
      <w:r w:rsidR="00994924" w:rsidRPr="00743C8A">
        <w:rPr>
          <w:rFonts w:ascii="Aptos Narrow" w:hAnsi="Aptos Narrow"/>
        </w:rPr>
        <w:t xml:space="preserve">Date of </w:t>
      </w:r>
      <w:r w:rsidR="00994924" w:rsidRPr="000E1BDF">
        <w:rPr>
          <w:rFonts w:ascii="Aptos Narrow" w:hAnsi="Aptos Narrow"/>
        </w:rPr>
        <w:t>Admission</w:t>
      </w:r>
      <w:r w:rsidR="000E1BDF" w:rsidRPr="000E1BDF">
        <w:rPr>
          <w:rFonts w:ascii="Aptos Narrow" w:hAnsi="Aptos Narrow"/>
        </w:rPr>
        <w:t xml:space="preserve">, </w:t>
      </w:r>
      <w:r w:rsidR="00994924" w:rsidRPr="000E1BDF">
        <w:rPr>
          <w:rFonts w:ascii="Aptos Narrow" w:hAnsi="Aptos Narrow"/>
        </w:rPr>
        <w:t>Hospital</w:t>
      </w:r>
      <w:r w:rsidR="000E1BDF" w:rsidRPr="000E1BDF">
        <w:rPr>
          <w:rFonts w:ascii="Aptos Narrow" w:hAnsi="Aptos Narrow"/>
        </w:rPr>
        <w:t xml:space="preserve">, </w:t>
      </w:r>
      <w:r w:rsidR="00994924" w:rsidRPr="000E1BDF">
        <w:rPr>
          <w:rFonts w:ascii="Aptos Narrow" w:hAnsi="Aptos Narrow"/>
        </w:rPr>
        <w:t>Room Number</w:t>
      </w:r>
    </w:p>
    <w:p w14:paraId="0FA59C3C" w14:textId="11F8E0AD" w:rsidR="00CF47BC" w:rsidRDefault="00CF47BC" w:rsidP="005E3639">
      <w:pPr>
        <w:pStyle w:val="ListParagraph"/>
        <w:ind w:left="1440"/>
        <w:rPr>
          <w:rFonts w:ascii="Aptos Narrow" w:hAnsi="Aptos Narrow"/>
        </w:rPr>
      </w:pPr>
      <w:r w:rsidRPr="000E1BDF">
        <w:rPr>
          <w:rFonts w:ascii="Aptos Narrow" w:hAnsi="Aptos Narrow"/>
          <w:b/>
          <w:bCs/>
        </w:rPr>
        <w:t>Dependent Values in the project are</w:t>
      </w:r>
      <w:r w:rsidR="008640FD">
        <w:rPr>
          <w:rFonts w:ascii="Aptos Narrow" w:hAnsi="Aptos Narrow"/>
        </w:rPr>
        <w:t xml:space="preserve"> </w:t>
      </w:r>
      <w:r w:rsidR="00D05026" w:rsidRPr="00D05026">
        <w:rPr>
          <w:rFonts w:ascii="Aptos Narrow" w:hAnsi="Aptos Narrow"/>
        </w:rPr>
        <w:t>Bill Amount</w:t>
      </w:r>
      <w:r w:rsidR="00D05026">
        <w:rPr>
          <w:rFonts w:ascii="Aptos Narrow" w:hAnsi="Aptos Narrow"/>
        </w:rPr>
        <w:t xml:space="preserve">, </w:t>
      </w:r>
      <w:r w:rsidR="00D05026" w:rsidRPr="00D05026">
        <w:rPr>
          <w:rFonts w:ascii="Aptos Narrow" w:hAnsi="Aptos Narrow"/>
        </w:rPr>
        <w:t>Discharge Date</w:t>
      </w:r>
      <w:r w:rsidR="00D05026">
        <w:rPr>
          <w:rFonts w:ascii="Aptos Narrow" w:hAnsi="Aptos Narrow"/>
        </w:rPr>
        <w:t xml:space="preserve">, </w:t>
      </w:r>
      <w:r w:rsidR="00D05026" w:rsidRPr="00D05026">
        <w:rPr>
          <w:rFonts w:ascii="Aptos Narrow" w:hAnsi="Aptos Narrow"/>
        </w:rPr>
        <w:t>Test Result</w:t>
      </w:r>
      <w:r w:rsidR="005E3639">
        <w:rPr>
          <w:rFonts w:ascii="Aptos Narrow" w:hAnsi="Aptos Narrow"/>
        </w:rPr>
        <w:t>.</w:t>
      </w:r>
    </w:p>
    <w:p w14:paraId="2CE2EAC0" w14:textId="77777777" w:rsidR="005E3639" w:rsidRPr="005E3639" w:rsidRDefault="005E3639" w:rsidP="005E3639">
      <w:pPr>
        <w:pStyle w:val="ListParagraph"/>
        <w:ind w:left="1440"/>
        <w:rPr>
          <w:rFonts w:ascii="Aptos Narrow" w:hAnsi="Aptos Narrow"/>
        </w:rPr>
      </w:pPr>
    </w:p>
    <w:p w14:paraId="5F676151" w14:textId="7B36786A" w:rsidR="00CF47BC" w:rsidRPr="005A1CAB" w:rsidRDefault="00CF47BC" w:rsidP="005A1CAB">
      <w:pPr>
        <w:pStyle w:val="ListParagraph"/>
        <w:ind w:left="1440"/>
        <w:rPr>
          <w:rFonts w:ascii="Aptos Narrow" w:hAnsi="Aptos Narrow"/>
        </w:rPr>
      </w:pPr>
      <w:r w:rsidRPr="00A663DD">
        <w:rPr>
          <w:rFonts w:ascii="Aptos Narrow" w:hAnsi="Aptos Narrow"/>
        </w:rPr>
        <w:t xml:space="preserve">Industry Context: </w:t>
      </w:r>
      <w:r w:rsidR="005A1CAB" w:rsidRPr="005A1CAB">
        <w:rPr>
          <w:rFonts w:ascii="Aptos Narrow" w:hAnsi="Aptos Narrow"/>
        </w:rPr>
        <w:t>Healthcare and Hospital Management</w:t>
      </w:r>
      <w:r w:rsidRPr="005A1CAB">
        <w:rPr>
          <w:rFonts w:ascii="Aptos Narrow" w:hAnsi="Aptos Narrow"/>
        </w:rPr>
        <w:t>.</w:t>
      </w:r>
    </w:p>
    <w:p w14:paraId="1C0D511F" w14:textId="281633AE" w:rsidR="00CF47BC" w:rsidRPr="003216DE" w:rsidRDefault="00CF47BC" w:rsidP="003216DE">
      <w:pPr>
        <w:pStyle w:val="ListParagraph"/>
        <w:ind w:left="1440"/>
        <w:rPr>
          <w:rFonts w:ascii="Aptos Narrow" w:hAnsi="Aptos Narrow"/>
        </w:rPr>
      </w:pPr>
      <w:r w:rsidRPr="00A663DD">
        <w:rPr>
          <w:rFonts w:ascii="Aptos Narrow" w:hAnsi="Aptos Narrow"/>
        </w:rPr>
        <w:t xml:space="preserve">Stakeholders: </w:t>
      </w:r>
      <w:r w:rsidR="003216DE" w:rsidRPr="003216DE">
        <w:rPr>
          <w:rFonts w:ascii="Aptos Narrow" w:hAnsi="Aptos Narrow"/>
        </w:rPr>
        <w:t>Government and Healthcare Authorities</w:t>
      </w:r>
      <w:r w:rsidRPr="003216DE">
        <w:rPr>
          <w:rFonts w:ascii="Aptos Narrow" w:hAnsi="Aptos Narrow"/>
        </w:rPr>
        <w:t>.</w:t>
      </w:r>
    </w:p>
    <w:p w14:paraId="50184993" w14:textId="3B6AF3D5" w:rsidR="002454C6" w:rsidRPr="00A663DD" w:rsidRDefault="00CF47BC" w:rsidP="002454C6">
      <w:pPr>
        <w:ind w:left="720"/>
        <w:rPr>
          <w:rFonts w:ascii="Aptos Narrow" w:hAnsi="Aptos Narrow"/>
        </w:rPr>
      </w:pPr>
      <w:r w:rsidRPr="003216DE">
        <w:rPr>
          <w:rFonts w:ascii="Aptos Narrow" w:hAnsi="Aptos Narrow"/>
        </w:rPr>
        <w:t xml:space="preserve">Value to The Industry: </w:t>
      </w:r>
      <w:r w:rsidR="002918A6" w:rsidRPr="002918A6">
        <w:rPr>
          <w:rFonts w:ascii="Aptos Narrow" w:hAnsi="Aptos Narrow"/>
        </w:rPr>
        <w:t>Improved Patient Outcome.</w:t>
      </w:r>
      <w:r w:rsidR="00BA6F38">
        <w:rPr>
          <w:rFonts w:ascii="Aptos Narrow" w:hAnsi="Aptos Narrow"/>
        </w:rPr>
        <w:t xml:space="preserve"> </w:t>
      </w:r>
      <w:r w:rsidR="00BA6F38" w:rsidRPr="002918A6">
        <w:rPr>
          <w:rFonts w:ascii="Aptos Narrow" w:hAnsi="Aptos Narrow"/>
        </w:rPr>
        <w:t>Success</w:t>
      </w:r>
      <w:r w:rsidR="002918A6" w:rsidRPr="002918A6">
        <w:rPr>
          <w:rFonts w:ascii="Aptos Narrow" w:hAnsi="Aptos Narrow"/>
        </w:rPr>
        <w:t xml:space="preserve"> to the healthcare industry is when the recovery time is swift, accurate diagnoses and effective treatment</w:t>
      </w:r>
    </w:p>
    <w:p w14:paraId="4C522426" w14:textId="636585CA" w:rsidR="002454C6" w:rsidRPr="00F95838" w:rsidRDefault="002454C6" w:rsidP="00F95838">
      <w:pPr>
        <w:pStyle w:val="ListParagraph"/>
        <w:numPr>
          <w:ilvl w:val="0"/>
          <w:numId w:val="10"/>
        </w:numPr>
        <w:rPr>
          <w:rFonts w:ascii="Aptos Narrow" w:hAnsi="Aptos Narrow"/>
          <w:b/>
          <w:bCs/>
        </w:rPr>
      </w:pPr>
      <w:r w:rsidRPr="00F95838">
        <w:rPr>
          <w:rFonts w:ascii="Aptos Narrow" w:hAnsi="Aptos Narrow"/>
          <w:b/>
          <w:bCs/>
        </w:rPr>
        <w:t xml:space="preserve">Pre- Analysis </w:t>
      </w:r>
    </w:p>
    <w:p w14:paraId="0641B6A7" w14:textId="77777777" w:rsidR="002454C6" w:rsidRPr="00A663DD" w:rsidRDefault="002454C6" w:rsidP="002454C6">
      <w:pPr>
        <w:pStyle w:val="ListParagraph"/>
        <w:rPr>
          <w:rFonts w:ascii="Aptos Narrow" w:hAnsi="Aptos Narrow"/>
        </w:rPr>
      </w:pPr>
    </w:p>
    <w:p w14:paraId="2208C6EA" w14:textId="77777777" w:rsidR="002454C6" w:rsidRPr="00A663DD" w:rsidRDefault="002454C6" w:rsidP="002454C6">
      <w:pPr>
        <w:pStyle w:val="ListParagraph"/>
        <w:rPr>
          <w:rFonts w:ascii="Aptos Narrow" w:hAnsi="Aptos Narrow"/>
        </w:rPr>
      </w:pPr>
      <w:r w:rsidRPr="00A663DD">
        <w:rPr>
          <w:rFonts w:ascii="Aptos Narrow" w:hAnsi="Aptos Narrow"/>
          <w:b/>
          <w:bCs/>
        </w:rPr>
        <w:t>Potential Analysis/ Questions</w:t>
      </w:r>
    </w:p>
    <w:p w14:paraId="7A5584A5" w14:textId="77777777" w:rsidR="00A42090" w:rsidRPr="00A42090" w:rsidRDefault="00A42090" w:rsidP="00A42090">
      <w:pPr>
        <w:pStyle w:val="ListParagraph"/>
        <w:rPr>
          <w:rFonts w:ascii="Aptos Narrow" w:hAnsi="Aptos Narrow"/>
        </w:rPr>
      </w:pPr>
      <w:r w:rsidRPr="00A42090">
        <w:rPr>
          <w:rFonts w:ascii="Aptos Narrow" w:hAnsi="Aptos Narrow"/>
        </w:rPr>
        <w:t xml:space="preserve">What are the most common medical conditions among patients? </w:t>
      </w:r>
    </w:p>
    <w:p w14:paraId="3DCEA0F5" w14:textId="77777777" w:rsidR="00A42090" w:rsidRPr="00A42090" w:rsidRDefault="00A42090" w:rsidP="00A42090">
      <w:pPr>
        <w:pStyle w:val="ListParagraph"/>
        <w:rPr>
          <w:rFonts w:ascii="Aptos Narrow" w:hAnsi="Aptos Narrow"/>
        </w:rPr>
      </w:pPr>
      <w:r w:rsidRPr="00A42090">
        <w:rPr>
          <w:rFonts w:ascii="Aptos Narrow" w:hAnsi="Aptos Narrow"/>
        </w:rPr>
        <w:t>How does insurance type affect billing amounts?</w:t>
      </w:r>
    </w:p>
    <w:p w14:paraId="3B01A9F3" w14:textId="77777777" w:rsidR="00A42090" w:rsidRPr="00A42090" w:rsidRDefault="00A42090" w:rsidP="00A42090">
      <w:pPr>
        <w:pStyle w:val="ListParagraph"/>
        <w:rPr>
          <w:rFonts w:ascii="Aptos Narrow" w:hAnsi="Aptos Narrow"/>
        </w:rPr>
      </w:pPr>
      <w:r w:rsidRPr="00A42090">
        <w:rPr>
          <w:rFonts w:ascii="Aptos Narrow" w:hAnsi="Aptos Narrow"/>
        </w:rPr>
        <w:t xml:space="preserve">Which hospitals have the highest patient recovery rates? </w:t>
      </w:r>
    </w:p>
    <w:p w14:paraId="49E1AC0A" w14:textId="77777777" w:rsidR="00A42090" w:rsidRPr="00A42090" w:rsidRDefault="00A42090" w:rsidP="00A42090">
      <w:pPr>
        <w:pStyle w:val="ListParagraph"/>
        <w:rPr>
          <w:rFonts w:ascii="Aptos Narrow" w:hAnsi="Aptos Narrow"/>
        </w:rPr>
      </w:pPr>
      <w:r w:rsidRPr="00A42090">
        <w:rPr>
          <w:rFonts w:ascii="Aptos Narrow" w:hAnsi="Aptos Narrow"/>
        </w:rPr>
        <w:t xml:space="preserve">Are there patterns in admission types? </w:t>
      </w:r>
    </w:p>
    <w:p w14:paraId="7191D086" w14:textId="77777777" w:rsidR="00A42090" w:rsidRPr="00A42090" w:rsidRDefault="00A42090" w:rsidP="00A42090">
      <w:pPr>
        <w:pStyle w:val="ListParagraph"/>
        <w:rPr>
          <w:rFonts w:ascii="Aptos Narrow" w:hAnsi="Aptos Narrow"/>
        </w:rPr>
      </w:pPr>
      <w:r w:rsidRPr="00A42090">
        <w:rPr>
          <w:rFonts w:ascii="Aptos Narrow" w:hAnsi="Aptos Narrow"/>
        </w:rPr>
        <w:t>Do certain doctors have higher patient success rates?</w:t>
      </w:r>
    </w:p>
    <w:p w14:paraId="3D634596" w14:textId="77777777" w:rsidR="001B31DB" w:rsidRDefault="00A42090" w:rsidP="001B31DB">
      <w:pPr>
        <w:pStyle w:val="ListParagraph"/>
        <w:rPr>
          <w:rFonts w:ascii="Aptos Narrow" w:hAnsi="Aptos Narrow"/>
        </w:rPr>
      </w:pPr>
      <w:r w:rsidRPr="00A42090">
        <w:rPr>
          <w:rFonts w:ascii="Aptos Narrow" w:hAnsi="Aptos Narrow"/>
        </w:rPr>
        <w:t>What is the most prescribed Medication?</w:t>
      </w:r>
    </w:p>
    <w:p w14:paraId="2E829175" w14:textId="77777777" w:rsidR="001B31DB" w:rsidRDefault="001B31DB" w:rsidP="001B31DB">
      <w:pPr>
        <w:pStyle w:val="ListParagraph"/>
        <w:rPr>
          <w:rFonts w:ascii="Aptos Narrow" w:hAnsi="Aptos Narrow"/>
        </w:rPr>
      </w:pPr>
    </w:p>
    <w:p w14:paraId="2639CE62" w14:textId="77777777" w:rsidR="001B31DB" w:rsidRDefault="001B31DB" w:rsidP="001B31DB">
      <w:pPr>
        <w:pStyle w:val="ListParagraph"/>
        <w:rPr>
          <w:rFonts w:ascii="Aptos Narrow" w:hAnsi="Aptos Narrow"/>
          <w:b/>
          <w:bCs/>
        </w:rPr>
      </w:pPr>
      <w:r w:rsidRPr="001B31DB">
        <w:rPr>
          <w:rFonts w:ascii="Aptos Narrow" w:hAnsi="Aptos Narrow"/>
          <w:b/>
          <w:bCs/>
        </w:rPr>
        <w:t>Potential Insights</w:t>
      </w:r>
    </w:p>
    <w:p w14:paraId="75823716" w14:textId="77777777" w:rsidR="001B31DB" w:rsidRDefault="001B31DB" w:rsidP="001B31DB">
      <w:pPr>
        <w:pStyle w:val="ListParagraph"/>
        <w:rPr>
          <w:rFonts w:ascii="Aptos Narrow" w:hAnsi="Aptos Narrow"/>
        </w:rPr>
      </w:pPr>
      <w:r w:rsidRPr="001B31DB">
        <w:rPr>
          <w:rFonts w:ascii="Aptos Narrow" w:hAnsi="Aptos Narrow"/>
        </w:rPr>
        <w:t>Identifying expensive treatments and developing billing strategies.</w:t>
      </w:r>
    </w:p>
    <w:p w14:paraId="38906653" w14:textId="77777777" w:rsidR="001B31DB" w:rsidRDefault="001B31DB" w:rsidP="001B31DB">
      <w:pPr>
        <w:pStyle w:val="ListParagraph"/>
        <w:rPr>
          <w:rFonts w:ascii="Aptos Narrow" w:hAnsi="Aptos Narrow"/>
        </w:rPr>
      </w:pPr>
      <w:r w:rsidRPr="001B31DB">
        <w:rPr>
          <w:rFonts w:ascii="Aptos Narrow" w:hAnsi="Aptos Narrow"/>
        </w:rPr>
        <w:t>Identifying patients at risk of returning for treatment.</w:t>
      </w:r>
    </w:p>
    <w:p w14:paraId="49064287" w14:textId="77777777" w:rsidR="001B31DB" w:rsidRDefault="001B31DB" w:rsidP="001B31DB">
      <w:pPr>
        <w:pStyle w:val="ListParagraph"/>
        <w:rPr>
          <w:rFonts w:ascii="Aptos Narrow" w:hAnsi="Aptos Narrow"/>
        </w:rPr>
      </w:pPr>
      <w:r w:rsidRPr="001B31DB">
        <w:rPr>
          <w:rFonts w:ascii="Aptos Narrow" w:hAnsi="Aptos Narrow"/>
        </w:rPr>
        <w:t>Understanding how conditions vary by age.</w:t>
      </w:r>
    </w:p>
    <w:p w14:paraId="61F38CD2" w14:textId="77777777" w:rsidR="001B31DB" w:rsidRDefault="001B31DB" w:rsidP="001B31DB">
      <w:pPr>
        <w:pStyle w:val="ListParagraph"/>
        <w:rPr>
          <w:rFonts w:ascii="Aptos Narrow" w:hAnsi="Aptos Narrow"/>
        </w:rPr>
      </w:pPr>
      <w:r w:rsidRPr="001B31DB">
        <w:rPr>
          <w:rFonts w:ascii="Aptos Narrow" w:hAnsi="Aptos Narrow"/>
        </w:rPr>
        <w:t>Understanding which insurance plans cover the most treatments.</w:t>
      </w:r>
    </w:p>
    <w:p w14:paraId="54A013B4" w14:textId="22E5B8E9" w:rsidR="001B31DB" w:rsidRPr="001B31DB" w:rsidRDefault="001B31DB" w:rsidP="001B31DB">
      <w:pPr>
        <w:pStyle w:val="ListParagraph"/>
        <w:rPr>
          <w:rFonts w:ascii="Aptos Narrow" w:hAnsi="Aptos Narrow"/>
        </w:rPr>
      </w:pPr>
      <w:r w:rsidRPr="001B31DB">
        <w:rPr>
          <w:rFonts w:ascii="Aptos Narrow" w:hAnsi="Aptos Narrow"/>
        </w:rPr>
        <w:t>Ranking hospitals based on patient outcomes and financial efficiency.</w:t>
      </w:r>
    </w:p>
    <w:p w14:paraId="145CA816" w14:textId="77777777" w:rsidR="00FA1AA9" w:rsidRPr="00A663DD" w:rsidRDefault="00FA1AA9" w:rsidP="00FA1AA9">
      <w:pPr>
        <w:rPr>
          <w:rFonts w:ascii="Aptos Narrow" w:hAnsi="Aptos Narrow"/>
        </w:rPr>
      </w:pPr>
    </w:p>
    <w:p w14:paraId="4C4ED566" w14:textId="51F207E2" w:rsidR="00FA1AA9" w:rsidRPr="00F95838" w:rsidRDefault="00FA1AA9" w:rsidP="00F95838">
      <w:pPr>
        <w:pStyle w:val="ListParagraph"/>
        <w:numPr>
          <w:ilvl w:val="0"/>
          <w:numId w:val="10"/>
        </w:numPr>
        <w:rPr>
          <w:rFonts w:ascii="Aptos Narrow" w:hAnsi="Aptos Narrow"/>
          <w:b/>
          <w:bCs/>
        </w:rPr>
      </w:pPr>
      <w:r w:rsidRPr="00F95838">
        <w:rPr>
          <w:rFonts w:ascii="Aptos Narrow" w:hAnsi="Aptos Narrow"/>
          <w:b/>
          <w:bCs/>
        </w:rPr>
        <w:t>In-Analysis</w:t>
      </w:r>
    </w:p>
    <w:p w14:paraId="2170C3BE" w14:textId="77777777" w:rsidR="00472672" w:rsidRDefault="00FA1AA9" w:rsidP="00472672">
      <w:pPr>
        <w:pStyle w:val="ListParagraph"/>
        <w:rPr>
          <w:rFonts w:ascii="Aptos Narrow" w:hAnsi="Aptos Narrow"/>
        </w:rPr>
      </w:pPr>
      <w:r w:rsidRPr="00A663DD">
        <w:rPr>
          <w:rFonts w:ascii="Aptos Narrow" w:hAnsi="Aptos Narrow"/>
        </w:rPr>
        <w:t xml:space="preserve">      </w:t>
      </w:r>
      <w:r w:rsidR="00472672" w:rsidRPr="00472672">
        <w:rPr>
          <w:rFonts w:ascii="Aptos Narrow" w:hAnsi="Aptos Narrow"/>
        </w:rPr>
        <w:t xml:space="preserve">                                                    </w:t>
      </w:r>
    </w:p>
    <w:p w14:paraId="66D483A0" w14:textId="4B7EBC0F" w:rsidR="00472672" w:rsidRPr="00472672" w:rsidRDefault="00472672" w:rsidP="00472672">
      <w:pPr>
        <w:pStyle w:val="ListParagraph"/>
        <w:rPr>
          <w:rFonts w:ascii="Aptos Narrow" w:hAnsi="Aptos Narrow"/>
        </w:rPr>
      </w:pPr>
      <w:r>
        <w:rPr>
          <w:rFonts w:ascii="Aptos Narrow" w:hAnsi="Aptos Narrow"/>
        </w:rPr>
        <w:lastRenderedPageBreak/>
        <w:t xml:space="preserve">                                           </w:t>
      </w:r>
      <w:r w:rsidRPr="00472672">
        <w:rPr>
          <w:rFonts w:ascii="Aptos Narrow" w:hAnsi="Aptos Narrow"/>
        </w:rPr>
        <w:t xml:space="preserve"> </w:t>
      </w:r>
      <w:r w:rsidRPr="00472672">
        <w:rPr>
          <w:rFonts w:ascii="Aptos Narrow" w:hAnsi="Aptos Narrow"/>
          <w:b/>
          <w:bCs/>
        </w:rPr>
        <w:t xml:space="preserve">In-Analysis Observations </w:t>
      </w:r>
    </w:p>
    <w:p w14:paraId="01CA8BDD" w14:textId="46A64FEE" w:rsidR="00472672" w:rsidRPr="00472672" w:rsidRDefault="00472672" w:rsidP="00472672">
      <w:pPr>
        <w:pStyle w:val="ListParagraph"/>
        <w:rPr>
          <w:rFonts w:ascii="Aptos Narrow" w:hAnsi="Aptos Narrow"/>
        </w:rPr>
      </w:pPr>
      <w:r w:rsidRPr="00472672">
        <w:rPr>
          <w:rFonts w:ascii="Aptos Narrow" w:hAnsi="Aptos Narrow"/>
        </w:rPr>
        <w:t xml:space="preserve">1. Combined revenue generated by all Hospitals in the year is £1,417,432,043. </w:t>
      </w:r>
    </w:p>
    <w:p w14:paraId="52643EA1" w14:textId="77777777" w:rsidR="00472672" w:rsidRPr="00472672" w:rsidRDefault="00472672" w:rsidP="00472672">
      <w:pPr>
        <w:pStyle w:val="ListParagraph"/>
        <w:rPr>
          <w:rFonts w:ascii="Aptos Narrow" w:hAnsi="Aptos Narrow"/>
        </w:rPr>
      </w:pPr>
      <w:r w:rsidRPr="00472672">
        <w:rPr>
          <w:rFonts w:ascii="Aptos Narrow" w:hAnsi="Aptos Narrow"/>
        </w:rPr>
        <w:t>2. Total of individuals admitted into the hospital for the year is 55,000 individuals.</w:t>
      </w:r>
    </w:p>
    <w:p w14:paraId="6AC379CF" w14:textId="77777777" w:rsidR="00472672" w:rsidRPr="00472672" w:rsidRDefault="00472672" w:rsidP="00472672">
      <w:pPr>
        <w:pStyle w:val="ListParagraph"/>
        <w:rPr>
          <w:rFonts w:ascii="Aptos Narrow" w:hAnsi="Aptos Narrow"/>
        </w:rPr>
      </w:pPr>
      <w:r w:rsidRPr="00472672">
        <w:rPr>
          <w:rFonts w:ascii="Aptos Narrow" w:hAnsi="Aptos Narrow"/>
        </w:rPr>
        <w:t>3.  27,774 individuals are Male while 27,726 are Female.</w:t>
      </w:r>
    </w:p>
    <w:p w14:paraId="6824EA71" w14:textId="77777777" w:rsidR="00472672" w:rsidRPr="00472672" w:rsidRDefault="00472672" w:rsidP="00472672">
      <w:pPr>
        <w:pStyle w:val="ListParagraph"/>
        <w:rPr>
          <w:rFonts w:ascii="Aptos Narrow" w:hAnsi="Aptos Narrow"/>
        </w:rPr>
      </w:pPr>
      <w:r w:rsidRPr="00472672">
        <w:rPr>
          <w:rFonts w:ascii="Aptos Narrow" w:hAnsi="Aptos Narrow"/>
          <w:lang w:val="en-US"/>
        </w:rPr>
        <w:t xml:space="preserve">4. </w:t>
      </w:r>
      <w:r w:rsidRPr="00472672">
        <w:rPr>
          <w:rFonts w:ascii="Aptos Narrow" w:hAnsi="Aptos Narrow"/>
        </w:rPr>
        <w:t xml:space="preserve">The Top Hospital in terms of revenue generating is Johnson Plc with £1,084,203. </w:t>
      </w:r>
    </w:p>
    <w:p w14:paraId="6B42CEA2" w14:textId="755526E3" w:rsidR="00472672" w:rsidRPr="00472672" w:rsidRDefault="00472672" w:rsidP="00472672">
      <w:pPr>
        <w:pStyle w:val="ListParagraph"/>
        <w:rPr>
          <w:rFonts w:ascii="Aptos Narrow" w:hAnsi="Aptos Narrow"/>
        </w:rPr>
      </w:pPr>
      <w:r w:rsidRPr="00472672">
        <w:rPr>
          <w:rFonts w:ascii="Aptos Narrow" w:hAnsi="Aptos Narrow"/>
        </w:rPr>
        <w:t>5. The Bottom Hospital with a negative closing balance for the year is Medina And Elliott Stewarts with a negative balance of £-2,633.</w:t>
      </w:r>
    </w:p>
    <w:p w14:paraId="7CFE1808" w14:textId="123CBB92" w:rsidR="00472672" w:rsidRPr="00472672" w:rsidRDefault="00472672" w:rsidP="00472672">
      <w:pPr>
        <w:pStyle w:val="ListParagraph"/>
        <w:rPr>
          <w:rFonts w:ascii="Aptos Narrow" w:hAnsi="Aptos Narrow"/>
        </w:rPr>
      </w:pPr>
      <w:r w:rsidRPr="00472672">
        <w:rPr>
          <w:rFonts w:ascii="Aptos Narrow" w:hAnsi="Aptos Narrow"/>
        </w:rPr>
        <w:t xml:space="preserve">6. There was a surge of patients in hospitals during the year 2020t. The hospitals admitted a total of 4,832 Individuals. </w:t>
      </w:r>
    </w:p>
    <w:p w14:paraId="3AECDC6C" w14:textId="77777777" w:rsidR="00472672" w:rsidRPr="00472672" w:rsidRDefault="00472672" w:rsidP="00472672">
      <w:pPr>
        <w:pStyle w:val="ListParagraph"/>
        <w:rPr>
          <w:rFonts w:ascii="Aptos Narrow" w:hAnsi="Aptos Narrow"/>
        </w:rPr>
      </w:pPr>
      <w:r w:rsidRPr="00472672">
        <w:rPr>
          <w:rFonts w:ascii="Aptos Narrow" w:hAnsi="Aptos Narrow"/>
        </w:rPr>
        <w:t>7. Lipitor was the most prescribed medication for the year. 11,140 individuals were prescribed the medication.</w:t>
      </w:r>
    </w:p>
    <w:p w14:paraId="2BD0FC45" w14:textId="77777777" w:rsidR="00472672" w:rsidRPr="00472672" w:rsidRDefault="00472672" w:rsidP="00472672">
      <w:pPr>
        <w:pStyle w:val="ListParagraph"/>
        <w:rPr>
          <w:rFonts w:ascii="Aptos Narrow" w:hAnsi="Aptos Narrow"/>
        </w:rPr>
      </w:pPr>
      <w:r w:rsidRPr="00472672">
        <w:rPr>
          <w:rFonts w:ascii="Aptos Narrow" w:hAnsi="Aptos Narrow"/>
        </w:rPr>
        <w:t>8. Ibuprofen generated £286,359,751 in total for the hospitals.</w:t>
      </w:r>
    </w:p>
    <w:p w14:paraId="0B6A9F2A" w14:textId="77777777" w:rsidR="00472672" w:rsidRPr="00472672" w:rsidRDefault="00472672" w:rsidP="00472672">
      <w:pPr>
        <w:pStyle w:val="ListParagraph"/>
        <w:rPr>
          <w:rFonts w:ascii="Aptos Narrow" w:hAnsi="Aptos Narrow"/>
        </w:rPr>
      </w:pPr>
      <w:r w:rsidRPr="00472672">
        <w:rPr>
          <w:rFonts w:ascii="Aptos Narrow" w:hAnsi="Aptos Narrow"/>
        </w:rPr>
        <w:t>9. Cigna Insurance group paid out £287,139,345 in medical insurance. The Insurance company paid out the most in Insurance.</w:t>
      </w:r>
    </w:p>
    <w:p w14:paraId="1468B54C" w14:textId="77777777" w:rsidR="00472672" w:rsidRPr="00472672" w:rsidRDefault="00472672" w:rsidP="00472672">
      <w:pPr>
        <w:pStyle w:val="ListParagraph"/>
        <w:rPr>
          <w:rFonts w:ascii="Aptos Narrow" w:hAnsi="Aptos Narrow"/>
        </w:rPr>
      </w:pPr>
      <w:r w:rsidRPr="00472672">
        <w:rPr>
          <w:rFonts w:ascii="Aptos Narrow" w:hAnsi="Aptos Narrow"/>
        </w:rPr>
        <w:t>10. Elective admission saw about 18,655 individuals and it was the highest form of patient admission intake</w:t>
      </w:r>
    </w:p>
    <w:p w14:paraId="0FFFF071" w14:textId="4903C6FB" w:rsidR="00472672" w:rsidRPr="00472672" w:rsidRDefault="00472672" w:rsidP="00472672">
      <w:pPr>
        <w:pStyle w:val="ListParagraph"/>
        <w:rPr>
          <w:rFonts w:ascii="Aptos Narrow" w:hAnsi="Aptos Narrow"/>
        </w:rPr>
      </w:pPr>
      <w:r w:rsidRPr="00472672">
        <w:rPr>
          <w:rFonts w:ascii="Aptos Narrow" w:hAnsi="Aptos Narrow"/>
        </w:rPr>
        <w:t>11. 6969 individuals who all have A- blood group are the highest in the hospital.</w:t>
      </w:r>
    </w:p>
    <w:p w14:paraId="68B7CBA2" w14:textId="77777777" w:rsidR="00472672" w:rsidRPr="00472672" w:rsidRDefault="00472672" w:rsidP="00472672">
      <w:pPr>
        <w:pStyle w:val="ListParagraph"/>
        <w:rPr>
          <w:rFonts w:ascii="Aptos Narrow" w:hAnsi="Aptos Narrow"/>
        </w:rPr>
      </w:pPr>
      <w:r w:rsidRPr="00472672">
        <w:rPr>
          <w:rFonts w:ascii="Aptos Narrow" w:hAnsi="Aptos Narrow"/>
        </w:rPr>
        <w:t>12. The highest individual medical condition is arthritis with 9308 individuals with the illness.</w:t>
      </w:r>
    </w:p>
    <w:p w14:paraId="090CD4F3" w14:textId="77777777" w:rsidR="002454C6" w:rsidRPr="00A663DD" w:rsidRDefault="002454C6" w:rsidP="00802043">
      <w:pPr>
        <w:rPr>
          <w:rFonts w:ascii="Aptos Narrow" w:hAnsi="Aptos Narrow"/>
        </w:rPr>
      </w:pPr>
    </w:p>
    <w:p w14:paraId="21B947A1" w14:textId="46DFF134" w:rsidR="00505312" w:rsidRPr="00505312" w:rsidRDefault="00505312" w:rsidP="00505312">
      <w:pPr>
        <w:rPr>
          <w:rFonts w:ascii="Aptos Narrow" w:hAnsi="Aptos Narrow"/>
        </w:rPr>
      </w:pPr>
    </w:p>
    <w:p w14:paraId="073BA168" w14:textId="608FCF00" w:rsidR="00FA1AA9" w:rsidRPr="00FA1AA9" w:rsidRDefault="00FA1AA9" w:rsidP="00FA1AA9">
      <w:pPr>
        <w:rPr>
          <w:rFonts w:ascii="Aptos Narrow" w:hAnsi="Aptos Narrow"/>
        </w:rPr>
      </w:pPr>
      <w:r w:rsidRPr="00FA1AA9">
        <w:rPr>
          <w:rFonts w:ascii="Aptos Narrow" w:hAnsi="Aptos Narrow"/>
          <w:b/>
          <w:bCs/>
        </w:rPr>
        <w:t xml:space="preserve">                                                            In-Analysis Insight</w:t>
      </w:r>
    </w:p>
    <w:p w14:paraId="7D61DC44" w14:textId="77777777" w:rsidR="00171D14" w:rsidRDefault="008E25EF" w:rsidP="00171D14">
      <w:pPr>
        <w:spacing w:line="240" w:lineRule="auto"/>
        <w:rPr>
          <w:rFonts w:ascii="Aptos Narrow" w:hAnsi="Aptos Narrow"/>
        </w:rPr>
      </w:pPr>
      <w:r w:rsidRPr="008E25EF">
        <w:rPr>
          <w:rFonts w:ascii="Aptos Narrow" w:hAnsi="Aptos Narrow"/>
        </w:rPr>
        <w:t>1. Hospitals like Medina And Elliott Stewarts are losing money. The struggling hospitals need to cut costs or find ways to attract more patients in other to cancel out the negative balance</w:t>
      </w:r>
    </w:p>
    <w:p w14:paraId="0ABB954F" w14:textId="5E910B0D" w:rsidR="008E25EF" w:rsidRPr="008E25EF" w:rsidRDefault="008E25EF" w:rsidP="00171D14">
      <w:pPr>
        <w:spacing w:line="240" w:lineRule="auto"/>
        <w:rPr>
          <w:rFonts w:ascii="Aptos Narrow" w:hAnsi="Aptos Narrow"/>
        </w:rPr>
      </w:pPr>
      <w:r w:rsidRPr="008E25EF">
        <w:rPr>
          <w:rFonts w:ascii="Aptos Narrow" w:hAnsi="Aptos Narrow"/>
        </w:rPr>
        <w:t>2. Hospitals should prepare for busy months by having extra staff and stocking up full medical supplies.</w:t>
      </w:r>
    </w:p>
    <w:p w14:paraId="595BA3D5" w14:textId="77777777" w:rsidR="008E25EF" w:rsidRPr="008E25EF" w:rsidRDefault="008E25EF" w:rsidP="00171D14">
      <w:pPr>
        <w:spacing w:line="240" w:lineRule="auto"/>
        <w:rPr>
          <w:rFonts w:ascii="Aptos Narrow" w:hAnsi="Aptos Narrow"/>
        </w:rPr>
      </w:pPr>
      <w:r w:rsidRPr="008E25EF">
        <w:rPr>
          <w:rFonts w:ascii="Aptos Narrow" w:hAnsi="Aptos Narrow"/>
        </w:rPr>
        <w:t>3. Disease like arthritis and heart issues are common among individuals. Hospitals should have more programs to help patients manage these conditions.</w:t>
      </w:r>
    </w:p>
    <w:p w14:paraId="2BA8FBB2" w14:textId="77777777" w:rsidR="008E25EF" w:rsidRPr="008E25EF" w:rsidRDefault="008E25EF" w:rsidP="00171D14">
      <w:pPr>
        <w:spacing w:line="240" w:lineRule="auto"/>
        <w:rPr>
          <w:rFonts w:ascii="Aptos Narrow" w:hAnsi="Aptos Narrow"/>
        </w:rPr>
      </w:pPr>
      <w:r w:rsidRPr="008E25EF">
        <w:rPr>
          <w:rFonts w:ascii="Aptos Narrow" w:hAnsi="Aptos Narrow"/>
        </w:rPr>
        <w:t>4. Medicines like Lipitor and Ibuprofen are in high demand, so hospitals should make sure they have enough stock.</w:t>
      </w:r>
    </w:p>
    <w:p w14:paraId="0CCCA2ED" w14:textId="174B7281" w:rsidR="008E25EF" w:rsidRPr="008E25EF" w:rsidRDefault="008E25EF" w:rsidP="00171D14">
      <w:pPr>
        <w:spacing w:line="240" w:lineRule="auto"/>
        <w:rPr>
          <w:rFonts w:ascii="Aptos Narrow" w:hAnsi="Aptos Narrow"/>
        </w:rPr>
      </w:pPr>
      <w:r w:rsidRPr="008E25EF">
        <w:rPr>
          <w:rFonts w:ascii="Aptos Narrow" w:hAnsi="Aptos Narrow"/>
        </w:rPr>
        <w:t xml:space="preserve">5. Hospitals should keep good relationships with insurance companies like Cigna to make sure they get paid on </w:t>
      </w:r>
      <w:r w:rsidR="00171D14" w:rsidRPr="008E25EF">
        <w:rPr>
          <w:rFonts w:ascii="Aptos Narrow" w:hAnsi="Aptos Narrow"/>
        </w:rPr>
        <w:t>time</w:t>
      </w:r>
      <w:r w:rsidRPr="008E25EF">
        <w:rPr>
          <w:rFonts w:ascii="Aptos Narrow" w:hAnsi="Aptos Narrow"/>
        </w:rPr>
        <w:t xml:space="preserve"> without issues and delays.</w:t>
      </w:r>
    </w:p>
    <w:p w14:paraId="2193079C" w14:textId="77777777" w:rsidR="008E25EF" w:rsidRPr="008E25EF" w:rsidRDefault="008E25EF" w:rsidP="00171D14">
      <w:pPr>
        <w:spacing w:line="240" w:lineRule="auto"/>
        <w:rPr>
          <w:rFonts w:ascii="Aptos Narrow" w:hAnsi="Aptos Narrow"/>
        </w:rPr>
      </w:pPr>
      <w:r w:rsidRPr="008E25EF">
        <w:rPr>
          <w:rFonts w:ascii="Aptos Narrow" w:hAnsi="Aptos Narrow"/>
        </w:rPr>
        <w:t>6. High elective admissions suggest a focus on planned treatments over emergencies.</w:t>
      </w:r>
      <w:r w:rsidRPr="008E25EF">
        <w:rPr>
          <w:rFonts w:ascii="Aptos Narrow" w:hAnsi="Aptos Narrow"/>
        </w:rPr>
        <w:br/>
        <w:t>7. Johnson Plc's financial success could provide a model for struggling hospitals to follow.</w:t>
      </w:r>
    </w:p>
    <w:p w14:paraId="089AEB60" w14:textId="5723CFF7" w:rsidR="007C0A80" w:rsidRPr="00A663DD" w:rsidRDefault="007C0A80">
      <w:pPr>
        <w:rPr>
          <w:rFonts w:ascii="Aptos Narrow" w:hAnsi="Aptos Narrow"/>
        </w:rPr>
      </w:pPr>
    </w:p>
    <w:p w14:paraId="1E2D7862" w14:textId="4016751E" w:rsidR="009F2693" w:rsidRDefault="00FA1AA9" w:rsidP="009F2693">
      <w:pPr>
        <w:rPr>
          <w:rFonts w:ascii="Aptos Narrow" w:hAnsi="Aptos Narrow"/>
          <w:b/>
          <w:bCs/>
        </w:rPr>
      </w:pPr>
      <w:r w:rsidRPr="00FA1AA9">
        <w:rPr>
          <w:rFonts w:ascii="Aptos Narrow" w:hAnsi="Aptos Narrow"/>
          <w:b/>
          <w:bCs/>
        </w:rPr>
        <w:t xml:space="preserve">6. </w:t>
      </w:r>
      <w:r w:rsidR="00003DF0">
        <w:rPr>
          <w:rFonts w:ascii="Aptos Narrow" w:hAnsi="Aptos Narrow"/>
          <w:b/>
          <w:bCs/>
        </w:rPr>
        <w:t xml:space="preserve">   </w:t>
      </w:r>
      <w:r w:rsidRPr="00FA1AA9">
        <w:rPr>
          <w:rFonts w:ascii="Aptos Narrow" w:hAnsi="Aptos Narrow"/>
          <w:b/>
          <w:bCs/>
        </w:rPr>
        <w:t>Post-Analysis and Insight</w:t>
      </w:r>
    </w:p>
    <w:p w14:paraId="7392B031" w14:textId="15B9ED47" w:rsidR="00263B2C" w:rsidRPr="00572EF6" w:rsidRDefault="00263B2C" w:rsidP="00263B2C">
      <w:pPr>
        <w:pStyle w:val="ListParagraph"/>
        <w:numPr>
          <w:ilvl w:val="0"/>
          <w:numId w:val="11"/>
        </w:numPr>
      </w:pPr>
      <w:r w:rsidRPr="00572EF6">
        <w:t>Hospitals with the highest revenue tend to have a higher patient intake.</w:t>
      </w:r>
    </w:p>
    <w:p w14:paraId="5D7E49A6" w14:textId="77777777" w:rsidR="00263B2C" w:rsidRPr="00572EF6" w:rsidRDefault="00263B2C" w:rsidP="00263B2C">
      <w:pPr>
        <w:numPr>
          <w:ilvl w:val="0"/>
          <w:numId w:val="11"/>
        </w:numPr>
      </w:pPr>
      <w:r w:rsidRPr="00572EF6">
        <w:lastRenderedPageBreak/>
        <w:t>Certain age groups require specific medications more frequently.</w:t>
      </w:r>
    </w:p>
    <w:p w14:paraId="50DC5D44" w14:textId="77777777" w:rsidR="00263B2C" w:rsidRPr="00572EF6" w:rsidRDefault="00263B2C" w:rsidP="00263B2C">
      <w:pPr>
        <w:numPr>
          <w:ilvl w:val="0"/>
          <w:numId w:val="11"/>
        </w:numPr>
      </w:pPr>
      <w:r w:rsidRPr="00572EF6">
        <w:t>Blood group distribution may indicate potential trends in medical conditions.</w:t>
      </w:r>
    </w:p>
    <w:p w14:paraId="30F2CC20" w14:textId="77777777" w:rsidR="00263B2C" w:rsidRPr="00572EF6" w:rsidRDefault="00263B2C" w:rsidP="00263B2C">
      <w:pPr>
        <w:numPr>
          <w:ilvl w:val="0"/>
          <w:numId w:val="11"/>
        </w:numPr>
      </w:pPr>
      <w:r w:rsidRPr="00572EF6">
        <w:t>Insurance revenue contributes significantly to overall hospital earnings.</w:t>
      </w:r>
    </w:p>
    <w:p w14:paraId="32ABCECD" w14:textId="77777777" w:rsidR="00263B2C" w:rsidRPr="00F95838" w:rsidRDefault="00263B2C" w:rsidP="009F2693">
      <w:pPr>
        <w:rPr>
          <w:rFonts w:ascii="Aptos Narrow" w:hAnsi="Aptos Narrow"/>
          <w:b/>
          <w:bCs/>
        </w:rPr>
      </w:pPr>
    </w:p>
    <w:p w14:paraId="3B875553" w14:textId="77777777" w:rsidR="00C54F5C" w:rsidRDefault="00C54F5C" w:rsidP="009F2693">
      <w:pPr>
        <w:rPr>
          <w:rFonts w:ascii="Aptos Narrow" w:hAnsi="Aptos Narrow"/>
          <w:b/>
          <w:bCs/>
        </w:rPr>
      </w:pPr>
    </w:p>
    <w:p w14:paraId="42BA4C4C" w14:textId="77777777" w:rsidR="00C54F5C" w:rsidRDefault="00C54F5C" w:rsidP="009F2693">
      <w:pPr>
        <w:rPr>
          <w:rFonts w:ascii="Aptos Narrow" w:hAnsi="Aptos Narrow"/>
          <w:b/>
          <w:bCs/>
        </w:rPr>
      </w:pPr>
    </w:p>
    <w:p w14:paraId="2B81C34D" w14:textId="77777777" w:rsidR="00C54F5C" w:rsidRDefault="00C54F5C" w:rsidP="009F2693">
      <w:pPr>
        <w:rPr>
          <w:rFonts w:ascii="Aptos Narrow" w:hAnsi="Aptos Narrow"/>
          <w:b/>
          <w:bCs/>
        </w:rPr>
      </w:pPr>
    </w:p>
    <w:p w14:paraId="0065CCFC" w14:textId="77777777" w:rsidR="00C54F5C" w:rsidRDefault="00C54F5C" w:rsidP="009F2693">
      <w:pPr>
        <w:rPr>
          <w:rFonts w:ascii="Aptos Narrow" w:hAnsi="Aptos Narrow"/>
          <w:b/>
          <w:bCs/>
        </w:rPr>
      </w:pPr>
    </w:p>
    <w:p w14:paraId="25A19E56" w14:textId="77777777" w:rsidR="00C54F5C" w:rsidRDefault="00C54F5C" w:rsidP="009F2693">
      <w:pPr>
        <w:rPr>
          <w:rFonts w:ascii="Aptos Narrow" w:hAnsi="Aptos Narrow"/>
          <w:b/>
          <w:bCs/>
        </w:rPr>
      </w:pPr>
    </w:p>
    <w:p w14:paraId="04A0F2B4" w14:textId="77777777" w:rsidR="00C54F5C" w:rsidRDefault="00C54F5C" w:rsidP="009F2693">
      <w:pPr>
        <w:rPr>
          <w:rFonts w:ascii="Aptos Narrow" w:hAnsi="Aptos Narrow"/>
          <w:b/>
          <w:bCs/>
        </w:rPr>
      </w:pPr>
    </w:p>
    <w:p w14:paraId="51A3AD0E" w14:textId="44442089" w:rsidR="009F2693" w:rsidRDefault="009F2693" w:rsidP="009F2693">
      <w:pPr>
        <w:rPr>
          <w:rFonts w:ascii="Aptos Narrow" w:hAnsi="Aptos Narrow"/>
          <w:b/>
          <w:bCs/>
        </w:rPr>
      </w:pPr>
      <w:r w:rsidRPr="00F95838">
        <w:rPr>
          <w:rFonts w:ascii="Aptos Narrow" w:hAnsi="Aptos Narrow"/>
          <w:b/>
          <w:bCs/>
        </w:rPr>
        <w:t>7. Data Visualization and Chart</w:t>
      </w:r>
    </w:p>
    <w:p w14:paraId="5D16AC1D" w14:textId="77777777" w:rsidR="00C54F5C" w:rsidRPr="00F95838" w:rsidRDefault="00C54F5C" w:rsidP="009F2693">
      <w:pPr>
        <w:rPr>
          <w:rFonts w:ascii="Aptos Narrow" w:hAnsi="Aptos Narrow"/>
          <w:b/>
          <w:bCs/>
        </w:rPr>
      </w:pPr>
    </w:p>
    <w:p w14:paraId="1A40529A" w14:textId="1E972F53" w:rsidR="009F2693" w:rsidRDefault="00C54F5C" w:rsidP="009F2693">
      <w:pPr>
        <w:rPr>
          <w:rFonts w:ascii="Aptos Narrow" w:hAnsi="Aptos Narrow"/>
        </w:rPr>
      </w:pPr>
      <w:r>
        <w:rPr>
          <w:rFonts w:ascii="Aptos Narrow" w:hAnsi="Aptos Narrow"/>
        </w:rPr>
        <w:t xml:space="preserve">                                       Top 10 Hospitals by revenue</w:t>
      </w:r>
    </w:p>
    <w:p w14:paraId="63E21902" w14:textId="77777777" w:rsidR="00C54F5C" w:rsidRDefault="00C54F5C" w:rsidP="009F2693">
      <w:pPr>
        <w:rPr>
          <w:rFonts w:ascii="Aptos Narrow" w:hAnsi="Aptos Narrow"/>
        </w:rPr>
      </w:pPr>
    </w:p>
    <w:p w14:paraId="66E6290A" w14:textId="63CFBF33" w:rsidR="00C54F5C" w:rsidRDefault="00C54F5C" w:rsidP="009F2693">
      <w:pPr>
        <w:rPr>
          <w:rFonts w:ascii="Aptos Narrow" w:hAnsi="Aptos Narrow"/>
        </w:rPr>
      </w:pPr>
      <w:r>
        <w:rPr>
          <w:noProof/>
        </w:rPr>
        <w:drawing>
          <wp:inline distT="0" distB="0" distL="0" distR="0" wp14:anchorId="33E6EE1B" wp14:editId="5D9150D9">
            <wp:extent cx="5731510" cy="2793365"/>
            <wp:effectExtent l="0" t="0" r="2540" b="6985"/>
            <wp:docPr id="679407318" name="Chart 1">
              <a:extLst xmlns:a="http://schemas.openxmlformats.org/drawingml/2006/main">
                <a:ext uri="{FF2B5EF4-FFF2-40B4-BE49-F238E27FC236}">
                  <a16:creationId xmlns:a16="http://schemas.microsoft.com/office/drawing/2014/main" id="{C10D8CB9-20C7-286F-78CC-AE4863418D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09C000F2" w14:textId="642C5917" w:rsidR="00C54F5C" w:rsidRDefault="00C54F5C" w:rsidP="009F2693">
      <w:pPr>
        <w:rPr>
          <w:rFonts w:ascii="Aptos Narrow" w:hAnsi="Aptos Narrow"/>
        </w:rPr>
      </w:pPr>
      <w:r>
        <w:rPr>
          <w:rFonts w:ascii="Aptos Narrow" w:hAnsi="Aptos Narrow"/>
        </w:rPr>
        <w:t xml:space="preserve">              The Graph Above shows that Johnson </w:t>
      </w:r>
      <w:r w:rsidR="00B725BB">
        <w:rPr>
          <w:rFonts w:ascii="Aptos Narrow" w:hAnsi="Aptos Narrow"/>
        </w:rPr>
        <w:t xml:space="preserve">Plc Generated the highest revenue </w:t>
      </w:r>
    </w:p>
    <w:p w14:paraId="29C88A91" w14:textId="77777777" w:rsidR="00B725BB" w:rsidRDefault="00B725BB" w:rsidP="009F2693">
      <w:pPr>
        <w:rPr>
          <w:rFonts w:ascii="Aptos Narrow" w:hAnsi="Aptos Narrow"/>
        </w:rPr>
      </w:pPr>
    </w:p>
    <w:p w14:paraId="683E774F" w14:textId="77777777" w:rsidR="00B725BB" w:rsidRDefault="00B725BB" w:rsidP="009F2693">
      <w:pPr>
        <w:rPr>
          <w:rFonts w:ascii="Aptos Narrow" w:hAnsi="Aptos Narrow"/>
        </w:rPr>
      </w:pPr>
    </w:p>
    <w:p w14:paraId="38FB25A0" w14:textId="6FD1FB9A" w:rsidR="00004A40" w:rsidRDefault="00004A40" w:rsidP="009F2693">
      <w:pPr>
        <w:rPr>
          <w:rFonts w:ascii="Aptos Narrow" w:hAnsi="Aptos Narrow"/>
        </w:rPr>
      </w:pPr>
      <w:r>
        <w:rPr>
          <w:rFonts w:ascii="Aptos Narrow" w:hAnsi="Aptos Narrow"/>
        </w:rPr>
        <w:t xml:space="preserve">                                                       Hospital Intake revenue</w:t>
      </w:r>
    </w:p>
    <w:p w14:paraId="317108E3" w14:textId="5CA4EC32" w:rsidR="00004A40" w:rsidRDefault="00004A40" w:rsidP="009F2693">
      <w:pPr>
        <w:rPr>
          <w:rFonts w:ascii="Aptos Narrow" w:hAnsi="Aptos Narrow"/>
        </w:rPr>
      </w:pPr>
      <w:r>
        <w:rPr>
          <w:noProof/>
        </w:rPr>
        <w:lastRenderedPageBreak/>
        <w:drawing>
          <wp:inline distT="0" distB="0" distL="0" distR="0" wp14:anchorId="3E061A86" wp14:editId="0B3450CA">
            <wp:extent cx="4572000" cy="3028950"/>
            <wp:effectExtent l="0" t="0" r="0" b="0"/>
            <wp:docPr id="429367054" name="Chart 1">
              <a:extLst xmlns:a="http://schemas.openxmlformats.org/drawingml/2006/main">
                <a:ext uri="{FF2B5EF4-FFF2-40B4-BE49-F238E27FC236}">
                  <a16:creationId xmlns:a16="http://schemas.microsoft.com/office/drawing/2014/main" id="{47AE3729-76C9-3CA3-5B00-A3064D6415D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0DC42981" w14:textId="68CC5D02" w:rsidR="00004A40" w:rsidRDefault="00004A40" w:rsidP="009F2693">
      <w:pPr>
        <w:rPr>
          <w:rFonts w:ascii="Aptos Narrow" w:hAnsi="Aptos Narrow"/>
        </w:rPr>
      </w:pPr>
      <w:r>
        <w:rPr>
          <w:rFonts w:ascii="Aptos Narrow" w:hAnsi="Aptos Narrow"/>
        </w:rPr>
        <w:t xml:space="preserve">The chart above shows that </w:t>
      </w:r>
      <w:r w:rsidR="00E95097">
        <w:rPr>
          <w:rFonts w:ascii="Aptos Narrow" w:hAnsi="Aptos Narrow"/>
        </w:rPr>
        <w:t>Elective</w:t>
      </w:r>
      <w:r w:rsidR="00E452B0">
        <w:rPr>
          <w:rFonts w:ascii="Aptos Narrow" w:hAnsi="Aptos Narrow"/>
        </w:rPr>
        <w:t xml:space="preserve"> </w:t>
      </w:r>
      <w:r w:rsidR="00E95097">
        <w:rPr>
          <w:rFonts w:ascii="Aptos Narrow" w:hAnsi="Aptos Narrow"/>
        </w:rPr>
        <w:t>(Planned) Intake the highest patient intake</w:t>
      </w:r>
    </w:p>
    <w:p w14:paraId="18678664" w14:textId="015982CE" w:rsidR="001765B6" w:rsidRDefault="00E452B0" w:rsidP="009F2693">
      <w:pPr>
        <w:rPr>
          <w:rFonts w:ascii="Aptos Narrow" w:hAnsi="Aptos Narrow"/>
        </w:rPr>
      </w:pPr>
      <w:r>
        <w:rPr>
          <w:rFonts w:ascii="Aptos Narrow" w:hAnsi="Aptos Narrow"/>
        </w:rPr>
        <w:t xml:space="preserve">              </w:t>
      </w:r>
      <w:r w:rsidR="001765B6">
        <w:rPr>
          <w:rFonts w:ascii="Aptos Narrow" w:hAnsi="Aptos Narrow"/>
        </w:rPr>
        <w:t xml:space="preserve">                               </w:t>
      </w:r>
      <w:r>
        <w:rPr>
          <w:rFonts w:ascii="Aptos Narrow" w:hAnsi="Aptos Narrow"/>
        </w:rPr>
        <w:t>Total Blood Group By Age Count</w:t>
      </w:r>
    </w:p>
    <w:p w14:paraId="22397033" w14:textId="4195AAF8" w:rsidR="001765B6" w:rsidRDefault="001765B6" w:rsidP="009F2693">
      <w:pPr>
        <w:rPr>
          <w:rFonts w:ascii="Aptos Narrow" w:hAnsi="Aptos Narrow"/>
        </w:rPr>
      </w:pPr>
      <w:r>
        <w:rPr>
          <w:noProof/>
        </w:rPr>
        <w:drawing>
          <wp:inline distT="0" distB="0" distL="0" distR="0" wp14:anchorId="25CCB90C" wp14:editId="39E3C9BE">
            <wp:extent cx="5364480" cy="3135630"/>
            <wp:effectExtent l="0" t="0" r="7620" b="7620"/>
            <wp:docPr id="1978123039" name="Chart 1">
              <a:extLst xmlns:a="http://schemas.openxmlformats.org/drawingml/2006/main">
                <a:ext uri="{FF2B5EF4-FFF2-40B4-BE49-F238E27FC236}">
                  <a16:creationId xmlns:a16="http://schemas.microsoft.com/office/drawing/2014/main" id="{BEEF4BAE-A034-C368-1181-E733839920D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162A1019" w14:textId="110FA350" w:rsidR="001765B6" w:rsidRDefault="001765B6" w:rsidP="009F2693">
      <w:pPr>
        <w:rPr>
          <w:rFonts w:ascii="Aptos Narrow" w:hAnsi="Aptos Narrow"/>
        </w:rPr>
      </w:pPr>
      <w:r>
        <w:rPr>
          <w:rFonts w:ascii="Aptos Narrow" w:hAnsi="Aptos Narrow"/>
        </w:rPr>
        <w:t xml:space="preserve">The chart above shows that </w:t>
      </w:r>
      <w:r w:rsidR="001C44CD">
        <w:rPr>
          <w:rFonts w:ascii="Aptos Narrow" w:hAnsi="Aptos Narrow"/>
        </w:rPr>
        <w:t>Individuals with A- Blood group type visit the hospital more.</w:t>
      </w:r>
    </w:p>
    <w:p w14:paraId="2333C50D" w14:textId="77777777" w:rsidR="002A535A" w:rsidRDefault="002A535A" w:rsidP="009F2693">
      <w:pPr>
        <w:rPr>
          <w:rFonts w:ascii="Aptos Narrow" w:hAnsi="Aptos Narrow"/>
        </w:rPr>
      </w:pPr>
    </w:p>
    <w:p w14:paraId="76744AEA" w14:textId="77777777" w:rsidR="002A535A" w:rsidRDefault="002A535A" w:rsidP="009F2693">
      <w:pPr>
        <w:rPr>
          <w:rFonts w:ascii="Aptos Narrow" w:hAnsi="Aptos Narrow"/>
        </w:rPr>
      </w:pPr>
    </w:p>
    <w:p w14:paraId="76E553E1" w14:textId="25E8DE6D" w:rsidR="005C2681" w:rsidRDefault="005C2681" w:rsidP="009F2693">
      <w:pPr>
        <w:rPr>
          <w:rFonts w:ascii="Aptos Narrow" w:hAnsi="Aptos Narrow"/>
        </w:rPr>
      </w:pPr>
      <w:r>
        <w:rPr>
          <w:rFonts w:ascii="Aptos Narrow" w:hAnsi="Aptos Narrow"/>
        </w:rPr>
        <w:t xml:space="preserve">                                          Total </w:t>
      </w:r>
      <w:r w:rsidR="005B690B">
        <w:rPr>
          <w:rFonts w:ascii="Aptos Narrow" w:hAnsi="Aptos Narrow"/>
        </w:rPr>
        <w:t>Insurance</w:t>
      </w:r>
      <w:r>
        <w:rPr>
          <w:rFonts w:ascii="Aptos Narrow" w:hAnsi="Aptos Narrow"/>
        </w:rPr>
        <w:t xml:space="preserve"> By Revenue</w:t>
      </w:r>
    </w:p>
    <w:p w14:paraId="65051CE4" w14:textId="0AEE9F09" w:rsidR="005C2681" w:rsidRDefault="005C2681" w:rsidP="009F2693">
      <w:pPr>
        <w:rPr>
          <w:rFonts w:ascii="Aptos Narrow" w:hAnsi="Aptos Narrow"/>
        </w:rPr>
      </w:pPr>
      <w:r>
        <w:rPr>
          <w:noProof/>
        </w:rPr>
        <w:lastRenderedPageBreak/>
        <w:drawing>
          <wp:inline distT="0" distB="0" distL="0" distR="0" wp14:anchorId="7F57CD0B" wp14:editId="666228B6">
            <wp:extent cx="4572000" cy="2743200"/>
            <wp:effectExtent l="0" t="0" r="0" b="0"/>
            <wp:docPr id="1469710165" name="Chart 1">
              <a:extLst xmlns:a="http://schemas.openxmlformats.org/drawingml/2006/main">
                <a:ext uri="{FF2B5EF4-FFF2-40B4-BE49-F238E27FC236}">
                  <a16:creationId xmlns:a16="http://schemas.microsoft.com/office/drawing/2014/main" id="{73BBFE53-C898-ADBB-0A8A-1C66863D431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18A36C8" w14:textId="77777777" w:rsidR="00D05A71" w:rsidRDefault="005B690B" w:rsidP="009F2693">
      <w:pPr>
        <w:rPr>
          <w:rFonts w:ascii="Aptos Narrow" w:hAnsi="Aptos Narrow"/>
        </w:rPr>
      </w:pPr>
      <w:r>
        <w:rPr>
          <w:rFonts w:ascii="Aptos Narrow" w:hAnsi="Aptos Narrow"/>
        </w:rPr>
        <w:t xml:space="preserve">The Chart Above shows the </w:t>
      </w:r>
      <w:r w:rsidR="003937B5">
        <w:rPr>
          <w:rFonts w:ascii="Aptos Narrow" w:hAnsi="Aptos Narrow"/>
        </w:rPr>
        <w:t xml:space="preserve">total </w:t>
      </w:r>
      <w:r w:rsidR="00742E8C">
        <w:rPr>
          <w:rFonts w:ascii="Aptos Narrow" w:hAnsi="Aptos Narrow"/>
        </w:rPr>
        <w:t xml:space="preserve">revenue generated from Insurance Provider. </w:t>
      </w:r>
      <w:r w:rsidR="002D7440">
        <w:rPr>
          <w:rFonts w:ascii="Aptos Narrow" w:hAnsi="Aptos Narrow"/>
        </w:rPr>
        <w:t>It shows the Cigna Insurance paid out the most.</w:t>
      </w:r>
    </w:p>
    <w:p w14:paraId="2CB59B66" w14:textId="77777777" w:rsidR="00D05A71" w:rsidRDefault="00D05A71" w:rsidP="009F2693">
      <w:pPr>
        <w:rPr>
          <w:rFonts w:ascii="Aptos Narrow" w:hAnsi="Aptos Narrow"/>
        </w:rPr>
      </w:pPr>
    </w:p>
    <w:p w14:paraId="21F3D361" w14:textId="77777777" w:rsidR="00D05A71" w:rsidRDefault="00D05A71" w:rsidP="009F2693">
      <w:pPr>
        <w:rPr>
          <w:rFonts w:ascii="Aptos Narrow" w:hAnsi="Aptos Narrow"/>
        </w:rPr>
      </w:pPr>
    </w:p>
    <w:p w14:paraId="1B57252D" w14:textId="7E911987" w:rsidR="00D05A71" w:rsidRDefault="00D05A71" w:rsidP="009F2693">
      <w:pPr>
        <w:rPr>
          <w:rFonts w:ascii="Aptos Narrow" w:hAnsi="Aptos Narrow"/>
        </w:rPr>
      </w:pPr>
      <w:r>
        <w:rPr>
          <w:rFonts w:ascii="Aptos Narrow" w:hAnsi="Aptos Narrow"/>
        </w:rPr>
        <w:t xml:space="preserve">                                               Patient Admission Yearly Trend report</w:t>
      </w:r>
    </w:p>
    <w:p w14:paraId="18B37ACA" w14:textId="332B7F9A" w:rsidR="005B690B" w:rsidRDefault="00D05A71" w:rsidP="009F2693">
      <w:pPr>
        <w:rPr>
          <w:rFonts w:ascii="Aptos Narrow" w:hAnsi="Aptos Narrow"/>
        </w:rPr>
      </w:pPr>
      <w:r>
        <w:rPr>
          <w:noProof/>
        </w:rPr>
        <w:drawing>
          <wp:inline distT="0" distB="0" distL="0" distR="0" wp14:anchorId="26CB0C37" wp14:editId="7EA68F57">
            <wp:extent cx="5731510" cy="2780665"/>
            <wp:effectExtent l="0" t="0" r="2540" b="635"/>
            <wp:docPr id="2099369706" name="Chart 1">
              <a:extLst xmlns:a="http://schemas.openxmlformats.org/drawingml/2006/main">
                <a:ext uri="{FF2B5EF4-FFF2-40B4-BE49-F238E27FC236}">
                  <a16:creationId xmlns:a16="http://schemas.microsoft.com/office/drawing/2014/main" id="{A59C1860-DCD2-4438-6208-40BDED70CAF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003937B5">
        <w:rPr>
          <w:rFonts w:ascii="Aptos Narrow" w:hAnsi="Aptos Narrow"/>
        </w:rPr>
        <w:t xml:space="preserve"> </w:t>
      </w:r>
    </w:p>
    <w:p w14:paraId="1F601859" w14:textId="2FDAF472" w:rsidR="00EB1E53" w:rsidRDefault="00EB1E53" w:rsidP="009F2693">
      <w:pPr>
        <w:rPr>
          <w:rFonts w:ascii="Aptos Narrow" w:hAnsi="Aptos Narrow"/>
        </w:rPr>
      </w:pPr>
      <w:r>
        <w:rPr>
          <w:rFonts w:ascii="Aptos Narrow" w:hAnsi="Aptos Narrow"/>
        </w:rPr>
        <w:t xml:space="preserve">The chart above shows the yearly patients admission intake. </w:t>
      </w:r>
      <w:r w:rsidR="00025D2A">
        <w:rPr>
          <w:rFonts w:ascii="Aptos Narrow" w:hAnsi="Aptos Narrow"/>
        </w:rPr>
        <w:t>2020 had the highest intake in terms of revenue generated.</w:t>
      </w:r>
    </w:p>
    <w:p w14:paraId="6921EC90" w14:textId="77777777" w:rsidR="00D75B7B" w:rsidRDefault="00D75B7B" w:rsidP="009F2693">
      <w:pPr>
        <w:rPr>
          <w:rFonts w:ascii="Aptos Narrow" w:hAnsi="Aptos Narrow"/>
        </w:rPr>
      </w:pPr>
    </w:p>
    <w:p w14:paraId="4244B81C" w14:textId="77777777" w:rsidR="00D75B7B" w:rsidRDefault="00D75B7B" w:rsidP="009F2693">
      <w:pPr>
        <w:rPr>
          <w:rFonts w:ascii="Aptos Narrow" w:hAnsi="Aptos Narrow"/>
        </w:rPr>
      </w:pPr>
    </w:p>
    <w:p w14:paraId="635F45AB" w14:textId="3809B2EA" w:rsidR="001C3AB2" w:rsidRDefault="00704F3C" w:rsidP="009F2693">
      <w:pPr>
        <w:rPr>
          <w:rFonts w:ascii="Aptos Narrow" w:hAnsi="Aptos Narrow"/>
        </w:rPr>
      </w:pPr>
      <w:r>
        <w:rPr>
          <w:rFonts w:ascii="Aptos Narrow" w:hAnsi="Aptos Narrow"/>
        </w:rPr>
        <w:t xml:space="preserve">                                        Revenue Generated B</w:t>
      </w:r>
      <w:r w:rsidR="006B465D">
        <w:rPr>
          <w:rFonts w:ascii="Aptos Narrow" w:hAnsi="Aptos Narrow"/>
        </w:rPr>
        <w:t>y</w:t>
      </w:r>
      <w:r>
        <w:rPr>
          <w:rFonts w:ascii="Aptos Narrow" w:hAnsi="Aptos Narrow"/>
        </w:rPr>
        <w:t xml:space="preserve"> Admission </w:t>
      </w:r>
    </w:p>
    <w:p w14:paraId="09D657E1" w14:textId="62A4F8C2" w:rsidR="001C3AB2" w:rsidRDefault="001C3AB2" w:rsidP="009F2693">
      <w:pPr>
        <w:rPr>
          <w:rFonts w:ascii="Aptos Narrow" w:hAnsi="Aptos Narrow"/>
        </w:rPr>
      </w:pPr>
      <w:r>
        <w:rPr>
          <w:noProof/>
        </w:rPr>
        <w:lastRenderedPageBreak/>
        <w:drawing>
          <wp:inline distT="0" distB="0" distL="0" distR="0" wp14:anchorId="6DE80AFB" wp14:editId="79FA3D96">
            <wp:extent cx="4572000" cy="2743200"/>
            <wp:effectExtent l="0" t="0" r="0" b="0"/>
            <wp:docPr id="255029758" name="Chart 1">
              <a:extLst xmlns:a="http://schemas.openxmlformats.org/drawingml/2006/main">
                <a:ext uri="{FF2B5EF4-FFF2-40B4-BE49-F238E27FC236}">
                  <a16:creationId xmlns:a16="http://schemas.microsoft.com/office/drawing/2014/main" id="{0353B586-8060-475F-B37E-F795B2C86DE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6E3A2684" w14:textId="77777777" w:rsidR="008A1099" w:rsidRDefault="00B7693B" w:rsidP="009F2693">
      <w:pPr>
        <w:rPr>
          <w:rFonts w:ascii="Aptos Narrow" w:hAnsi="Aptos Narrow"/>
        </w:rPr>
      </w:pPr>
      <w:r>
        <w:rPr>
          <w:rFonts w:ascii="Aptos Narrow" w:hAnsi="Aptos Narrow"/>
        </w:rPr>
        <w:t>The chart above shows that Ibuprof</w:t>
      </w:r>
      <w:r w:rsidR="008A1099">
        <w:rPr>
          <w:rFonts w:ascii="Aptos Narrow" w:hAnsi="Aptos Narrow"/>
        </w:rPr>
        <w:t>e</w:t>
      </w:r>
      <w:r>
        <w:rPr>
          <w:rFonts w:ascii="Aptos Narrow" w:hAnsi="Aptos Narrow"/>
        </w:rPr>
        <w:t>n generated more</w:t>
      </w:r>
      <w:r w:rsidR="008A1099">
        <w:rPr>
          <w:rFonts w:ascii="Aptos Narrow" w:hAnsi="Aptos Narrow"/>
        </w:rPr>
        <w:t xml:space="preserve"> in terms of revenue</w:t>
      </w:r>
    </w:p>
    <w:p w14:paraId="0FDF08EB" w14:textId="77777777" w:rsidR="006B465D" w:rsidRDefault="006B465D" w:rsidP="009F2693">
      <w:pPr>
        <w:rPr>
          <w:rFonts w:ascii="Aptos Narrow" w:hAnsi="Aptos Narrow"/>
        </w:rPr>
      </w:pPr>
    </w:p>
    <w:p w14:paraId="3184476A" w14:textId="77777777" w:rsidR="006B465D" w:rsidRDefault="006B465D" w:rsidP="009F2693">
      <w:pPr>
        <w:rPr>
          <w:rFonts w:ascii="Aptos Narrow" w:hAnsi="Aptos Narrow"/>
        </w:rPr>
      </w:pPr>
    </w:p>
    <w:p w14:paraId="7C13D3FE" w14:textId="77777777" w:rsidR="0098718E" w:rsidRDefault="0098718E" w:rsidP="009F2693">
      <w:pPr>
        <w:rPr>
          <w:rFonts w:ascii="Aptos Narrow" w:hAnsi="Aptos Narrow"/>
        </w:rPr>
      </w:pPr>
    </w:p>
    <w:p w14:paraId="0C0D58F3" w14:textId="1EC63A26" w:rsidR="0098718E" w:rsidRDefault="0098718E" w:rsidP="009F2693">
      <w:pPr>
        <w:rPr>
          <w:rFonts w:ascii="Aptos Narrow" w:hAnsi="Aptos Narrow"/>
        </w:rPr>
      </w:pPr>
      <w:r>
        <w:rPr>
          <w:rFonts w:ascii="Aptos Narrow" w:hAnsi="Aptos Narrow"/>
        </w:rPr>
        <w:t xml:space="preserve">         </w:t>
      </w:r>
      <w:r w:rsidR="009840A4">
        <w:rPr>
          <w:rFonts w:ascii="Aptos Narrow" w:hAnsi="Aptos Narrow"/>
        </w:rPr>
        <w:t xml:space="preserve">                                   </w:t>
      </w:r>
      <w:r>
        <w:rPr>
          <w:rFonts w:ascii="Aptos Narrow" w:hAnsi="Aptos Narrow"/>
        </w:rPr>
        <w:t>Medication Prescribed By Age</w:t>
      </w:r>
    </w:p>
    <w:p w14:paraId="3B93A92D" w14:textId="22490B23" w:rsidR="006B465D" w:rsidRDefault="0098718E" w:rsidP="009F2693">
      <w:pPr>
        <w:rPr>
          <w:rFonts w:ascii="Aptos Narrow" w:hAnsi="Aptos Narrow"/>
        </w:rPr>
      </w:pPr>
      <w:r>
        <w:rPr>
          <w:noProof/>
        </w:rPr>
        <w:drawing>
          <wp:inline distT="0" distB="0" distL="0" distR="0" wp14:anchorId="673D086B" wp14:editId="2B78CE62">
            <wp:extent cx="4572000" cy="2743200"/>
            <wp:effectExtent l="0" t="0" r="0" b="0"/>
            <wp:docPr id="217592807" name="Chart 1">
              <a:extLst xmlns:a="http://schemas.openxmlformats.org/drawingml/2006/main">
                <a:ext uri="{FF2B5EF4-FFF2-40B4-BE49-F238E27FC236}">
                  <a16:creationId xmlns:a16="http://schemas.microsoft.com/office/drawing/2014/main" id="{D71B54E6-D810-E250-DBC6-9218F5B8427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3ACFD2A" w14:textId="0872DDE7" w:rsidR="009840A4" w:rsidRDefault="009840A4" w:rsidP="009F2693">
      <w:pPr>
        <w:rPr>
          <w:rFonts w:ascii="Aptos Narrow" w:hAnsi="Aptos Narrow"/>
        </w:rPr>
      </w:pPr>
      <w:r>
        <w:rPr>
          <w:rFonts w:ascii="Aptos Narrow" w:hAnsi="Aptos Narrow"/>
        </w:rPr>
        <w:t xml:space="preserve">The Chart above shows that Lipitor </w:t>
      </w:r>
      <w:r w:rsidR="007C1E10">
        <w:rPr>
          <w:rFonts w:ascii="Aptos Narrow" w:hAnsi="Aptos Narrow"/>
        </w:rPr>
        <w:t>was prescribed more to individuals.</w:t>
      </w:r>
    </w:p>
    <w:p w14:paraId="51E79AAB" w14:textId="77777777" w:rsidR="007C1E10" w:rsidRDefault="007C1E10" w:rsidP="009F2693">
      <w:pPr>
        <w:rPr>
          <w:rFonts w:ascii="Aptos Narrow" w:hAnsi="Aptos Narrow"/>
        </w:rPr>
      </w:pPr>
    </w:p>
    <w:p w14:paraId="5ED3F7BD" w14:textId="77777777" w:rsidR="007C1E10" w:rsidRDefault="007C1E10" w:rsidP="009F2693">
      <w:pPr>
        <w:rPr>
          <w:rFonts w:ascii="Aptos Narrow" w:hAnsi="Aptos Narrow"/>
        </w:rPr>
      </w:pPr>
    </w:p>
    <w:p w14:paraId="50A70832" w14:textId="642957F0" w:rsidR="007C1E10" w:rsidRDefault="008E31A3" w:rsidP="009F2693">
      <w:pPr>
        <w:rPr>
          <w:rFonts w:ascii="Aptos Narrow" w:hAnsi="Aptos Narrow"/>
        </w:rPr>
      </w:pPr>
      <w:r>
        <w:rPr>
          <w:rFonts w:ascii="Aptos Narrow" w:hAnsi="Aptos Narrow"/>
        </w:rPr>
        <w:t xml:space="preserve"> </w:t>
      </w:r>
      <w:r w:rsidR="00F70D51">
        <w:rPr>
          <w:rFonts w:ascii="Aptos Narrow" w:hAnsi="Aptos Narrow"/>
        </w:rPr>
        <w:t xml:space="preserve">         Count </w:t>
      </w:r>
      <w:r w:rsidR="00FC1BCA">
        <w:rPr>
          <w:rFonts w:ascii="Aptos Narrow" w:hAnsi="Aptos Narrow"/>
        </w:rPr>
        <w:t>of Medical Condition By Age</w:t>
      </w:r>
    </w:p>
    <w:p w14:paraId="1587F5C4" w14:textId="6AA0F1CB" w:rsidR="007C1E10" w:rsidRDefault="008E31A3" w:rsidP="009F2693">
      <w:pPr>
        <w:rPr>
          <w:rFonts w:ascii="Aptos Narrow" w:hAnsi="Aptos Narrow"/>
        </w:rPr>
      </w:pPr>
      <w:r>
        <w:rPr>
          <w:noProof/>
        </w:rPr>
        <w:lastRenderedPageBreak/>
        <w:drawing>
          <wp:inline distT="0" distB="0" distL="0" distR="0" wp14:anchorId="3B68DD86" wp14:editId="41074348">
            <wp:extent cx="4572000" cy="2743200"/>
            <wp:effectExtent l="0" t="0" r="0" b="0"/>
            <wp:docPr id="835350943" name="Chart 1">
              <a:extLst xmlns:a="http://schemas.openxmlformats.org/drawingml/2006/main">
                <a:ext uri="{FF2B5EF4-FFF2-40B4-BE49-F238E27FC236}">
                  <a16:creationId xmlns:a16="http://schemas.microsoft.com/office/drawing/2014/main" id="{604B7B32-85C2-05B1-9F6C-39AED7FA50C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EF2E988" w14:textId="41FE7A28" w:rsidR="00FC1BCA" w:rsidRDefault="000D033E" w:rsidP="009F2693">
      <w:pPr>
        <w:rPr>
          <w:rFonts w:ascii="Aptos Narrow" w:hAnsi="Aptos Narrow"/>
        </w:rPr>
      </w:pPr>
      <w:r>
        <w:rPr>
          <w:rFonts w:ascii="Aptos Narrow" w:hAnsi="Aptos Narrow"/>
        </w:rPr>
        <w:t>The Chart</w:t>
      </w:r>
      <w:r w:rsidR="00D27DC3">
        <w:rPr>
          <w:rFonts w:ascii="Aptos Narrow" w:hAnsi="Aptos Narrow"/>
        </w:rPr>
        <w:t xml:space="preserve"> above shows that individuals with Arthritis visited the </w:t>
      </w:r>
      <w:r w:rsidR="00A3452B">
        <w:rPr>
          <w:rFonts w:ascii="Aptos Narrow" w:hAnsi="Aptos Narrow"/>
        </w:rPr>
        <w:t xml:space="preserve">hospital more than all </w:t>
      </w:r>
      <w:r w:rsidR="000F5CFF">
        <w:rPr>
          <w:rFonts w:ascii="Aptos Narrow" w:hAnsi="Aptos Narrow"/>
        </w:rPr>
        <w:t>other medical</w:t>
      </w:r>
      <w:r w:rsidR="00A3452B">
        <w:rPr>
          <w:rFonts w:ascii="Aptos Narrow" w:hAnsi="Aptos Narrow"/>
        </w:rPr>
        <w:t xml:space="preserve"> conditions.</w:t>
      </w:r>
    </w:p>
    <w:p w14:paraId="2461D0BC" w14:textId="77777777" w:rsidR="008A1099" w:rsidRDefault="008A1099" w:rsidP="009F2693">
      <w:pPr>
        <w:rPr>
          <w:rFonts w:ascii="Aptos Narrow" w:hAnsi="Aptos Narrow"/>
        </w:rPr>
      </w:pPr>
    </w:p>
    <w:p w14:paraId="60B6E055" w14:textId="47E48226" w:rsidR="00B7693B" w:rsidRDefault="00B7693B" w:rsidP="009F2693">
      <w:pPr>
        <w:rPr>
          <w:rFonts w:ascii="Aptos Narrow" w:hAnsi="Aptos Narrow"/>
        </w:rPr>
      </w:pPr>
      <w:r>
        <w:rPr>
          <w:rFonts w:ascii="Aptos Narrow" w:hAnsi="Aptos Narrow"/>
        </w:rPr>
        <w:t xml:space="preserve"> </w:t>
      </w:r>
    </w:p>
    <w:p w14:paraId="11066147" w14:textId="2F645C75" w:rsidR="002553E6" w:rsidRPr="00A663DD" w:rsidRDefault="002553E6" w:rsidP="009F2693">
      <w:pPr>
        <w:rPr>
          <w:rFonts w:ascii="Aptos Narrow" w:hAnsi="Aptos Narrow"/>
        </w:rPr>
      </w:pPr>
      <w:r>
        <w:rPr>
          <w:rFonts w:ascii="Aptos Narrow" w:hAnsi="Aptos Narrow"/>
        </w:rPr>
        <w:t xml:space="preserve">                                 </w:t>
      </w:r>
    </w:p>
    <w:p w14:paraId="21A4F3A0" w14:textId="77777777" w:rsidR="00602339" w:rsidRPr="00A663DD" w:rsidRDefault="00602339">
      <w:pPr>
        <w:rPr>
          <w:rFonts w:ascii="Aptos Narrow" w:hAnsi="Aptos Narrow"/>
        </w:rPr>
      </w:pPr>
    </w:p>
    <w:p w14:paraId="50CFDFEB" w14:textId="6008E713" w:rsidR="0045184A" w:rsidRPr="00F95838" w:rsidRDefault="0045184A">
      <w:pPr>
        <w:rPr>
          <w:rFonts w:ascii="Aptos Narrow" w:hAnsi="Aptos Narrow"/>
          <w:b/>
          <w:bCs/>
        </w:rPr>
      </w:pPr>
      <w:r w:rsidRPr="00F95838">
        <w:rPr>
          <w:rFonts w:ascii="Aptos Narrow" w:hAnsi="Aptos Narrow"/>
          <w:b/>
          <w:bCs/>
        </w:rPr>
        <w:t>8. Recommendation and Observation</w:t>
      </w:r>
    </w:p>
    <w:p w14:paraId="1338B406" w14:textId="21C12077" w:rsidR="00E50522" w:rsidRPr="00E50522" w:rsidRDefault="00E50522" w:rsidP="00E50522">
      <w:pPr>
        <w:rPr>
          <w:rFonts w:ascii="Aptos Narrow" w:hAnsi="Aptos Narrow"/>
        </w:rPr>
      </w:pPr>
      <w:r w:rsidRPr="00E50522">
        <w:rPr>
          <w:rFonts w:ascii="Aptos Narrow" w:hAnsi="Aptos Narrow"/>
        </w:rPr>
        <w:t xml:space="preserve">                                                               </w:t>
      </w:r>
      <w:r w:rsidRPr="00A663DD">
        <w:rPr>
          <w:rFonts w:ascii="Aptos Narrow" w:hAnsi="Aptos Narrow"/>
          <w:b/>
          <w:bCs/>
        </w:rPr>
        <w:t>Final Observations</w:t>
      </w:r>
      <w:r w:rsidRPr="00E50522">
        <w:rPr>
          <w:rFonts w:ascii="Aptos Narrow" w:hAnsi="Aptos Narrow"/>
          <w:b/>
          <w:bCs/>
        </w:rPr>
        <w:t xml:space="preserve"> </w:t>
      </w:r>
    </w:p>
    <w:p w14:paraId="4CA5D9BF" w14:textId="77777777" w:rsidR="009D48E8" w:rsidRPr="009D48E8" w:rsidRDefault="009D48E8" w:rsidP="009D48E8">
      <w:pPr>
        <w:rPr>
          <w:rFonts w:ascii="Aptos Narrow" w:hAnsi="Aptos Narrow"/>
        </w:rPr>
      </w:pPr>
      <w:r w:rsidRPr="009D48E8">
        <w:rPr>
          <w:rFonts w:ascii="Aptos Narrow" w:hAnsi="Aptos Narrow"/>
        </w:rPr>
        <w:t xml:space="preserve">1. The hospital system generated a combined revenue of £1,417,432,043 across all facilities from 2019 to 2024, reflecting a strong financial health and the capacity to sustain operations, invest in medical infrastructure, and expand services across the medical field. </w:t>
      </w:r>
    </w:p>
    <w:p w14:paraId="119F43E4" w14:textId="77777777" w:rsidR="009D48E8" w:rsidRPr="009D48E8" w:rsidRDefault="009D48E8" w:rsidP="009D48E8">
      <w:pPr>
        <w:rPr>
          <w:rFonts w:ascii="Aptos Narrow" w:hAnsi="Aptos Narrow"/>
        </w:rPr>
      </w:pPr>
      <w:r w:rsidRPr="009D48E8">
        <w:rPr>
          <w:rFonts w:ascii="Aptos Narrow" w:hAnsi="Aptos Narrow"/>
        </w:rPr>
        <w:t>2.  The hospital system managed 55,000 admissions from the years 2019 to 2024.</w:t>
      </w:r>
    </w:p>
    <w:p w14:paraId="25FC2A97" w14:textId="77777777" w:rsidR="009D48E8" w:rsidRPr="009D48E8" w:rsidRDefault="009D48E8" w:rsidP="009D48E8">
      <w:pPr>
        <w:rPr>
          <w:rFonts w:ascii="Aptos Narrow" w:hAnsi="Aptos Narrow"/>
        </w:rPr>
      </w:pPr>
      <w:r w:rsidRPr="009D48E8">
        <w:rPr>
          <w:rFonts w:ascii="Aptos Narrow" w:hAnsi="Aptos Narrow"/>
        </w:rPr>
        <w:t>3. Elective admissions were the most common type of admission, this type of admission accounted for 18,655 individuals. This highlights the system's strength in managing planned procedures, such as surgeries and chronic condition treatments.</w:t>
      </w:r>
    </w:p>
    <w:p w14:paraId="55FAB580" w14:textId="77777777" w:rsidR="009D48E8" w:rsidRPr="009D48E8" w:rsidRDefault="009D48E8" w:rsidP="009D48E8">
      <w:pPr>
        <w:rPr>
          <w:rFonts w:ascii="Aptos Narrow" w:hAnsi="Aptos Narrow"/>
        </w:rPr>
      </w:pPr>
      <w:r w:rsidRPr="009D48E8">
        <w:rPr>
          <w:rFonts w:ascii="Aptos Narrow" w:hAnsi="Aptos Narrow"/>
        </w:rPr>
        <w:t>4. The patient population was nearly evenly even, with 27,774 males and 27,226 females which is broken down in 50.5% male and 49.5% female, indicating equal access to care across genders.</w:t>
      </w:r>
    </w:p>
    <w:p w14:paraId="0E11D6C1" w14:textId="7AD8D1DF" w:rsidR="009D48E8" w:rsidRPr="009D48E8" w:rsidRDefault="009D48E8" w:rsidP="009D48E8">
      <w:pPr>
        <w:rPr>
          <w:rFonts w:ascii="Aptos Narrow" w:hAnsi="Aptos Narrow"/>
        </w:rPr>
      </w:pPr>
      <w:r w:rsidRPr="009D48E8">
        <w:rPr>
          <w:rFonts w:ascii="Aptos Narrow" w:hAnsi="Aptos Narrow"/>
        </w:rPr>
        <w:t>5. 9,699 individuals with A- blood type was recorded making it the most common blood group. This insight is vital for managing blood supply and transfusion services, especially for surgeries and during emergencies.</w:t>
      </w:r>
    </w:p>
    <w:p w14:paraId="5D686920" w14:textId="0DD92CBB" w:rsidR="009D48E8" w:rsidRPr="009D48E8" w:rsidRDefault="009D48E8" w:rsidP="009D48E8">
      <w:pPr>
        <w:rPr>
          <w:rFonts w:ascii="Aptos Narrow" w:hAnsi="Aptos Narrow"/>
        </w:rPr>
      </w:pPr>
      <w:r w:rsidRPr="009D48E8">
        <w:rPr>
          <w:rFonts w:ascii="Aptos Narrow" w:hAnsi="Aptos Narrow"/>
        </w:rPr>
        <w:lastRenderedPageBreak/>
        <w:t>6. Arthritis was the most frequent condition, affecting 9,308 individuals. This brings about a significant demand for orthopaedic care, pain management and potentially joint replacement surgeries.</w:t>
      </w:r>
    </w:p>
    <w:p w14:paraId="0995E79D" w14:textId="77777777" w:rsidR="009D48E8" w:rsidRPr="009D48E8" w:rsidRDefault="009D48E8" w:rsidP="009D48E8">
      <w:pPr>
        <w:rPr>
          <w:rFonts w:ascii="Aptos Narrow" w:hAnsi="Aptos Narrow"/>
        </w:rPr>
      </w:pPr>
      <w:r w:rsidRPr="009D48E8">
        <w:rPr>
          <w:rFonts w:ascii="Aptos Narrow" w:hAnsi="Aptos Narrow"/>
        </w:rPr>
        <w:t>7. Lipitor was prescribed to 11,140 individuals. This highlights a strong concern on cardiovascular health, particularly cholesterol management and heart disease prevention.</w:t>
      </w:r>
    </w:p>
    <w:p w14:paraId="56E33698" w14:textId="6DE7B69B" w:rsidR="009D48E8" w:rsidRPr="009D48E8" w:rsidRDefault="009D48E8" w:rsidP="009D48E8">
      <w:pPr>
        <w:rPr>
          <w:rFonts w:ascii="Aptos Narrow" w:hAnsi="Aptos Narrow"/>
        </w:rPr>
      </w:pPr>
      <w:r w:rsidRPr="009D48E8">
        <w:rPr>
          <w:rFonts w:ascii="Aptos Narrow" w:hAnsi="Aptos Narrow"/>
        </w:rPr>
        <w:t>8. Ibuprofen generated £286,359,751 in revenue from 2019 to 2024, reflecting its widespread use as a cost-effective pain reliever and anti-inflammatory</w:t>
      </w:r>
    </w:p>
    <w:p w14:paraId="7424B351" w14:textId="0144E4C1" w:rsidR="00D30088" w:rsidRPr="00A663DD" w:rsidRDefault="009D48E8" w:rsidP="00D30088">
      <w:pPr>
        <w:rPr>
          <w:rFonts w:ascii="Aptos Narrow" w:hAnsi="Aptos Narrow"/>
        </w:rPr>
      </w:pPr>
      <w:r w:rsidRPr="009D48E8">
        <w:rPr>
          <w:rFonts w:ascii="Aptos Narrow" w:hAnsi="Aptos Narrow"/>
        </w:rPr>
        <w:t xml:space="preserve">9. Cigna Insurance paid out £287,139,345 from 2019 to 2024. This makes Cigna Insurance the leading insurer in terms of financial contributions to the hospital system. </w:t>
      </w:r>
    </w:p>
    <w:p w14:paraId="038FFE54" w14:textId="77777777" w:rsidR="00D30088" w:rsidRPr="00A663DD" w:rsidRDefault="00D30088" w:rsidP="00D30088">
      <w:pPr>
        <w:rPr>
          <w:rFonts w:ascii="Aptos Narrow" w:hAnsi="Aptos Narrow"/>
        </w:rPr>
      </w:pPr>
    </w:p>
    <w:p w14:paraId="02CAE0E4" w14:textId="4AAC8695" w:rsidR="00F95838" w:rsidRPr="009F05B0" w:rsidRDefault="009F05B0" w:rsidP="009F05B0">
      <w:pPr>
        <w:rPr>
          <w:rFonts w:ascii="Aptos Narrow" w:hAnsi="Aptos Narrow"/>
        </w:rPr>
      </w:pPr>
      <w:r w:rsidRPr="009F05B0">
        <w:rPr>
          <w:rFonts w:ascii="Aptos Narrow" w:hAnsi="Aptos Narrow"/>
        </w:rPr>
        <w:t xml:space="preserve">                                                                     </w:t>
      </w:r>
      <w:r w:rsidRPr="009F05B0">
        <w:rPr>
          <w:rFonts w:ascii="Aptos Narrow" w:hAnsi="Aptos Narrow"/>
          <w:b/>
          <w:bCs/>
        </w:rPr>
        <w:t xml:space="preserve">Final </w:t>
      </w:r>
      <w:r w:rsidRPr="00A663DD">
        <w:rPr>
          <w:rFonts w:ascii="Aptos Narrow" w:hAnsi="Aptos Narrow"/>
          <w:b/>
          <w:bCs/>
        </w:rPr>
        <w:t>Recommendatio</w:t>
      </w:r>
      <w:r w:rsidR="000311AB">
        <w:rPr>
          <w:rFonts w:ascii="Aptos Narrow" w:hAnsi="Aptos Narrow"/>
          <w:b/>
          <w:bCs/>
        </w:rPr>
        <w:t>n</w:t>
      </w:r>
    </w:p>
    <w:p w14:paraId="0603D6BE" w14:textId="28118C8F" w:rsidR="000311AB" w:rsidRPr="00DC197D" w:rsidRDefault="000311AB" w:rsidP="000311AB">
      <w:pPr>
        <w:rPr>
          <w:rFonts w:ascii="Aptos Narrow" w:hAnsi="Aptos Narrow"/>
        </w:rPr>
      </w:pPr>
      <w:r w:rsidRPr="00DC197D">
        <w:rPr>
          <w:rFonts w:ascii="Aptos Narrow" w:hAnsi="Aptos Narrow"/>
        </w:rPr>
        <w:t xml:space="preserve"> </w:t>
      </w:r>
      <w:r w:rsidR="00DC197D">
        <w:rPr>
          <w:rFonts w:ascii="Aptos Narrow" w:hAnsi="Aptos Narrow"/>
        </w:rPr>
        <w:t xml:space="preserve">1. </w:t>
      </w:r>
      <w:r w:rsidRPr="00DC197D">
        <w:rPr>
          <w:rFonts w:ascii="Aptos Narrow" w:hAnsi="Aptos Narrow"/>
        </w:rPr>
        <w:t>I recommend allocating resources for elective admissions to maximize efficiency. Implement a centralized booking system to reduce waiting times, improve patient satisfaction, and maintain this operational strength.</w:t>
      </w:r>
    </w:p>
    <w:p w14:paraId="5C51F656" w14:textId="77777777" w:rsidR="000311AB" w:rsidRPr="000311AB" w:rsidRDefault="000311AB" w:rsidP="000311AB">
      <w:pPr>
        <w:rPr>
          <w:rFonts w:ascii="Aptos Narrow" w:hAnsi="Aptos Narrow"/>
        </w:rPr>
      </w:pPr>
      <w:r w:rsidRPr="000311AB">
        <w:rPr>
          <w:rFonts w:ascii="Aptos Narrow" w:hAnsi="Aptos Narrow"/>
        </w:rPr>
        <w:t>2. I recommend services such as preventive screenings, surgeries, and chronic care be equally accessible to both genders.</w:t>
      </w:r>
    </w:p>
    <w:p w14:paraId="4F642DBD" w14:textId="77777777" w:rsidR="000311AB" w:rsidRPr="000311AB" w:rsidRDefault="000311AB" w:rsidP="000311AB">
      <w:pPr>
        <w:rPr>
          <w:rFonts w:ascii="Aptos Narrow" w:hAnsi="Aptos Narrow"/>
        </w:rPr>
      </w:pPr>
      <w:r w:rsidRPr="000311AB">
        <w:rPr>
          <w:rFonts w:ascii="Aptos Narrow" w:hAnsi="Aptos Narrow"/>
        </w:rPr>
        <w:t xml:space="preserve">3. I recommend prioritizing stocking A- blood type in blood banks to meet transfusion demands, especially for surgeries and emergencies. </w:t>
      </w:r>
      <w:proofErr w:type="spellStart"/>
      <w:r w:rsidRPr="000311AB">
        <w:rPr>
          <w:rFonts w:ascii="Aptos Narrow" w:hAnsi="Aptos Narrow"/>
        </w:rPr>
        <w:t>i</w:t>
      </w:r>
      <w:proofErr w:type="spellEnd"/>
      <w:r w:rsidRPr="000311AB">
        <w:rPr>
          <w:rFonts w:ascii="Aptos Narrow" w:hAnsi="Aptos Narrow"/>
        </w:rPr>
        <w:t xml:space="preserve"> also recommend launching donor recruitment campaigns for A- blood to maintain supply.  I also recommend stocking all other blood groups</w:t>
      </w:r>
    </w:p>
    <w:p w14:paraId="513B8619" w14:textId="25B4F0B9" w:rsidR="000311AB" w:rsidRPr="000311AB" w:rsidRDefault="000311AB" w:rsidP="000311AB">
      <w:pPr>
        <w:rPr>
          <w:rFonts w:ascii="Aptos Narrow" w:hAnsi="Aptos Narrow"/>
        </w:rPr>
      </w:pPr>
      <w:r w:rsidRPr="000311AB">
        <w:rPr>
          <w:rFonts w:ascii="Aptos Narrow" w:hAnsi="Aptos Narrow"/>
        </w:rPr>
        <w:t xml:space="preserve">4. I recommend Increasing investment in </w:t>
      </w:r>
      <w:r w:rsidR="00DC197D" w:rsidRPr="000311AB">
        <w:rPr>
          <w:rFonts w:ascii="Aptos Narrow" w:hAnsi="Aptos Narrow"/>
        </w:rPr>
        <w:t>orthopaedic</w:t>
      </w:r>
      <w:r w:rsidRPr="000311AB">
        <w:rPr>
          <w:rFonts w:ascii="Aptos Narrow" w:hAnsi="Aptos Narrow"/>
        </w:rPr>
        <w:t xml:space="preserve"> services, including specialized clinics, physical therapy, and surgical capacity for joint replacements. Also Develop comprehensive pain management programs to improve patient outcomes and quality of life.</w:t>
      </w:r>
    </w:p>
    <w:p w14:paraId="73945022" w14:textId="5851D7D8" w:rsidR="000311AB" w:rsidRPr="000311AB" w:rsidRDefault="000311AB" w:rsidP="000311AB">
      <w:pPr>
        <w:rPr>
          <w:rFonts w:ascii="Aptos Narrow" w:hAnsi="Aptos Narrow"/>
        </w:rPr>
      </w:pPr>
      <w:r w:rsidRPr="000311AB">
        <w:rPr>
          <w:rFonts w:ascii="Aptos Narrow" w:hAnsi="Aptos Narrow"/>
        </w:rPr>
        <w:t xml:space="preserve">5. I recommend expanding cardiovascular care programs through lifestyle changes like diet and exercise </w:t>
      </w:r>
      <w:r w:rsidR="00DC197D" w:rsidRPr="000311AB">
        <w:rPr>
          <w:rFonts w:ascii="Aptos Narrow" w:hAnsi="Aptos Narrow"/>
        </w:rPr>
        <w:t>counselling</w:t>
      </w:r>
      <w:r w:rsidRPr="000311AB">
        <w:rPr>
          <w:rFonts w:ascii="Aptos Narrow" w:hAnsi="Aptos Narrow"/>
        </w:rPr>
        <w:t xml:space="preserve"> alongside medication management. Also invest in diagnostic tools and follow up care to reduce long term cardiovascular risks.</w:t>
      </w:r>
    </w:p>
    <w:p w14:paraId="1BD32D80" w14:textId="77777777" w:rsidR="000311AB" w:rsidRPr="000311AB" w:rsidRDefault="000311AB" w:rsidP="000311AB">
      <w:pPr>
        <w:rPr>
          <w:rFonts w:ascii="Aptos Narrow" w:hAnsi="Aptos Narrow"/>
        </w:rPr>
      </w:pPr>
      <w:r w:rsidRPr="000311AB">
        <w:rPr>
          <w:rFonts w:ascii="Aptos Narrow" w:hAnsi="Aptos Narrow"/>
        </w:rPr>
        <w:t>6. I recommend negotiating bulk purchasing agreements for high use medications like Ibuprofen and Lipitor to lower costs and improve profit margins.</w:t>
      </w:r>
    </w:p>
    <w:p w14:paraId="0F8558CD" w14:textId="77777777" w:rsidR="000311AB" w:rsidRPr="000311AB" w:rsidRDefault="000311AB" w:rsidP="000311AB">
      <w:pPr>
        <w:rPr>
          <w:rFonts w:ascii="Aptos Narrow" w:hAnsi="Aptos Narrow"/>
        </w:rPr>
      </w:pPr>
      <w:r w:rsidRPr="000311AB">
        <w:rPr>
          <w:rFonts w:ascii="Aptos Narrow" w:hAnsi="Aptos Narrow"/>
        </w:rPr>
        <w:t>7. I recommend pursuing new partnerships with additional insurance providers to diversify revenue streams, reduce reliance on Cigna and other insurance partners, and offer patients more insurance options. This will enhance financial stability and resilience.</w:t>
      </w:r>
    </w:p>
    <w:p w14:paraId="09AC6706" w14:textId="77777777" w:rsidR="000311AB" w:rsidRPr="000311AB" w:rsidRDefault="000311AB" w:rsidP="000311AB">
      <w:pPr>
        <w:rPr>
          <w:rFonts w:ascii="Aptos Narrow" w:hAnsi="Aptos Narrow"/>
        </w:rPr>
      </w:pPr>
      <w:r w:rsidRPr="000311AB">
        <w:rPr>
          <w:rFonts w:ascii="Aptos Narrow" w:hAnsi="Aptos Narrow"/>
        </w:rPr>
        <w:t>8. I recommend developing a flexible contingency plan, including scalable staffing, bed capacity, and supply reserves, to handle future increases in demand.</w:t>
      </w:r>
    </w:p>
    <w:p w14:paraId="7E3ABCA6" w14:textId="77777777" w:rsidR="00CC3483" w:rsidRPr="00A663DD" w:rsidRDefault="00CC3483" w:rsidP="00CC3483">
      <w:pPr>
        <w:ind w:left="360"/>
        <w:rPr>
          <w:rFonts w:ascii="Aptos Narrow" w:hAnsi="Aptos Narrow"/>
        </w:rPr>
      </w:pPr>
    </w:p>
    <w:p w14:paraId="6AD9AC09" w14:textId="77777777" w:rsidR="00CC3483" w:rsidRPr="00A663DD" w:rsidRDefault="00CC3483" w:rsidP="00CC3483">
      <w:pPr>
        <w:rPr>
          <w:rFonts w:ascii="Aptos Narrow" w:hAnsi="Aptos Narrow"/>
          <w:b/>
          <w:bCs/>
        </w:rPr>
      </w:pPr>
      <w:r w:rsidRPr="00A663DD">
        <w:rPr>
          <w:rFonts w:ascii="Aptos Narrow" w:hAnsi="Aptos Narrow"/>
          <w:b/>
          <w:bCs/>
        </w:rPr>
        <w:t>9.  Conclusion</w:t>
      </w:r>
    </w:p>
    <w:p w14:paraId="1A0105DA" w14:textId="0FC62D4F" w:rsidR="0034210E" w:rsidRPr="00572EF6" w:rsidRDefault="0034210E" w:rsidP="0034210E">
      <w:r w:rsidRPr="00572EF6">
        <w:lastRenderedPageBreak/>
        <w:t>The analysis provides valuable insights into hospital performance, patient demographics, and financial trends. Implementing data</w:t>
      </w:r>
      <w:r>
        <w:t xml:space="preserve"> </w:t>
      </w:r>
      <w:r w:rsidRPr="00572EF6">
        <w:t>driven recommendations can enhance healthcare service delivery and financial sustainability.</w:t>
      </w:r>
    </w:p>
    <w:p w14:paraId="05123C72" w14:textId="77777777" w:rsidR="003D6D49" w:rsidRPr="00A663DD" w:rsidRDefault="003D6D49" w:rsidP="00CC3483">
      <w:pPr>
        <w:rPr>
          <w:rFonts w:ascii="Aptos Narrow" w:hAnsi="Aptos Narrow"/>
        </w:rPr>
      </w:pPr>
    </w:p>
    <w:p w14:paraId="709B0615" w14:textId="77777777" w:rsidR="00323963" w:rsidRPr="000A244A" w:rsidRDefault="00323963" w:rsidP="00323963">
      <w:pPr>
        <w:rPr>
          <w:rFonts w:ascii="Aptos Narrow" w:hAnsi="Aptos Narrow"/>
          <w:b/>
          <w:bCs/>
        </w:rPr>
      </w:pPr>
      <w:r w:rsidRPr="000A244A">
        <w:rPr>
          <w:rFonts w:ascii="Aptos Narrow" w:hAnsi="Aptos Narrow"/>
          <w:b/>
          <w:bCs/>
        </w:rPr>
        <w:t>10. References &amp; Appendices</w:t>
      </w:r>
    </w:p>
    <w:p w14:paraId="06454FF0" w14:textId="151A4C01" w:rsidR="00323963" w:rsidRPr="00323963" w:rsidRDefault="00323963" w:rsidP="00323963">
      <w:pPr>
        <w:rPr>
          <w:rFonts w:ascii="Aptos Narrow" w:hAnsi="Aptos Narrow"/>
        </w:rPr>
      </w:pPr>
      <w:r w:rsidRPr="00A663DD">
        <w:rPr>
          <w:rFonts w:ascii="Aptos Narrow" w:hAnsi="Aptos Narrow"/>
          <w:b/>
          <w:bCs/>
        </w:rPr>
        <w:t xml:space="preserve">       </w:t>
      </w:r>
      <w:r w:rsidRPr="00323963">
        <w:rPr>
          <w:rFonts w:ascii="Aptos Narrow" w:hAnsi="Aptos Narrow"/>
        </w:rPr>
        <w:t xml:space="preserve"> Pivot table summaries and raw data provided in the document</w:t>
      </w:r>
      <w:r w:rsidR="008478DC" w:rsidRPr="00A663DD">
        <w:rPr>
          <w:rFonts w:ascii="Aptos Narrow" w:hAnsi="Aptos Narrow"/>
        </w:rPr>
        <w:t xml:space="preserve"> from Keggle.com</w:t>
      </w:r>
      <w:r w:rsidRPr="00323963">
        <w:rPr>
          <w:rFonts w:ascii="Aptos Narrow" w:hAnsi="Aptos Narrow"/>
        </w:rPr>
        <w:t>.</w:t>
      </w:r>
    </w:p>
    <w:p w14:paraId="178152AA" w14:textId="2C186ADA" w:rsidR="003D6D49" w:rsidRPr="00A663DD" w:rsidRDefault="003D6D49" w:rsidP="00CC3483">
      <w:pPr>
        <w:rPr>
          <w:rFonts w:ascii="Aptos Narrow" w:hAnsi="Aptos Narrow"/>
        </w:rPr>
      </w:pPr>
    </w:p>
    <w:p w14:paraId="7F5B4100" w14:textId="77777777" w:rsidR="00CC3483" w:rsidRPr="00A663DD" w:rsidRDefault="00CC3483" w:rsidP="00CC3483">
      <w:pPr>
        <w:ind w:left="360"/>
        <w:rPr>
          <w:rFonts w:ascii="Aptos Narrow" w:hAnsi="Aptos Narrow"/>
        </w:rPr>
      </w:pPr>
    </w:p>
    <w:p w14:paraId="2F2B62B9" w14:textId="77777777" w:rsidR="000F1C63" w:rsidRPr="00A663DD" w:rsidRDefault="000F1C63" w:rsidP="000F1C63">
      <w:pPr>
        <w:rPr>
          <w:rFonts w:ascii="Aptos Narrow" w:hAnsi="Aptos Narrow"/>
        </w:rPr>
      </w:pPr>
    </w:p>
    <w:p w14:paraId="4E34D2D2" w14:textId="77777777" w:rsidR="00D30088" w:rsidRPr="00D30088" w:rsidRDefault="00D30088" w:rsidP="00D30088">
      <w:pPr>
        <w:rPr>
          <w:rFonts w:ascii="Aptos Narrow" w:hAnsi="Aptos Narrow"/>
        </w:rPr>
      </w:pPr>
    </w:p>
    <w:p w14:paraId="6823FA9F" w14:textId="77777777" w:rsidR="00D30088" w:rsidRPr="00E50522" w:rsidRDefault="00D30088" w:rsidP="00E50522">
      <w:pPr>
        <w:rPr>
          <w:rFonts w:ascii="Aptos Narrow" w:hAnsi="Aptos Narrow"/>
        </w:rPr>
      </w:pPr>
    </w:p>
    <w:p w14:paraId="1B82DDA4" w14:textId="77777777" w:rsidR="0045184A" w:rsidRPr="00A663DD" w:rsidRDefault="0045184A">
      <w:pPr>
        <w:rPr>
          <w:rFonts w:ascii="Aptos Narrow" w:hAnsi="Aptos Narrow"/>
        </w:rPr>
      </w:pPr>
    </w:p>
    <w:p w14:paraId="4BE3C22F" w14:textId="77777777" w:rsidR="00602339" w:rsidRPr="00A663DD" w:rsidRDefault="00602339">
      <w:pPr>
        <w:rPr>
          <w:rFonts w:ascii="Aptos Narrow" w:hAnsi="Aptos Narrow"/>
        </w:rPr>
      </w:pPr>
    </w:p>
    <w:p w14:paraId="61FB29E6" w14:textId="77777777" w:rsidR="00602339" w:rsidRPr="00A663DD" w:rsidRDefault="00602339">
      <w:pPr>
        <w:rPr>
          <w:rFonts w:ascii="Aptos Narrow" w:hAnsi="Aptos Narrow"/>
        </w:rPr>
      </w:pPr>
    </w:p>
    <w:sectPr w:rsidR="00602339" w:rsidRPr="00A663D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3A60C" w14:textId="77777777" w:rsidR="00D07EC5" w:rsidRDefault="00D07EC5" w:rsidP="009F2693">
      <w:pPr>
        <w:spacing w:after="0" w:line="240" w:lineRule="auto"/>
      </w:pPr>
      <w:r>
        <w:separator/>
      </w:r>
    </w:p>
  </w:endnote>
  <w:endnote w:type="continuationSeparator" w:id="0">
    <w:p w14:paraId="60402EF2" w14:textId="77777777" w:rsidR="00D07EC5" w:rsidRDefault="00D07EC5" w:rsidP="009F26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98349" w14:textId="77777777" w:rsidR="00D07EC5" w:rsidRDefault="00D07EC5" w:rsidP="009F2693">
      <w:pPr>
        <w:spacing w:after="0" w:line="240" w:lineRule="auto"/>
      </w:pPr>
      <w:r>
        <w:separator/>
      </w:r>
    </w:p>
  </w:footnote>
  <w:footnote w:type="continuationSeparator" w:id="0">
    <w:p w14:paraId="74B13EA1" w14:textId="77777777" w:rsidR="00D07EC5" w:rsidRDefault="00D07EC5" w:rsidP="009F269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2B3293"/>
    <w:multiLevelType w:val="hybridMultilevel"/>
    <w:tmpl w:val="1890D18A"/>
    <w:lvl w:ilvl="0" w:tplc="4A923C7A">
      <w:start w:val="1"/>
      <w:numFmt w:val="lowerRoman"/>
      <w:lvlText w:val="%1."/>
      <w:lvlJc w:val="left"/>
      <w:pPr>
        <w:ind w:left="1440" w:hanging="720"/>
      </w:pPr>
      <w:rPr>
        <w:rFonts w:hint="default"/>
        <w:b w:val="0"/>
        <w:bCs w:val="0"/>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0B9B5D96"/>
    <w:multiLevelType w:val="hybridMultilevel"/>
    <w:tmpl w:val="13BC6168"/>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9BB4485"/>
    <w:multiLevelType w:val="hybridMultilevel"/>
    <w:tmpl w:val="FCFE4F0E"/>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AF2153"/>
    <w:multiLevelType w:val="hybridMultilevel"/>
    <w:tmpl w:val="1890D18A"/>
    <w:lvl w:ilvl="0" w:tplc="FFFFFFFF">
      <w:start w:val="1"/>
      <w:numFmt w:val="lowerRoman"/>
      <w:lvlText w:val="%1."/>
      <w:lvlJc w:val="left"/>
      <w:pPr>
        <w:ind w:left="1440" w:hanging="72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30BD07B1"/>
    <w:multiLevelType w:val="hybridMultilevel"/>
    <w:tmpl w:val="A908273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E421E66"/>
    <w:multiLevelType w:val="hybridMultilevel"/>
    <w:tmpl w:val="1E38A2D8"/>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A266738"/>
    <w:multiLevelType w:val="hybridMultilevel"/>
    <w:tmpl w:val="B6DCA66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A876B7C"/>
    <w:multiLevelType w:val="multilevel"/>
    <w:tmpl w:val="2E2838A4"/>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827C92"/>
    <w:multiLevelType w:val="hybridMultilevel"/>
    <w:tmpl w:val="8BC234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AE74DD1"/>
    <w:multiLevelType w:val="multilevel"/>
    <w:tmpl w:val="11847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BDE4DBF"/>
    <w:multiLevelType w:val="multilevel"/>
    <w:tmpl w:val="FE64EE76"/>
    <w:lvl w:ilvl="0">
      <w:start w:val="1"/>
      <w:numFmt w:val="lowerRoman"/>
      <w:lvlText w:val="%1."/>
      <w:lvlJc w:val="left"/>
      <w:pPr>
        <w:tabs>
          <w:tab w:val="num" w:pos="720"/>
        </w:tabs>
        <w:ind w:left="720" w:hanging="360"/>
      </w:pPr>
      <w:rPr>
        <w:rFonts w:asciiTheme="minorHAnsi" w:eastAsiaTheme="minorHAnsi" w:hAnsiTheme="minorHAnsi" w:cstheme="minorBid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4528878">
    <w:abstractNumId w:val="6"/>
  </w:num>
  <w:num w:numId="2" w16cid:durableId="1929774852">
    <w:abstractNumId w:val="0"/>
  </w:num>
  <w:num w:numId="3" w16cid:durableId="1820806729">
    <w:abstractNumId w:val="1"/>
  </w:num>
  <w:num w:numId="4" w16cid:durableId="471564053">
    <w:abstractNumId w:val="3"/>
  </w:num>
  <w:num w:numId="5" w16cid:durableId="56978342">
    <w:abstractNumId w:val="2"/>
  </w:num>
  <w:num w:numId="6" w16cid:durableId="214901684">
    <w:abstractNumId w:val="10"/>
  </w:num>
  <w:num w:numId="7" w16cid:durableId="621155080">
    <w:abstractNumId w:val="8"/>
  </w:num>
  <w:num w:numId="8" w16cid:durableId="1257906359">
    <w:abstractNumId w:val="4"/>
  </w:num>
  <w:num w:numId="9" w16cid:durableId="1110392509">
    <w:abstractNumId w:val="9"/>
  </w:num>
  <w:num w:numId="10" w16cid:durableId="295644252">
    <w:abstractNumId w:val="5"/>
  </w:num>
  <w:num w:numId="11" w16cid:durableId="10154961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A80"/>
    <w:rsid w:val="00003DF0"/>
    <w:rsid w:val="00004A40"/>
    <w:rsid w:val="0001299D"/>
    <w:rsid w:val="00024EB9"/>
    <w:rsid w:val="00025D2A"/>
    <w:rsid w:val="000311AB"/>
    <w:rsid w:val="000526DE"/>
    <w:rsid w:val="00056D1A"/>
    <w:rsid w:val="000A244A"/>
    <w:rsid w:val="000D033E"/>
    <w:rsid w:val="000E1BDF"/>
    <w:rsid w:val="000E6339"/>
    <w:rsid w:val="000F1C63"/>
    <w:rsid w:val="000F5CFF"/>
    <w:rsid w:val="0011157C"/>
    <w:rsid w:val="00171D14"/>
    <w:rsid w:val="001765B6"/>
    <w:rsid w:val="001B31DB"/>
    <w:rsid w:val="001C280D"/>
    <w:rsid w:val="001C3AB2"/>
    <w:rsid w:val="001C44CD"/>
    <w:rsid w:val="002454C6"/>
    <w:rsid w:val="002553E6"/>
    <w:rsid w:val="00263B2C"/>
    <w:rsid w:val="00287C6D"/>
    <w:rsid w:val="002918A6"/>
    <w:rsid w:val="002A318E"/>
    <w:rsid w:val="002A535A"/>
    <w:rsid w:val="002D7440"/>
    <w:rsid w:val="003216DE"/>
    <w:rsid w:val="00323963"/>
    <w:rsid w:val="0034210E"/>
    <w:rsid w:val="003937B5"/>
    <w:rsid w:val="003D6D49"/>
    <w:rsid w:val="003E622E"/>
    <w:rsid w:val="00435655"/>
    <w:rsid w:val="0045184A"/>
    <w:rsid w:val="00457254"/>
    <w:rsid w:val="00472672"/>
    <w:rsid w:val="00505312"/>
    <w:rsid w:val="00586B3E"/>
    <w:rsid w:val="0059284D"/>
    <w:rsid w:val="005A1CAB"/>
    <w:rsid w:val="005B2CC8"/>
    <w:rsid w:val="005B690B"/>
    <w:rsid w:val="005C2681"/>
    <w:rsid w:val="005E3639"/>
    <w:rsid w:val="005E48E7"/>
    <w:rsid w:val="005F1FE5"/>
    <w:rsid w:val="00602339"/>
    <w:rsid w:val="006A4CF5"/>
    <w:rsid w:val="006B465D"/>
    <w:rsid w:val="00704F3C"/>
    <w:rsid w:val="00742E8C"/>
    <w:rsid w:val="00743C8A"/>
    <w:rsid w:val="007C0658"/>
    <w:rsid w:val="007C0A80"/>
    <w:rsid w:val="007C1E10"/>
    <w:rsid w:val="007D2BE3"/>
    <w:rsid w:val="007F6D2B"/>
    <w:rsid w:val="00802043"/>
    <w:rsid w:val="008062BD"/>
    <w:rsid w:val="008478DC"/>
    <w:rsid w:val="008640FD"/>
    <w:rsid w:val="00883EAB"/>
    <w:rsid w:val="008A1099"/>
    <w:rsid w:val="008E25EF"/>
    <w:rsid w:val="008E31A3"/>
    <w:rsid w:val="00951D11"/>
    <w:rsid w:val="009840A4"/>
    <w:rsid w:val="0098718E"/>
    <w:rsid w:val="00994924"/>
    <w:rsid w:val="009D48E8"/>
    <w:rsid w:val="009F05B0"/>
    <w:rsid w:val="009F2693"/>
    <w:rsid w:val="00A23B40"/>
    <w:rsid w:val="00A268C3"/>
    <w:rsid w:val="00A3452B"/>
    <w:rsid w:val="00A42090"/>
    <w:rsid w:val="00A57AA4"/>
    <w:rsid w:val="00A663DD"/>
    <w:rsid w:val="00A816A5"/>
    <w:rsid w:val="00A86685"/>
    <w:rsid w:val="00AE15C8"/>
    <w:rsid w:val="00B10B9D"/>
    <w:rsid w:val="00B271B1"/>
    <w:rsid w:val="00B725BB"/>
    <w:rsid w:val="00B7693B"/>
    <w:rsid w:val="00B81927"/>
    <w:rsid w:val="00B96D8B"/>
    <w:rsid w:val="00BA6F38"/>
    <w:rsid w:val="00C42157"/>
    <w:rsid w:val="00C54978"/>
    <w:rsid w:val="00C54F5C"/>
    <w:rsid w:val="00C8608A"/>
    <w:rsid w:val="00C957FE"/>
    <w:rsid w:val="00CA2283"/>
    <w:rsid w:val="00CB1092"/>
    <w:rsid w:val="00CC3483"/>
    <w:rsid w:val="00CF47BC"/>
    <w:rsid w:val="00D05026"/>
    <w:rsid w:val="00D05A71"/>
    <w:rsid w:val="00D07EC5"/>
    <w:rsid w:val="00D27DC3"/>
    <w:rsid w:val="00D30088"/>
    <w:rsid w:val="00D75B7B"/>
    <w:rsid w:val="00DC197D"/>
    <w:rsid w:val="00DD69D1"/>
    <w:rsid w:val="00DE433A"/>
    <w:rsid w:val="00E452B0"/>
    <w:rsid w:val="00E50522"/>
    <w:rsid w:val="00E95097"/>
    <w:rsid w:val="00EB1E53"/>
    <w:rsid w:val="00EC1C10"/>
    <w:rsid w:val="00ED7F41"/>
    <w:rsid w:val="00EE6578"/>
    <w:rsid w:val="00F16D02"/>
    <w:rsid w:val="00F31C91"/>
    <w:rsid w:val="00F538BF"/>
    <w:rsid w:val="00F70D51"/>
    <w:rsid w:val="00F95838"/>
    <w:rsid w:val="00FA1AA9"/>
    <w:rsid w:val="00FC1BC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03F97"/>
  <w15:chartTrackingRefBased/>
  <w15:docId w15:val="{7AB8A82B-32B6-4551-8972-D6A9CCE5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0A80"/>
  </w:style>
  <w:style w:type="paragraph" w:styleId="Heading1">
    <w:name w:val="heading 1"/>
    <w:basedOn w:val="Normal"/>
    <w:next w:val="Normal"/>
    <w:link w:val="Heading1Char"/>
    <w:uiPriority w:val="9"/>
    <w:qFormat/>
    <w:rsid w:val="007C0A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A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A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A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A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A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A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A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A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A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A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A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A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A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A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A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A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A80"/>
    <w:rPr>
      <w:rFonts w:eastAsiaTheme="majorEastAsia" w:cstheme="majorBidi"/>
      <w:color w:val="272727" w:themeColor="text1" w:themeTint="D8"/>
    </w:rPr>
  </w:style>
  <w:style w:type="paragraph" w:styleId="Title">
    <w:name w:val="Title"/>
    <w:basedOn w:val="Normal"/>
    <w:next w:val="Normal"/>
    <w:link w:val="TitleChar"/>
    <w:uiPriority w:val="10"/>
    <w:qFormat/>
    <w:rsid w:val="007C0A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A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A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A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A80"/>
    <w:pPr>
      <w:spacing w:before="160"/>
      <w:jc w:val="center"/>
    </w:pPr>
    <w:rPr>
      <w:i/>
      <w:iCs/>
      <w:color w:val="404040" w:themeColor="text1" w:themeTint="BF"/>
    </w:rPr>
  </w:style>
  <w:style w:type="character" w:customStyle="1" w:styleId="QuoteChar">
    <w:name w:val="Quote Char"/>
    <w:basedOn w:val="DefaultParagraphFont"/>
    <w:link w:val="Quote"/>
    <w:uiPriority w:val="29"/>
    <w:rsid w:val="007C0A80"/>
    <w:rPr>
      <w:i/>
      <w:iCs/>
      <w:color w:val="404040" w:themeColor="text1" w:themeTint="BF"/>
    </w:rPr>
  </w:style>
  <w:style w:type="paragraph" w:styleId="ListParagraph">
    <w:name w:val="List Paragraph"/>
    <w:basedOn w:val="Normal"/>
    <w:uiPriority w:val="34"/>
    <w:qFormat/>
    <w:rsid w:val="007C0A80"/>
    <w:pPr>
      <w:ind w:left="720"/>
      <w:contextualSpacing/>
    </w:pPr>
  </w:style>
  <w:style w:type="character" w:styleId="IntenseEmphasis">
    <w:name w:val="Intense Emphasis"/>
    <w:basedOn w:val="DefaultParagraphFont"/>
    <w:uiPriority w:val="21"/>
    <w:qFormat/>
    <w:rsid w:val="007C0A80"/>
    <w:rPr>
      <w:i/>
      <w:iCs/>
      <w:color w:val="0F4761" w:themeColor="accent1" w:themeShade="BF"/>
    </w:rPr>
  </w:style>
  <w:style w:type="paragraph" w:styleId="IntenseQuote">
    <w:name w:val="Intense Quote"/>
    <w:basedOn w:val="Normal"/>
    <w:next w:val="Normal"/>
    <w:link w:val="IntenseQuoteChar"/>
    <w:uiPriority w:val="30"/>
    <w:qFormat/>
    <w:rsid w:val="007C0A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A80"/>
    <w:rPr>
      <w:i/>
      <w:iCs/>
      <w:color w:val="0F4761" w:themeColor="accent1" w:themeShade="BF"/>
    </w:rPr>
  </w:style>
  <w:style w:type="character" w:styleId="IntenseReference">
    <w:name w:val="Intense Reference"/>
    <w:basedOn w:val="DefaultParagraphFont"/>
    <w:uiPriority w:val="32"/>
    <w:qFormat/>
    <w:rsid w:val="007C0A80"/>
    <w:rPr>
      <w:b/>
      <w:bCs/>
      <w:smallCaps/>
      <w:color w:val="0F4761" w:themeColor="accent1" w:themeShade="BF"/>
      <w:spacing w:val="5"/>
    </w:rPr>
  </w:style>
  <w:style w:type="paragraph" w:styleId="NormalWeb">
    <w:name w:val="Normal (Web)"/>
    <w:basedOn w:val="Normal"/>
    <w:uiPriority w:val="99"/>
    <w:semiHidden/>
    <w:unhideWhenUsed/>
    <w:rsid w:val="002A318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9F26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2693"/>
  </w:style>
  <w:style w:type="paragraph" w:styleId="Footer">
    <w:name w:val="footer"/>
    <w:basedOn w:val="Normal"/>
    <w:link w:val="FooterChar"/>
    <w:uiPriority w:val="99"/>
    <w:unhideWhenUsed/>
    <w:rsid w:val="009F26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26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03223">
      <w:bodyDiv w:val="1"/>
      <w:marLeft w:val="0"/>
      <w:marRight w:val="0"/>
      <w:marTop w:val="0"/>
      <w:marBottom w:val="0"/>
      <w:divBdr>
        <w:top w:val="none" w:sz="0" w:space="0" w:color="auto"/>
        <w:left w:val="none" w:sz="0" w:space="0" w:color="auto"/>
        <w:bottom w:val="none" w:sz="0" w:space="0" w:color="auto"/>
        <w:right w:val="none" w:sz="0" w:space="0" w:color="auto"/>
      </w:divBdr>
    </w:div>
    <w:div w:id="106003420">
      <w:bodyDiv w:val="1"/>
      <w:marLeft w:val="0"/>
      <w:marRight w:val="0"/>
      <w:marTop w:val="0"/>
      <w:marBottom w:val="0"/>
      <w:divBdr>
        <w:top w:val="none" w:sz="0" w:space="0" w:color="auto"/>
        <w:left w:val="none" w:sz="0" w:space="0" w:color="auto"/>
        <w:bottom w:val="none" w:sz="0" w:space="0" w:color="auto"/>
        <w:right w:val="none" w:sz="0" w:space="0" w:color="auto"/>
      </w:divBdr>
    </w:div>
    <w:div w:id="131868271">
      <w:bodyDiv w:val="1"/>
      <w:marLeft w:val="0"/>
      <w:marRight w:val="0"/>
      <w:marTop w:val="0"/>
      <w:marBottom w:val="0"/>
      <w:divBdr>
        <w:top w:val="none" w:sz="0" w:space="0" w:color="auto"/>
        <w:left w:val="none" w:sz="0" w:space="0" w:color="auto"/>
        <w:bottom w:val="none" w:sz="0" w:space="0" w:color="auto"/>
        <w:right w:val="none" w:sz="0" w:space="0" w:color="auto"/>
      </w:divBdr>
    </w:div>
    <w:div w:id="163131070">
      <w:bodyDiv w:val="1"/>
      <w:marLeft w:val="0"/>
      <w:marRight w:val="0"/>
      <w:marTop w:val="0"/>
      <w:marBottom w:val="0"/>
      <w:divBdr>
        <w:top w:val="none" w:sz="0" w:space="0" w:color="auto"/>
        <w:left w:val="none" w:sz="0" w:space="0" w:color="auto"/>
        <w:bottom w:val="none" w:sz="0" w:space="0" w:color="auto"/>
        <w:right w:val="none" w:sz="0" w:space="0" w:color="auto"/>
      </w:divBdr>
    </w:div>
    <w:div w:id="322051964">
      <w:bodyDiv w:val="1"/>
      <w:marLeft w:val="0"/>
      <w:marRight w:val="0"/>
      <w:marTop w:val="0"/>
      <w:marBottom w:val="0"/>
      <w:divBdr>
        <w:top w:val="none" w:sz="0" w:space="0" w:color="auto"/>
        <w:left w:val="none" w:sz="0" w:space="0" w:color="auto"/>
        <w:bottom w:val="none" w:sz="0" w:space="0" w:color="auto"/>
        <w:right w:val="none" w:sz="0" w:space="0" w:color="auto"/>
      </w:divBdr>
    </w:div>
    <w:div w:id="371929661">
      <w:bodyDiv w:val="1"/>
      <w:marLeft w:val="0"/>
      <w:marRight w:val="0"/>
      <w:marTop w:val="0"/>
      <w:marBottom w:val="0"/>
      <w:divBdr>
        <w:top w:val="none" w:sz="0" w:space="0" w:color="auto"/>
        <w:left w:val="none" w:sz="0" w:space="0" w:color="auto"/>
        <w:bottom w:val="none" w:sz="0" w:space="0" w:color="auto"/>
        <w:right w:val="none" w:sz="0" w:space="0" w:color="auto"/>
      </w:divBdr>
    </w:div>
    <w:div w:id="399405368">
      <w:bodyDiv w:val="1"/>
      <w:marLeft w:val="0"/>
      <w:marRight w:val="0"/>
      <w:marTop w:val="0"/>
      <w:marBottom w:val="0"/>
      <w:divBdr>
        <w:top w:val="none" w:sz="0" w:space="0" w:color="auto"/>
        <w:left w:val="none" w:sz="0" w:space="0" w:color="auto"/>
        <w:bottom w:val="none" w:sz="0" w:space="0" w:color="auto"/>
        <w:right w:val="none" w:sz="0" w:space="0" w:color="auto"/>
      </w:divBdr>
    </w:div>
    <w:div w:id="421606915">
      <w:bodyDiv w:val="1"/>
      <w:marLeft w:val="0"/>
      <w:marRight w:val="0"/>
      <w:marTop w:val="0"/>
      <w:marBottom w:val="0"/>
      <w:divBdr>
        <w:top w:val="none" w:sz="0" w:space="0" w:color="auto"/>
        <w:left w:val="none" w:sz="0" w:space="0" w:color="auto"/>
        <w:bottom w:val="none" w:sz="0" w:space="0" w:color="auto"/>
        <w:right w:val="none" w:sz="0" w:space="0" w:color="auto"/>
      </w:divBdr>
    </w:div>
    <w:div w:id="549153552">
      <w:bodyDiv w:val="1"/>
      <w:marLeft w:val="0"/>
      <w:marRight w:val="0"/>
      <w:marTop w:val="0"/>
      <w:marBottom w:val="0"/>
      <w:divBdr>
        <w:top w:val="none" w:sz="0" w:space="0" w:color="auto"/>
        <w:left w:val="none" w:sz="0" w:space="0" w:color="auto"/>
        <w:bottom w:val="none" w:sz="0" w:space="0" w:color="auto"/>
        <w:right w:val="none" w:sz="0" w:space="0" w:color="auto"/>
      </w:divBdr>
    </w:div>
    <w:div w:id="576062778">
      <w:bodyDiv w:val="1"/>
      <w:marLeft w:val="0"/>
      <w:marRight w:val="0"/>
      <w:marTop w:val="0"/>
      <w:marBottom w:val="0"/>
      <w:divBdr>
        <w:top w:val="none" w:sz="0" w:space="0" w:color="auto"/>
        <w:left w:val="none" w:sz="0" w:space="0" w:color="auto"/>
        <w:bottom w:val="none" w:sz="0" w:space="0" w:color="auto"/>
        <w:right w:val="none" w:sz="0" w:space="0" w:color="auto"/>
      </w:divBdr>
    </w:div>
    <w:div w:id="587159364">
      <w:bodyDiv w:val="1"/>
      <w:marLeft w:val="0"/>
      <w:marRight w:val="0"/>
      <w:marTop w:val="0"/>
      <w:marBottom w:val="0"/>
      <w:divBdr>
        <w:top w:val="none" w:sz="0" w:space="0" w:color="auto"/>
        <w:left w:val="none" w:sz="0" w:space="0" w:color="auto"/>
        <w:bottom w:val="none" w:sz="0" w:space="0" w:color="auto"/>
        <w:right w:val="none" w:sz="0" w:space="0" w:color="auto"/>
      </w:divBdr>
    </w:div>
    <w:div w:id="595596074">
      <w:bodyDiv w:val="1"/>
      <w:marLeft w:val="0"/>
      <w:marRight w:val="0"/>
      <w:marTop w:val="0"/>
      <w:marBottom w:val="0"/>
      <w:divBdr>
        <w:top w:val="none" w:sz="0" w:space="0" w:color="auto"/>
        <w:left w:val="none" w:sz="0" w:space="0" w:color="auto"/>
        <w:bottom w:val="none" w:sz="0" w:space="0" w:color="auto"/>
        <w:right w:val="none" w:sz="0" w:space="0" w:color="auto"/>
      </w:divBdr>
    </w:div>
    <w:div w:id="741567939">
      <w:bodyDiv w:val="1"/>
      <w:marLeft w:val="0"/>
      <w:marRight w:val="0"/>
      <w:marTop w:val="0"/>
      <w:marBottom w:val="0"/>
      <w:divBdr>
        <w:top w:val="none" w:sz="0" w:space="0" w:color="auto"/>
        <w:left w:val="none" w:sz="0" w:space="0" w:color="auto"/>
        <w:bottom w:val="none" w:sz="0" w:space="0" w:color="auto"/>
        <w:right w:val="none" w:sz="0" w:space="0" w:color="auto"/>
      </w:divBdr>
    </w:div>
    <w:div w:id="813065462">
      <w:bodyDiv w:val="1"/>
      <w:marLeft w:val="0"/>
      <w:marRight w:val="0"/>
      <w:marTop w:val="0"/>
      <w:marBottom w:val="0"/>
      <w:divBdr>
        <w:top w:val="none" w:sz="0" w:space="0" w:color="auto"/>
        <w:left w:val="none" w:sz="0" w:space="0" w:color="auto"/>
        <w:bottom w:val="none" w:sz="0" w:space="0" w:color="auto"/>
        <w:right w:val="none" w:sz="0" w:space="0" w:color="auto"/>
      </w:divBdr>
    </w:div>
    <w:div w:id="1230847049">
      <w:bodyDiv w:val="1"/>
      <w:marLeft w:val="0"/>
      <w:marRight w:val="0"/>
      <w:marTop w:val="0"/>
      <w:marBottom w:val="0"/>
      <w:divBdr>
        <w:top w:val="none" w:sz="0" w:space="0" w:color="auto"/>
        <w:left w:val="none" w:sz="0" w:space="0" w:color="auto"/>
        <w:bottom w:val="none" w:sz="0" w:space="0" w:color="auto"/>
        <w:right w:val="none" w:sz="0" w:space="0" w:color="auto"/>
      </w:divBdr>
    </w:div>
    <w:div w:id="1400135442">
      <w:bodyDiv w:val="1"/>
      <w:marLeft w:val="0"/>
      <w:marRight w:val="0"/>
      <w:marTop w:val="0"/>
      <w:marBottom w:val="0"/>
      <w:divBdr>
        <w:top w:val="none" w:sz="0" w:space="0" w:color="auto"/>
        <w:left w:val="none" w:sz="0" w:space="0" w:color="auto"/>
        <w:bottom w:val="none" w:sz="0" w:space="0" w:color="auto"/>
        <w:right w:val="none" w:sz="0" w:space="0" w:color="auto"/>
      </w:divBdr>
    </w:div>
    <w:div w:id="1518739384">
      <w:bodyDiv w:val="1"/>
      <w:marLeft w:val="0"/>
      <w:marRight w:val="0"/>
      <w:marTop w:val="0"/>
      <w:marBottom w:val="0"/>
      <w:divBdr>
        <w:top w:val="none" w:sz="0" w:space="0" w:color="auto"/>
        <w:left w:val="none" w:sz="0" w:space="0" w:color="auto"/>
        <w:bottom w:val="none" w:sz="0" w:space="0" w:color="auto"/>
        <w:right w:val="none" w:sz="0" w:space="0" w:color="auto"/>
      </w:divBdr>
    </w:div>
    <w:div w:id="1561596904">
      <w:bodyDiv w:val="1"/>
      <w:marLeft w:val="0"/>
      <w:marRight w:val="0"/>
      <w:marTop w:val="0"/>
      <w:marBottom w:val="0"/>
      <w:divBdr>
        <w:top w:val="none" w:sz="0" w:space="0" w:color="auto"/>
        <w:left w:val="none" w:sz="0" w:space="0" w:color="auto"/>
        <w:bottom w:val="none" w:sz="0" w:space="0" w:color="auto"/>
        <w:right w:val="none" w:sz="0" w:space="0" w:color="auto"/>
      </w:divBdr>
    </w:div>
    <w:div w:id="1613439033">
      <w:bodyDiv w:val="1"/>
      <w:marLeft w:val="0"/>
      <w:marRight w:val="0"/>
      <w:marTop w:val="0"/>
      <w:marBottom w:val="0"/>
      <w:divBdr>
        <w:top w:val="none" w:sz="0" w:space="0" w:color="auto"/>
        <w:left w:val="none" w:sz="0" w:space="0" w:color="auto"/>
        <w:bottom w:val="none" w:sz="0" w:space="0" w:color="auto"/>
        <w:right w:val="none" w:sz="0" w:space="0" w:color="auto"/>
      </w:divBdr>
    </w:div>
    <w:div w:id="1700469381">
      <w:bodyDiv w:val="1"/>
      <w:marLeft w:val="0"/>
      <w:marRight w:val="0"/>
      <w:marTop w:val="0"/>
      <w:marBottom w:val="0"/>
      <w:divBdr>
        <w:top w:val="none" w:sz="0" w:space="0" w:color="auto"/>
        <w:left w:val="none" w:sz="0" w:space="0" w:color="auto"/>
        <w:bottom w:val="none" w:sz="0" w:space="0" w:color="auto"/>
        <w:right w:val="none" w:sz="0" w:space="0" w:color="auto"/>
      </w:divBdr>
    </w:div>
    <w:div w:id="1709453103">
      <w:bodyDiv w:val="1"/>
      <w:marLeft w:val="0"/>
      <w:marRight w:val="0"/>
      <w:marTop w:val="0"/>
      <w:marBottom w:val="0"/>
      <w:divBdr>
        <w:top w:val="none" w:sz="0" w:space="0" w:color="auto"/>
        <w:left w:val="none" w:sz="0" w:space="0" w:color="auto"/>
        <w:bottom w:val="none" w:sz="0" w:space="0" w:color="auto"/>
        <w:right w:val="none" w:sz="0" w:space="0" w:color="auto"/>
      </w:divBdr>
    </w:div>
    <w:div w:id="1897013743">
      <w:bodyDiv w:val="1"/>
      <w:marLeft w:val="0"/>
      <w:marRight w:val="0"/>
      <w:marTop w:val="0"/>
      <w:marBottom w:val="0"/>
      <w:divBdr>
        <w:top w:val="none" w:sz="0" w:space="0" w:color="auto"/>
        <w:left w:val="none" w:sz="0" w:space="0" w:color="auto"/>
        <w:bottom w:val="none" w:sz="0" w:space="0" w:color="auto"/>
        <w:right w:val="none" w:sz="0" w:space="0" w:color="auto"/>
      </w:divBdr>
    </w:div>
    <w:div w:id="1906531297">
      <w:bodyDiv w:val="1"/>
      <w:marLeft w:val="0"/>
      <w:marRight w:val="0"/>
      <w:marTop w:val="0"/>
      <w:marBottom w:val="0"/>
      <w:divBdr>
        <w:top w:val="none" w:sz="0" w:space="0" w:color="auto"/>
        <w:left w:val="none" w:sz="0" w:space="0" w:color="auto"/>
        <w:bottom w:val="none" w:sz="0" w:space="0" w:color="auto"/>
        <w:right w:val="none" w:sz="0" w:space="0" w:color="auto"/>
      </w:divBdr>
    </w:div>
    <w:div w:id="1955211763">
      <w:bodyDiv w:val="1"/>
      <w:marLeft w:val="0"/>
      <w:marRight w:val="0"/>
      <w:marTop w:val="0"/>
      <w:marBottom w:val="0"/>
      <w:divBdr>
        <w:top w:val="none" w:sz="0" w:space="0" w:color="auto"/>
        <w:left w:val="none" w:sz="0" w:space="0" w:color="auto"/>
        <w:bottom w:val="none" w:sz="0" w:space="0" w:color="auto"/>
        <w:right w:val="none" w:sz="0" w:space="0" w:color="auto"/>
      </w:divBdr>
    </w:div>
    <w:div w:id="2034845282">
      <w:bodyDiv w:val="1"/>
      <w:marLeft w:val="0"/>
      <w:marRight w:val="0"/>
      <w:marTop w:val="0"/>
      <w:marBottom w:val="0"/>
      <w:divBdr>
        <w:top w:val="none" w:sz="0" w:space="0" w:color="auto"/>
        <w:left w:val="none" w:sz="0" w:space="0" w:color="auto"/>
        <w:bottom w:val="none" w:sz="0" w:space="0" w:color="auto"/>
        <w:right w:val="none" w:sz="0" w:space="0" w:color="auto"/>
      </w:divBdr>
    </w:div>
    <w:div w:id="2046638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2.xml"/><Relationship Id="rId13" Type="http://schemas.openxmlformats.org/officeDocument/2006/relationships/chart" Target="charts/chart7.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chart" Target="charts/chart6.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hart" Target="charts/chart5.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chart" Target="charts/chart4.xml"/><Relationship Id="rId4" Type="http://schemas.openxmlformats.org/officeDocument/2006/relationships/webSettings" Target="webSettings.xml"/><Relationship Id="rId9" Type="http://schemas.openxmlformats.org/officeDocument/2006/relationships/chart" Target="charts/chart3.xml"/><Relationship Id="rId14" Type="http://schemas.openxmlformats.org/officeDocument/2006/relationships/chart" Target="charts/chart8.xml"/></Relationships>
</file>

<file path=word/charts/_rels/chart1.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B.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B.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B.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B.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B.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B.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B.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https://d.docs.live.net/902C45145158E448/Documents/Vephla%20University/Assignment/Lesson%2014%20Task%2014B.xlsx" TargetMode="External"/><Relationship Id="rId2" Type="http://schemas.microsoft.com/office/2011/relationships/chartColorStyle" Target="colors8.xml"/><Relationship Id="rId1" Type="http://schemas.microsoft.com/office/2011/relationships/chartStyle" Target="style8.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14B.xlsx]Top Hospital By Revenue!PivotTable3</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Top</a:t>
            </a:r>
            <a:r>
              <a:rPr lang="en-US" baseline="0"/>
              <a:t> 10 Hospital By Revenue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tx2">
              <a:lumMod val="75000"/>
              <a:lumOff val="25000"/>
            </a:schemeClr>
          </a:solidFill>
          <a:ln>
            <a:noFill/>
          </a:ln>
          <a:effectLst/>
        </c:spPr>
      </c:pivotFmt>
      <c:pivotFmt>
        <c:idx val="2"/>
        <c:spPr>
          <a:solidFill>
            <a:schemeClr val="tx2">
              <a:lumMod val="75000"/>
              <a:lumOff val="25000"/>
            </a:schemeClr>
          </a:solidFill>
          <a:ln>
            <a:noFill/>
          </a:ln>
          <a:effectLst/>
        </c:spPr>
      </c:pivotFmt>
      <c:pivotFmt>
        <c:idx val="3"/>
        <c:spPr>
          <a:solidFill>
            <a:schemeClr val="tx2">
              <a:lumMod val="75000"/>
              <a:lumOff val="25000"/>
            </a:schemeClr>
          </a:solidFill>
          <a:ln>
            <a:noFill/>
          </a:ln>
          <a:effectLst/>
        </c:spPr>
      </c:pivotFmt>
      <c:pivotFmt>
        <c:idx val="4"/>
        <c:spPr>
          <a:solidFill>
            <a:schemeClr val="tx2">
              <a:lumMod val="50000"/>
              <a:lumOff val="50000"/>
            </a:schemeClr>
          </a:solidFill>
          <a:ln>
            <a:noFill/>
          </a:ln>
          <a:effectLst/>
        </c:spPr>
      </c:pivotFmt>
      <c:pivotFmt>
        <c:idx val="5"/>
        <c:spPr>
          <a:solidFill>
            <a:schemeClr val="tx2">
              <a:lumMod val="50000"/>
              <a:lumOff val="50000"/>
            </a:schemeClr>
          </a:solidFill>
          <a:ln>
            <a:noFill/>
          </a:ln>
          <a:effectLst/>
        </c:spPr>
      </c:pivotFmt>
      <c:pivotFmt>
        <c:idx val="6"/>
        <c:spPr>
          <a:solidFill>
            <a:schemeClr val="tx2">
              <a:lumMod val="25000"/>
              <a:lumOff val="75000"/>
            </a:schemeClr>
          </a:solidFill>
          <a:ln>
            <a:noFill/>
          </a:ln>
          <a:effectLst/>
        </c:spPr>
      </c:pivotFmt>
      <c:pivotFmt>
        <c:idx val="7"/>
        <c:spPr>
          <a:solidFill>
            <a:schemeClr val="tx2">
              <a:lumMod val="25000"/>
              <a:lumOff val="75000"/>
            </a:schemeClr>
          </a:solidFill>
          <a:ln>
            <a:noFill/>
          </a:ln>
          <a:effectLst/>
        </c:spPr>
      </c:pivotFmt>
      <c:pivotFmt>
        <c:idx val="8"/>
        <c:spPr>
          <a:solidFill>
            <a:schemeClr val="tx2">
              <a:lumMod val="10000"/>
              <a:lumOff val="90000"/>
            </a:schemeClr>
          </a:solidFill>
          <a:ln>
            <a:noFill/>
          </a:ln>
          <a:effectLst/>
        </c:spPr>
      </c:pivotFmt>
      <c:pivotFmt>
        <c:idx val="9"/>
        <c:spPr>
          <a:solidFill>
            <a:schemeClr val="tx2">
              <a:lumMod val="10000"/>
              <a:lumOff val="90000"/>
            </a:schemeClr>
          </a:solidFill>
          <a:ln>
            <a:noFill/>
          </a:ln>
          <a:effectLst/>
        </c:spPr>
      </c:pivotFmt>
      <c:pivotFmt>
        <c:idx val="10"/>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tx2">
              <a:lumMod val="75000"/>
              <a:lumOff val="25000"/>
            </a:schemeClr>
          </a:solidFill>
          <a:ln>
            <a:noFill/>
          </a:ln>
          <a:effectLst/>
        </c:spPr>
      </c:pivotFmt>
      <c:pivotFmt>
        <c:idx val="12"/>
        <c:spPr>
          <a:solidFill>
            <a:schemeClr val="tx2">
              <a:lumMod val="75000"/>
              <a:lumOff val="25000"/>
            </a:schemeClr>
          </a:solidFill>
          <a:ln>
            <a:noFill/>
          </a:ln>
          <a:effectLst/>
        </c:spPr>
      </c:pivotFmt>
      <c:pivotFmt>
        <c:idx val="13"/>
        <c:spPr>
          <a:solidFill>
            <a:schemeClr val="tx2">
              <a:lumMod val="75000"/>
              <a:lumOff val="25000"/>
            </a:schemeClr>
          </a:solidFill>
          <a:ln>
            <a:noFill/>
          </a:ln>
          <a:effectLst/>
        </c:spPr>
      </c:pivotFmt>
      <c:pivotFmt>
        <c:idx val="14"/>
        <c:spPr>
          <a:solidFill>
            <a:schemeClr val="tx2">
              <a:lumMod val="50000"/>
              <a:lumOff val="50000"/>
            </a:schemeClr>
          </a:solidFill>
          <a:ln>
            <a:noFill/>
          </a:ln>
          <a:effectLst/>
        </c:spPr>
      </c:pivotFmt>
      <c:pivotFmt>
        <c:idx val="15"/>
        <c:spPr>
          <a:solidFill>
            <a:schemeClr val="tx2">
              <a:lumMod val="50000"/>
              <a:lumOff val="50000"/>
            </a:schemeClr>
          </a:solidFill>
          <a:ln>
            <a:noFill/>
          </a:ln>
          <a:effectLst/>
        </c:spPr>
      </c:pivotFmt>
      <c:pivotFmt>
        <c:idx val="16"/>
        <c:spPr>
          <a:solidFill>
            <a:schemeClr val="tx2">
              <a:lumMod val="25000"/>
              <a:lumOff val="75000"/>
            </a:schemeClr>
          </a:solidFill>
          <a:ln>
            <a:noFill/>
          </a:ln>
          <a:effectLst/>
        </c:spPr>
      </c:pivotFmt>
      <c:pivotFmt>
        <c:idx val="17"/>
        <c:spPr>
          <a:solidFill>
            <a:schemeClr val="tx2">
              <a:lumMod val="25000"/>
              <a:lumOff val="75000"/>
            </a:schemeClr>
          </a:solidFill>
          <a:ln>
            <a:noFill/>
          </a:ln>
          <a:effectLst/>
        </c:spPr>
      </c:pivotFmt>
      <c:pivotFmt>
        <c:idx val="18"/>
        <c:spPr>
          <a:solidFill>
            <a:schemeClr val="tx2">
              <a:lumMod val="10000"/>
              <a:lumOff val="90000"/>
            </a:schemeClr>
          </a:solidFill>
          <a:ln>
            <a:noFill/>
          </a:ln>
          <a:effectLst/>
        </c:spPr>
      </c:pivotFmt>
      <c:pivotFmt>
        <c:idx val="19"/>
        <c:spPr>
          <a:solidFill>
            <a:schemeClr val="tx2">
              <a:lumMod val="10000"/>
              <a:lumOff val="90000"/>
            </a:schemeClr>
          </a:solidFill>
          <a:ln>
            <a:noFill/>
          </a:ln>
          <a:effectLst/>
        </c:spPr>
      </c:pivotFmt>
      <c:pivotFmt>
        <c:idx val="20"/>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tx2">
              <a:lumMod val="75000"/>
              <a:lumOff val="25000"/>
            </a:schemeClr>
          </a:solidFill>
          <a:ln>
            <a:noFill/>
          </a:ln>
          <a:effectLst/>
        </c:spPr>
      </c:pivotFmt>
      <c:pivotFmt>
        <c:idx val="22"/>
        <c:spPr>
          <a:solidFill>
            <a:schemeClr val="tx2">
              <a:lumMod val="75000"/>
              <a:lumOff val="25000"/>
            </a:schemeClr>
          </a:solidFill>
          <a:ln>
            <a:noFill/>
          </a:ln>
          <a:effectLst/>
        </c:spPr>
      </c:pivotFmt>
      <c:pivotFmt>
        <c:idx val="23"/>
        <c:spPr>
          <a:solidFill>
            <a:schemeClr val="tx2">
              <a:lumMod val="75000"/>
              <a:lumOff val="25000"/>
            </a:schemeClr>
          </a:solidFill>
          <a:ln>
            <a:noFill/>
          </a:ln>
          <a:effectLst/>
        </c:spPr>
      </c:pivotFmt>
      <c:pivotFmt>
        <c:idx val="24"/>
        <c:spPr>
          <a:solidFill>
            <a:schemeClr val="tx2">
              <a:lumMod val="50000"/>
              <a:lumOff val="50000"/>
            </a:schemeClr>
          </a:solidFill>
          <a:ln>
            <a:noFill/>
          </a:ln>
          <a:effectLst/>
        </c:spPr>
      </c:pivotFmt>
      <c:pivotFmt>
        <c:idx val="25"/>
        <c:spPr>
          <a:solidFill>
            <a:schemeClr val="tx2">
              <a:lumMod val="50000"/>
              <a:lumOff val="50000"/>
            </a:schemeClr>
          </a:solidFill>
          <a:ln>
            <a:noFill/>
          </a:ln>
          <a:effectLst/>
        </c:spPr>
      </c:pivotFmt>
      <c:pivotFmt>
        <c:idx val="26"/>
        <c:spPr>
          <a:solidFill>
            <a:schemeClr val="tx2">
              <a:lumMod val="25000"/>
              <a:lumOff val="75000"/>
            </a:schemeClr>
          </a:solidFill>
          <a:ln>
            <a:noFill/>
          </a:ln>
          <a:effectLst/>
        </c:spPr>
      </c:pivotFmt>
      <c:pivotFmt>
        <c:idx val="27"/>
        <c:spPr>
          <a:solidFill>
            <a:schemeClr val="tx2">
              <a:lumMod val="25000"/>
              <a:lumOff val="75000"/>
            </a:schemeClr>
          </a:solidFill>
          <a:ln>
            <a:noFill/>
          </a:ln>
          <a:effectLst/>
        </c:spPr>
      </c:pivotFmt>
      <c:pivotFmt>
        <c:idx val="28"/>
        <c:spPr>
          <a:solidFill>
            <a:schemeClr val="tx2">
              <a:lumMod val="10000"/>
              <a:lumOff val="90000"/>
            </a:schemeClr>
          </a:solidFill>
          <a:ln>
            <a:noFill/>
          </a:ln>
          <a:effectLst/>
        </c:spPr>
      </c:pivotFmt>
      <c:pivotFmt>
        <c:idx val="29"/>
        <c:spPr>
          <a:solidFill>
            <a:schemeClr val="tx2">
              <a:lumMod val="10000"/>
              <a:lumOff val="90000"/>
            </a:schemeClr>
          </a:solidFill>
          <a:ln>
            <a:noFill/>
          </a:ln>
          <a:effectLst/>
        </c:spPr>
      </c:pivotFmt>
    </c:pivotFmts>
    <c:plotArea>
      <c:layout/>
      <c:barChart>
        <c:barDir val="bar"/>
        <c:grouping val="clustered"/>
        <c:varyColors val="0"/>
        <c:ser>
          <c:idx val="0"/>
          <c:order val="0"/>
          <c:tx>
            <c:strRef>
              <c:f>'Top Hospital By Revenue'!$B$3</c:f>
              <c:strCache>
                <c:ptCount val="1"/>
                <c:pt idx="0">
                  <c:v>Total</c:v>
                </c:pt>
              </c:strCache>
            </c:strRef>
          </c:tx>
          <c:spPr>
            <a:solidFill>
              <a:schemeClr val="tx2">
                <a:lumMod val="90000"/>
                <a:lumOff val="10000"/>
              </a:schemeClr>
            </a:solidFill>
            <a:ln>
              <a:noFill/>
            </a:ln>
            <a:effectLst/>
          </c:spPr>
          <c:invertIfNegative val="0"/>
          <c:dPt>
            <c:idx val="1"/>
            <c:invertIfNegative val="0"/>
            <c:bubble3D val="0"/>
            <c:spPr>
              <a:solidFill>
                <a:schemeClr val="tx2">
                  <a:lumMod val="75000"/>
                  <a:lumOff val="25000"/>
                </a:schemeClr>
              </a:solidFill>
              <a:ln>
                <a:noFill/>
              </a:ln>
              <a:effectLst/>
            </c:spPr>
            <c:extLst>
              <c:ext xmlns:c16="http://schemas.microsoft.com/office/drawing/2014/chart" uri="{C3380CC4-5D6E-409C-BE32-E72D297353CC}">
                <c16:uniqueId val="{00000001-92F5-486D-A88F-F36B6CD1C86E}"/>
              </c:ext>
            </c:extLst>
          </c:dPt>
          <c:dPt>
            <c:idx val="2"/>
            <c:invertIfNegative val="0"/>
            <c:bubble3D val="0"/>
            <c:spPr>
              <a:solidFill>
                <a:schemeClr val="tx2">
                  <a:lumMod val="75000"/>
                  <a:lumOff val="25000"/>
                </a:schemeClr>
              </a:solidFill>
              <a:ln>
                <a:noFill/>
              </a:ln>
              <a:effectLst/>
            </c:spPr>
            <c:extLst>
              <c:ext xmlns:c16="http://schemas.microsoft.com/office/drawing/2014/chart" uri="{C3380CC4-5D6E-409C-BE32-E72D297353CC}">
                <c16:uniqueId val="{00000003-92F5-486D-A88F-F36B6CD1C86E}"/>
              </c:ext>
            </c:extLst>
          </c:dPt>
          <c:dPt>
            <c:idx val="3"/>
            <c:invertIfNegative val="0"/>
            <c:bubble3D val="0"/>
            <c:spPr>
              <a:solidFill>
                <a:schemeClr val="tx2">
                  <a:lumMod val="75000"/>
                  <a:lumOff val="25000"/>
                </a:schemeClr>
              </a:solidFill>
              <a:ln>
                <a:noFill/>
              </a:ln>
              <a:effectLst/>
            </c:spPr>
            <c:extLst>
              <c:ext xmlns:c16="http://schemas.microsoft.com/office/drawing/2014/chart" uri="{C3380CC4-5D6E-409C-BE32-E72D297353CC}">
                <c16:uniqueId val="{00000005-92F5-486D-A88F-F36B6CD1C86E}"/>
              </c:ext>
            </c:extLst>
          </c:dPt>
          <c:dPt>
            <c:idx val="4"/>
            <c:invertIfNegative val="0"/>
            <c:bubble3D val="0"/>
            <c:spPr>
              <a:solidFill>
                <a:schemeClr val="tx2">
                  <a:lumMod val="50000"/>
                  <a:lumOff val="50000"/>
                </a:schemeClr>
              </a:solidFill>
              <a:ln>
                <a:noFill/>
              </a:ln>
              <a:effectLst/>
            </c:spPr>
            <c:extLst>
              <c:ext xmlns:c16="http://schemas.microsoft.com/office/drawing/2014/chart" uri="{C3380CC4-5D6E-409C-BE32-E72D297353CC}">
                <c16:uniqueId val="{00000007-92F5-486D-A88F-F36B6CD1C86E}"/>
              </c:ext>
            </c:extLst>
          </c:dPt>
          <c:dPt>
            <c:idx val="5"/>
            <c:invertIfNegative val="0"/>
            <c:bubble3D val="0"/>
            <c:spPr>
              <a:solidFill>
                <a:schemeClr val="tx2">
                  <a:lumMod val="50000"/>
                  <a:lumOff val="50000"/>
                </a:schemeClr>
              </a:solidFill>
              <a:ln>
                <a:noFill/>
              </a:ln>
              <a:effectLst/>
            </c:spPr>
            <c:extLst>
              <c:ext xmlns:c16="http://schemas.microsoft.com/office/drawing/2014/chart" uri="{C3380CC4-5D6E-409C-BE32-E72D297353CC}">
                <c16:uniqueId val="{00000009-92F5-486D-A88F-F36B6CD1C86E}"/>
              </c:ext>
            </c:extLst>
          </c:dPt>
          <c:dPt>
            <c:idx val="6"/>
            <c:invertIfNegative val="0"/>
            <c:bubble3D val="0"/>
            <c:spPr>
              <a:solidFill>
                <a:schemeClr val="tx2">
                  <a:lumMod val="25000"/>
                  <a:lumOff val="75000"/>
                </a:schemeClr>
              </a:solidFill>
              <a:ln>
                <a:noFill/>
              </a:ln>
              <a:effectLst/>
            </c:spPr>
            <c:extLst>
              <c:ext xmlns:c16="http://schemas.microsoft.com/office/drawing/2014/chart" uri="{C3380CC4-5D6E-409C-BE32-E72D297353CC}">
                <c16:uniqueId val="{0000000B-92F5-486D-A88F-F36B6CD1C86E}"/>
              </c:ext>
            </c:extLst>
          </c:dPt>
          <c:dPt>
            <c:idx val="7"/>
            <c:invertIfNegative val="0"/>
            <c:bubble3D val="0"/>
            <c:spPr>
              <a:solidFill>
                <a:schemeClr val="tx2">
                  <a:lumMod val="25000"/>
                  <a:lumOff val="75000"/>
                </a:schemeClr>
              </a:solidFill>
              <a:ln>
                <a:noFill/>
              </a:ln>
              <a:effectLst/>
            </c:spPr>
            <c:extLst>
              <c:ext xmlns:c16="http://schemas.microsoft.com/office/drawing/2014/chart" uri="{C3380CC4-5D6E-409C-BE32-E72D297353CC}">
                <c16:uniqueId val="{0000000D-92F5-486D-A88F-F36B6CD1C86E}"/>
              </c:ext>
            </c:extLst>
          </c:dPt>
          <c:dPt>
            <c:idx val="8"/>
            <c:invertIfNegative val="0"/>
            <c:bubble3D val="0"/>
            <c:spPr>
              <a:solidFill>
                <a:schemeClr val="tx2">
                  <a:lumMod val="10000"/>
                  <a:lumOff val="90000"/>
                </a:schemeClr>
              </a:solidFill>
              <a:ln>
                <a:noFill/>
              </a:ln>
              <a:effectLst/>
            </c:spPr>
            <c:extLst>
              <c:ext xmlns:c16="http://schemas.microsoft.com/office/drawing/2014/chart" uri="{C3380CC4-5D6E-409C-BE32-E72D297353CC}">
                <c16:uniqueId val="{0000000F-92F5-486D-A88F-F36B6CD1C86E}"/>
              </c:ext>
            </c:extLst>
          </c:dPt>
          <c:dPt>
            <c:idx val="9"/>
            <c:invertIfNegative val="0"/>
            <c:bubble3D val="0"/>
            <c:spPr>
              <a:solidFill>
                <a:schemeClr val="tx2">
                  <a:lumMod val="10000"/>
                  <a:lumOff val="90000"/>
                </a:schemeClr>
              </a:solidFill>
              <a:ln>
                <a:noFill/>
              </a:ln>
              <a:effectLst/>
            </c:spPr>
            <c:extLst>
              <c:ext xmlns:c16="http://schemas.microsoft.com/office/drawing/2014/chart" uri="{C3380CC4-5D6E-409C-BE32-E72D297353CC}">
                <c16:uniqueId val="{00000011-92F5-486D-A88F-F36B6CD1C86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'Top Hospital By Revenue'!$A$4:$A$14</c:f>
              <c:strCache>
                <c:ptCount val="10"/>
                <c:pt idx="0">
                  <c:v>Johnson Plc</c:v>
                </c:pt>
                <c:pt idx="1">
                  <c:v>Llc Smith</c:v>
                </c:pt>
                <c:pt idx="2">
                  <c:v>Smith Plc</c:v>
                </c:pt>
                <c:pt idx="3">
                  <c:v>Ltd Smith</c:v>
                </c:pt>
                <c:pt idx="4">
                  <c:v>Smith Ltd</c:v>
                </c:pt>
                <c:pt idx="5">
                  <c:v>Johnson Inc</c:v>
                </c:pt>
                <c:pt idx="6">
                  <c:v>Group Smith</c:v>
                </c:pt>
                <c:pt idx="7">
                  <c:v>Inc Brown</c:v>
                </c:pt>
                <c:pt idx="8">
                  <c:v>Llc Johnson</c:v>
                </c:pt>
                <c:pt idx="9">
                  <c:v>Smith Group</c:v>
                </c:pt>
              </c:strCache>
            </c:strRef>
          </c:cat>
          <c:val>
            <c:numRef>
              <c:f>'Top Hospital By Revenue'!$B$4:$B$14</c:f>
              <c:numCache>
                <c:formatCode>"£"#,##0</c:formatCode>
                <c:ptCount val="10"/>
                <c:pt idx="0">
                  <c:v>1084202.6929649198</c:v>
                </c:pt>
                <c:pt idx="1">
                  <c:v>1030189.8722479474</c:v>
                </c:pt>
                <c:pt idx="2">
                  <c:v>1029424.4491163127</c:v>
                </c:pt>
                <c:pt idx="3">
                  <c:v>1003365.5277071925</c:v>
                </c:pt>
                <c:pt idx="4">
                  <c:v>970035.86570580688</c:v>
                </c:pt>
                <c:pt idx="5">
                  <c:v>941117.46962912753</c:v>
                </c:pt>
                <c:pt idx="6">
                  <c:v>902975.78745927208</c:v>
                </c:pt>
                <c:pt idx="7">
                  <c:v>890756.51449034608</c:v>
                </c:pt>
                <c:pt idx="8">
                  <c:v>816438.35368782433</c:v>
                </c:pt>
                <c:pt idx="9">
                  <c:v>806631.29073310911</c:v>
                </c:pt>
              </c:numCache>
            </c:numRef>
          </c:val>
          <c:extLst>
            <c:ext xmlns:c16="http://schemas.microsoft.com/office/drawing/2014/chart" uri="{C3380CC4-5D6E-409C-BE32-E72D297353CC}">
              <c16:uniqueId val="{00000012-92F5-486D-A88F-F36B6CD1C86E}"/>
            </c:ext>
          </c:extLst>
        </c:ser>
        <c:dLbls>
          <c:showLegendKey val="0"/>
          <c:showVal val="0"/>
          <c:showCatName val="0"/>
          <c:showSerName val="0"/>
          <c:showPercent val="0"/>
          <c:showBubbleSize val="0"/>
        </c:dLbls>
        <c:gapWidth val="150"/>
        <c:axId val="1660968191"/>
        <c:axId val="1675186975"/>
      </c:barChart>
      <c:catAx>
        <c:axId val="1660968191"/>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675186975"/>
        <c:crosses val="autoZero"/>
        <c:auto val="1"/>
        <c:lblAlgn val="ctr"/>
        <c:lblOffset val="100"/>
        <c:noMultiLvlLbl val="0"/>
      </c:catAx>
      <c:valAx>
        <c:axId val="1675186975"/>
        <c:scaling>
          <c:orientation val="minMax"/>
        </c:scaling>
        <c:delete val="1"/>
        <c:axPos val="t"/>
        <c:numFmt formatCode="&quot;£&quot;#,##0" sourceLinked="1"/>
        <c:majorTickMark val="none"/>
        <c:minorTickMark val="none"/>
        <c:tickLblPos val="nextTo"/>
        <c:crossAx val="1660968191"/>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14B.xlsx]Patient Intake Revenue!PivotTable4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Patient</a:t>
            </a:r>
            <a:r>
              <a:rPr lang="en-US" baseline="0"/>
              <a:t> Intake Revenue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tx2">
              <a:lumMod val="90000"/>
              <a:lumOff val="1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tx2">
              <a:lumMod val="90000"/>
              <a:lumOff val="10000"/>
            </a:schemeClr>
          </a:solidFill>
          <a:ln w="19050">
            <a:solidFill>
              <a:schemeClr val="lt1"/>
            </a:solidFill>
          </a:ln>
          <a:effectLst/>
        </c:spPr>
        <c:dLbl>
          <c:idx val="0"/>
          <c:layout>
            <c:manualLayout>
              <c:x val="3.2623250218722658E-2"/>
              <c:y val="-3.1838363954505684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tx2">
              <a:lumMod val="75000"/>
              <a:lumOff val="25000"/>
            </a:schemeClr>
          </a:solidFill>
          <a:ln w="19050">
            <a:solidFill>
              <a:schemeClr val="lt1"/>
            </a:solidFill>
          </a:ln>
          <a:effectLst/>
        </c:spPr>
        <c:dLbl>
          <c:idx val="0"/>
          <c:layout>
            <c:manualLayout>
              <c:x val="-2.0444006999125108E-3"/>
              <c:y val="9.7736839498836232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tx2">
              <a:lumMod val="50000"/>
              <a:lumOff val="50000"/>
            </a:schemeClr>
          </a:solidFill>
          <a:ln w="19050">
            <a:solidFill>
              <a:schemeClr val="lt1"/>
            </a:solidFill>
          </a:ln>
          <a:effectLst/>
        </c:spPr>
        <c:dLbl>
          <c:idx val="0"/>
          <c:layout>
            <c:manualLayout>
              <c:x val="-3.7768372703412073E-2"/>
              <c:y val="-6.149679206765820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tx2">
              <a:lumMod val="90000"/>
              <a:lumOff val="10000"/>
            </a:schemeClr>
          </a:solidFill>
          <a:ln w="19050">
            <a:solidFill>
              <a:schemeClr val="lt1"/>
            </a:solidFill>
          </a:ln>
          <a:effectLst/>
        </c:spPr>
        <c:dLbl>
          <c:idx val="0"/>
          <c:layout>
            <c:manualLayout>
              <c:x val="2.9105424321959755E-2"/>
              <c:y val="-1.632083725383383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tx2">
              <a:lumMod val="75000"/>
              <a:lumOff val="25000"/>
            </a:schemeClr>
          </a:solidFill>
          <a:ln w="19050">
            <a:solidFill>
              <a:schemeClr val="lt1"/>
            </a:solidFill>
          </a:ln>
          <a:effectLst/>
        </c:spPr>
        <c:dLbl>
          <c:idx val="0"/>
          <c:layout>
            <c:manualLayout>
              <c:x val="9.1472003499562554E-2"/>
              <c:y val="-2.0987470905759423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tx2">
              <a:lumMod val="50000"/>
              <a:lumOff val="50000"/>
            </a:schemeClr>
          </a:solidFill>
          <a:ln w="19050">
            <a:solidFill>
              <a:schemeClr val="lt1"/>
            </a:solidFill>
          </a:ln>
          <a:effectLst/>
        </c:spPr>
        <c:dLbl>
          <c:idx val="0"/>
          <c:layout>
            <c:manualLayout>
              <c:x val="-2.8395231846019248E-2"/>
              <c:y val="-1.3710031529077772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tx2">
              <a:lumMod val="90000"/>
              <a:lumOff val="1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tx2">
              <a:lumMod val="90000"/>
              <a:lumOff val="10000"/>
            </a:schemeClr>
          </a:solidFill>
          <a:ln w="19050">
            <a:solidFill>
              <a:schemeClr val="lt1"/>
            </a:solidFill>
          </a:ln>
          <a:effectLst/>
        </c:spPr>
        <c:dLbl>
          <c:idx val="0"/>
          <c:layout>
            <c:manualLayout>
              <c:x val="2.9105424321959755E-2"/>
              <c:y val="-1.632083725383383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tx2">
              <a:lumMod val="75000"/>
              <a:lumOff val="25000"/>
            </a:schemeClr>
          </a:solidFill>
          <a:ln w="19050">
            <a:solidFill>
              <a:schemeClr val="lt1"/>
            </a:solidFill>
          </a:ln>
          <a:effectLst/>
        </c:spPr>
        <c:dLbl>
          <c:idx val="0"/>
          <c:layout>
            <c:manualLayout>
              <c:x val="9.1472003499562554E-2"/>
              <c:y val="-2.0987470905759423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tx2">
              <a:lumMod val="50000"/>
              <a:lumOff val="50000"/>
            </a:schemeClr>
          </a:solidFill>
          <a:ln w="19050">
            <a:solidFill>
              <a:schemeClr val="lt1"/>
            </a:solidFill>
          </a:ln>
          <a:effectLst/>
        </c:spPr>
        <c:dLbl>
          <c:idx val="0"/>
          <c:layout>
            <c:manualLayout>
              <c:x val="-2.8395231846019248E-2"/>
              <c:y val="-1.3710031529077772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tx2">
              <a:lumMod val="90000"/>
              <a:lumOff val="1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tx2">
              <a:lumMod val="90000"/>
              <a:lumOff val="10000"/>
            </a:schemeClr>
          </a:solidFill>
          <a:ln w="19050">
            <a:solidFill>
              <a:schemeClr val="lt1"/>
            </a:solidFill>
          </a:ln>
          <a:effectLst/>
        </c:spPr>
        <c:dLbl>
          <c:idx val="0"/>
          <c:layout>
            <c:manualLayout>
              <c:x val="2.9105424321959755E-2"/>
              <c:y val="-1.6320837253833837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tx2">
              <a:lumMod val="75000"/>
              <a:lumOff val="25000"/>
            </a:schemeClr>
          </a:solidFill>
          <a:ln w="19050">
            <a:solidFill>
              <a:schemeClr val="lt1"/>
            </a:solidFill>
          </a:ln>
          <a:effectLst/>
        </c:spPr>
        <c:dLbl>
          <c:idx val="0"/>
          <c:layout>
            <c:manualLayout>
              <c:x val="9.1472003499562554E-2"/>
              <c:y val="-2.0987470905759423E-3"/>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tx2">
              <a:lumMod val="50000"/>
              <a:lumOff val="50000"/>
            </a:schemeClr>
          </a:solidFill>
          <a:ln w="19050">
            <a:solidFill>
              <a:schemeClr val="lt1"/>
            </a:solidFill>
          </a:ln>
          <a:effectLst/>
        </c:spPr>
        <c:dLbl>
          <c:idx val="0"/>
          <c:layout>
            <c:manualLayout>
              <c:x val="-2.8395231846019248E-2"/>
              <c:y val="-1.3710031529077772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extLst>
            <c:ext xmlns:c15="http://schemas.microsoft.com/office/drawing/2012/chart" uri="{CE6537A1-D6FC-4f65-9D91-7224C49458BB}"/>
          </c:extLst>
        </c:dLbl>
      </c:pivotFmt>
    </c:pivotFmts>
    <c:plotArea>
      <c:layout/>
      <c:pieChart>
        <c:varyColors val="1"/>
        <c:ser>
          <c:idx val="0"/>
          <c:order val="0"/>
          <c:tx>
            <c:strRef>
              <c:f>'Patient Intake Revenue'!$B$3</c:f>
              <c:strCache>
                <c:ptCount val="1"/>
                <c:pt idx="0">
                  <c:v>Total</c:v>
                </c:pt>
              </c:strCache>
            </c:strRef>
          </c:tx>
          <c:spPr>
            <a:solidFill>
              <a:schemeClr val="tx2">
                <a:lumMod val="90000"/>
                <a:lumOff val="10000"/>
              </a:schemeClr>
            </a:solidFill>
          </c:spPr>
          <c:dPt>
            <c:idx val="0"/>
            <c:bubble3D val="0"/>
            <c:spPr>
              <a:solidFill>
                <a:schemeClr val="tx2">
                  <a:lumMod val="90000"/>
                  <a:lumOff val="10000"/>
                </a:schemeClr>
              </a:solidFill>
              <a:ln w="19050">
                <a:solidFill>
                  <a:schemeClr val="lt1"/>
                </a:solidFill>
              </a:ln>
              <a:effectLst/>
            </c:spPr>
            <c:extLst>
              <c:ext xmlns:c16="http://schemas.microsoft.com/office/drawing/2014/chart" uri="{C3380CC4-5D6E-409C-BE32-E72D297353CC}">
                <c16:uniqueId val="{00000001-EC9B-4722-9125-949E8B931C1A}"/>
              </c:ext>
            </c:extLst>
          </c:dPt>
          <c:dPt>
            <c:idx val="1"/>
            <c:bubble3D val="0"/>
            <c:spPr>
              <a:solidFill>
                <a:schemeClr val="tx2">
                  <a:lumMod val="75000"/>
                  <a:lumOff val="25000"/>
                </a:schemeClr>
              </a:solidFill>
              <a:ln w="19050">
                <a:solidFill>
                  <a:schemeClr val="lt1"/>
                </a:solidFill>
              </a:ln>
              <a:effectLst/>
            </c:spPr>
            <c:extLst>
              <c:ext xmlns:c16="http://schemas.microsoft.com/office/drawing/2014/chart" uri="{C3380CC4-5D6E-409C-BE32-E72D297353CC}">
                <c16:uniqueId val="{00000003-EC9B-4722-9125-949E8B931C1A}"/>
              </c:ext>
            </c:extLst>
          </c:dPt>
          <c:dPt>
            <c:idx val="2"/>
            <c:bubble3D val="0"/>
            <c:spPr>
              <a:solidFill>
                <a:schemeClr val="tx2">
                  <a:lumMod val="50000"/>
                  <a:lumOff val="50000"/>
                </a:schemeClr>
              </a:solidFill>
              <a:ln w="19050">
                <a:solidFill>
                  <a:schemeClr val="lt1"/>
                </a:solidFill>
              </a:ln>
              <a:effectLst/>
            </c:spPr>
            <c:extLst>
              <c:ext xmlns:c16="http://schemas.microsoft.com/office/drawing/2014/chart" uri="{C3380CC4-5D6E-409C-BE32-E72D297353CC}">
                <c16:uniqueId val="{00000005-EC9B-4722-9125-949E8B931C1A}"/>
              </c:ext>
            </c:extLst>
          </c:dPt>
          <c:dLbls>
            <c:dLbl>
              <c:idx val="0"/>
              <c:layout>
                <c:manualLayout>
                  <c:x val="2.9105424321959755E-2"/>
                  <c:y val="-1.6320837253833837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C9B-4722-9125-949E8B931C1A}"/>
                </c:ext>
              </c:extLst>
            </c:dLbl>
            <c:dLbl>
              <c:idx val="1"/>
              <c:layout>
                <c:manualLayout>
                  <c:x val="9.1472003499562554E-2"/>
                  <c:y val="-2.0987470905759423E-3"/>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C9B-4722-9125-949E8B931C1A}"/>
                </c:ext>
              </c:extLst>
            </c:dLbl>
            <c:dLbl>
              <c:idx val="2"/>
              <c:layout>
                <c:manualLayout>
                  <c:x val="-2.8395231846019248E-2"/>
                  <c:y val="-1.3710031529077772E-2"/>
                </c:manualLayout>
              </c:layout>
              <c:dLblPos val="bestFi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C9B-4722-9125-949E8B931C1A}"/>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'Patient Intake Revenue'!$A$4:$A$7</c:f>
              <c:strCache>
                <c:ptCount val="3"/>
                <c:pt idx="0">
                  <c:v>Elective</c:v>
                </c:pt>
                <c:pt idx="1">
                  <c:v>Emergency</c:v>
                </c:pt>
                <c:pt idx="2">
                  <c:v>Urgent</c:v>
                </c:pt>
              </c:strCache>
            </c:strRef>
          </c:cat>
          <c:val>
            <c:numRef>
              <c:f>'Patient Intake Revenue'!$B$4:$B$7</c:f>
              <c:numCache>
                <c:formatCode>General</c:formatCode>
                <c:ptCount val="3"/>
                <c:pt idx="0">
                  <c:v>18655</c:v>
                </c:pt>
                <c:pt idx="1">
                  <c:v>18269</c:v>
                </c:pt>
                <c:pt idx="2">
                  <c:v>18576</c:v>
                </c:pt>
              </c:numCache>
            </c:numRef>
          </c:val>
          <c:extLst>
            <c:ext xmlns:c16="http://schemas.microsoft.com/office/drawing/2014/chart" uri="{C3380CC4-5D6E-409C-BE32-E72D297353CC}">
              <c16:uniqueId val="{00000006-EC9B-4722-9125-949E8B931C1A}"/>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14B.xlsx]Total Blood Group By Age!PivotTable5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solidFill>
                  <a:sysClr val="windowText" lastClr="000000"/>
                </a:solidFill>
              </a:rPr>
              <a:t>Total Blood</a:t>
            </a:r>
            <a:r>
              <a:rPr lang="en-US" baseline="0">
                <a:solidFill>
                  <a:sysClr val="windowText" lastClr="000000"/>
                </a:solidFill>
              </a:rPr>
              <a:t> Group By Age Count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tx2">
              <a:lumMod val="75000"/>
              <a:lumOff val="25000"/>
            </a:schemeClr>
          </a:solidFill>
          <a:ln>
            <a:noFill/>
          </a:ln>
          <a:effectLst/>
        </c:spPr>
      </c:pivotFmt>
      <c:pivotFmt>
        <c:idx val="2"/>
        <c:spPr>
          <a:solidFill>
            <a:schemeClr val="tx2">
              <a:lumMod val="50000"/>
              <a:lumOff val="50000"/>
            </a:schemeClr>
          </a:solidFill>
          <a:ln>
            <a:noFill/>
          </a:ln>
          <a:effectLst/>
        </c:spPr>
      </c:pivotFmt>
      <c:pivotFmt>
        <c:idx val="3"/>
        <c:spPr>
          <a:solidFill>
            <a:schemeClr val="tx2">
              <a:lumMod val="50000"/>
              <a:lumOff val="50000"/>
            </a:schemeClr>
          </a:solidFill>
          <a:ln>
            <a:noFill/>
          </a:ln>
          <a:effectLst/>
        </c:spPr>
      </c:pivotFmt>
      <c:pivotFmt>
        <c:idx val="4"/>
        <c:spPr>
          <a:solidFill>
            <a:schemeClr val="tx2">
              <a:lumMod val="50000"/>
              <a:lumOff val="50000"/>
            </a:schemeClr>
          </a:solidFill>
          <a:ln>
            <a:noFill/>
          </a:ln>
          <a:effectLst/>
        </c:spPr>
      </c:pivotFmt>
      <c:pivotFmt>
        <c:idx val="5"/>
        <c:spPr>
          <a:solidFill>
            <a:schemeClr val="tx2">
              <a:lumMod val="50000"/>
              <a:lumOff val="50000"/>
            </a:schemeClr>
          </a:solidFill>
          <a:ln>
            <a:noFill/>
          </a:ln>
          <a:effectLst/>
        </c:spPr>
      </c:pivotFmt>
      <c:pivotFmt>
        <c:idx val="6"/>
        <c:spPr>
          <a:solidFill>
            <a:schemeClr val="tx2">
              <a:lumMod val="25000"/>
              <a:lumOff val="75000"/>
            </a:schemeClr>
          </a:solidFill>
          <a:ln>
            <a:noFill/>
          </a:ln>
          <a:effectLst/>
        </c:spPr>
      </c:pivotFmt>
      <c:pivotFmt>
        <c:idx val="7"/>
        <c:spPr>
          <a:solidFill>
            <a:schemeClr val="tx2">
              <a:lumMod val="10000"/>
              <a:lumOff val="90000"/>
            </a:schemeClr>
          </a:solidFill>
          <a:ln>
            <a:noFill/>
          </a:ln>
          <a:effectLst/>
        </c:spPr>
      </c:pivotFmt>
      <c:pivotFmt>
        <c:idx val="8"/>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tx2">
              <a:lumMod val="75000"/>
              <a:lumOff val="25000"/>
            </a:schemeClr>
          </a:solidFill>
          <a:ln>
            <a:noFill/>
          </a:ln>
          <a:effectLst/>
        </c:spPr>
      </c:pivotFmt>
      <c:pivotFmt>
        <c:idx val="10"/>
        <c:spPr>
          <a:solidFill>
            <a:schemeClr val="tx2">
              <a:lumMod val="50000"/>
              <a:lumOff val="50000"/>
            </a:schemeClr>
          </a:solidFill>
          <a:ln>
            <a:noFill/>
          </a:ln>
          <a:effectLst/>
        </c:spPr>
      </c:pivotFmt>
      <c:pivotFmt>
        <c:idx val="11"/>
        <c:spPr>
          <a:solidFill>
            <a:schemeClr val="tx2">
              <a:lumMod val="50000"/>
              <a:lumOff val="50000"/>
            </a:schemeClr>
          </a:solidFill>
          <a:ln>
            <a:noFill/>
          </a:ln>
          <a:effectLst/>
        </c:spPr>
      </c:pivotFmt>
      <c:pivotFmt>
        <c:idx val="12"/>
        <c:spPr>
          <a:solidFill>
            <a:schemeClr val="tx2">
              <a:lumMod val="50000"/>
              <a:lumOff val="50000"/>
            </a:schemeClr>
          </a:solidFill>
          <a:ln>
            <a:noFill/>
          </a:ln>
          <a:effectLst/>
        </c:spPr>
      </c:pivotFmt>
      <c:pivotFmt>
        <c:idx val="13"/>
        <c:spPr>
          <a:solidFill>
            <a:schemeClr val="tx2">
              <a:lumMod val="50000"/>
              <a:lumOff val="50000"/>
            </a:schemeClr>
          </a:solidFill>
          <a:ln>
            <a:noFill/>
          </a:ln>
          <a:effectLst/>
        </c:spPr>
      </c:pivotFmt>
      <c:pivotFmt>
        <c:idx val="14"/>
        <c:spPr>
          <a:solidFill>
            <a:schemeClr val="tx2">
              <a:lumMod val="25000"/>
              <a:lumOff val="75000"/>
            </a:schemeClr>
          </a:solidFill>
          <a:ln>
            <a:noFill/>
          </a:ln>
          <a:effectLst/>
        </c:spPr>
      </c:pivotFmt>
      <c:pivotFmt>
        <c:idx val="15"/>
        <c:spPr>
          <a:solidFill>
            <a:schemeClr val="tx2">
              <a:lumMod val="10000"/>
              <a:lumOff val="90000"/>
            </a:schemeClr>
          </a:solidFill>
          <a:ln>
            <a:noFill/>
          </a:ln>
          <a:effectLst/>
        </c:spPr>
      </c:pivotFmt>
      <c:pivotFmt>
        <c:idx val="16"/>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tx2">
              <a:lumMod val="75000"/>
              <a:lumOff val="25000"/>
            </a:schemeClr>
          </a:solidFill>
          <a:ln>
            <a:noFill/>
          </a:ln>
          <a:effectLst/>
        </c:spPr>
      </c:pivotFmt>
      <c:pivotFmt>
        <c:idx val="18"/>
        <c:spPr>
          <a:solidFill>
            <a:schemeClr val="tx2">
              <a:lumMod val="50000"/>
              <a:lumOff val="50000"/>
            </a:schemeClr>
          </a:solidFill>
          <a:ln>
            <a:noFill/>
          </a:ln>
          <a:effectLst/>
        </c:spPr>
      </c:pivotFmt>
      <c:pivotFmt>
        <c:idx val="19"/>
        <c:spPr>
          <a:solidFill>
            <a:schemeClr val="tx2">
              <a:lumMod val="50000"/>
              <a:lumOff val="50000"/>
            </a:schemeClr>
          </a:solidFill>
          <a:ln>
            <a:noFill/>
          </a:ln>
          <a:effectLst/>
        </c:spPr>
      </c:pivotFmt>
      <c:pivotFmt>
        <c:idx val="20"/>
        <c:spPr>
          <a:solidFill>
            <a:schemeClr val="tx2">
              <a:lumMod val="50000"/>
              <a:lumOff val="50000"/>
            </a:schemeClr>
          </a:solidFill>
          <a:ln>
            <a:noFill/>
          </a:ln>
          <a:effectLst/>
        </c:spPr>
      </c:pivotFmt>
      <c:pivotFmt>
        <c:idx val="21"/>
        <c:spPr>
          <a:solidFill>
            <a:schemeClr val="tx2">
              <a:lumMod val="50000"/>
              <a:lumOff val="50000"/>
            </a:schemeClr>
          </a:solidFill>
          <a:ln>
            <a:noFill/>
          </a:ln>
          <a:effectLst/>
        </c:spPr>
      </c:pivotFmt>
      <c:pivotFmt>
        <c:idx val="22"/>
        <c:spPr>
          <a:solidFill>
            <a:schemeClr val="tx2">
              <a:lumMod val="25000"/>
              <a:lumOff val="75000"/>
            </a:schemeClr>
          </a:solidFill>
          <a:ln>
            <a:noFill/>
          </a:ln>
          <a:effectLst/>
        </c:spPr>
      </c:pivotFmt>
      <c:pivotFmt>
        <c:idx val="23"/>
        <c:spPr>
          <a:solidFill>
            <a:schemeClr val="tx2">
              <a:lumMod val="10000"/>
              <a:lumOff val="90000"/>
            </a:schemeClr>
          </a:solidFill>
          <a:ln>
            <a:noFill/>
          </a:ln>
          <a:effectLst/>
        </c:spPr>
      </c:pivotFmt>
    </c:pivotFmts>
    <c:plotArea>
      <c:layout/>
      <c:barChart>
        <c:barDir val="bar"/>
        <c:grouping val="clustered"/>
        <c:varyColors val="0"/>
        <c:ser>
          <c:idx val="0"/>
          <c:order val="0"/>
          <c:tx>
            <c:strRef>
              <c:f>'Total Blood Group By Age'!$B$3</c:f>
              <c:strCache>
                <c:ptCount val="1"/>
                <c:pt idx="0">
                  <c:v>Total</c:v>
                </c:pt>
              </c:strCache>
            </c:strRef>
          </c:tx>
          <c:spPr>
            <a:solidFill>
              <a:schemeClr val="tx2">
                <a:lumMod val="90000"/>
                <a:lumOff val="10000"/>
              </a:schemeClr>
            </a:solidFill>
            <a:ln>
              <a:noFill/>
            </a:ln>
            <a:effectLst/>
          </c:spPr>
          <c:invertIfNegative val="0"/>
          <c:dPt>
            <c:idx val="1"/>
            <c:invertIfNegative val="0"/>
            <c:bubble3D val="0"/>
            <c:spPr>
              <a:solidFill>
                <a:schemeClr val="tx2">
                  <a:lumMod val="75000"/>
                  <a:lumOff val="25000"/>
                </a:schemeClr>
              </a:solidFill>
              <a:ln>
                <a:noFill/>
              </a:ln>
              <a:effectLst/>
            </c:spPr>
            <c:extLst>
              <c:ext xmlns:c16="http://schemas.microsoft.com/office/drawing/2014/chart" uri="{C3380CC4-5D6E-409C-BE32-E72D297353CC}">
                <c16:uniqueId val="{00000001-7D9C-4724-9661-220A1ADAAC37}"/>
              </c:ext>
            </c:extLst>
          </c:dPt>
          <c:dPt>
            <c:idx val="2"/>
            <c:invertIfNegative val="0"/>
            <c:bubble3D val="0"/>
            <c:spPr>
              <a:solidFill>
                <a:schemeClr val="tx2">
                  <a:lumMod val="50000"/>
                  <a:lumOff val="50000"/>
                </a:schemeClr>
              </a:solidFill>
              <a:ln>
                <a:noFill/>
              </a:ln>
              <a:effectLst/>
            </c:spPr>
            <c:extLst>
              <c:ext xmlns:c16="http://schemas.microsoft.com/office/drawing/2014/chart" uri="{C3380CC4-5D6E-409C-BE32-E72D297353CC}">
                <c16:uniqueId val="{00000003-7D9C-4724-9661-220A1ADAAC37}"/>
              </c:ext>
            </c:extLst>
          </c:dPt>
          <c:dPt>
            <c:idx val="3"/>
            <c:invertIfNegative val="0"/>
            <c:bubble3D val="0"/>
            <c:spPr>
              <a:solidFill>
                <a:schemeClr val="tx2">
                  <a:lumMod val="50000"/>
                  <a:lumOff val="50000"/>
                </a:schemeClr>
              </a:solidFill>
              <a:ln>
                <a:noFill/>
              </a:ln>
              <a:effectLst/>
            </c:spPr>
            <c:extLst>
              <c:ext xmlns:c16="http://schemas.microsoft.com/office/drawing/2014/chart" uri="{C3380CC4-5D6E-409C-BE32-E72D297353CC}">
                <c16:uniqueId val="{00000005-7D9C-4724-9661-220A1ADAAC37}"/>
              </c:ext>
            </c:extLst>
          </c:dPt>
          <c:dPt>
            <c:idx val="4"/>
            <c:invertIfNegative val="0"/>
            <c:bubble3D val="0"/>
            <c:spPr>
              <a:solidFill>
                <a:schemeClr val="tx2">
                  <a:lumMod val="50000"/>
                  <a:lumOff val="50000"/>
                </a:schemeClr>
              </a:solidFill>
              <a:ln>
                <a:noFill/>
              </a:ln>
              <a:effectLst/>
            </c:spPr>
            <c:extLst>
              <c:ext xmlns:c16="http://schemas.microsoft.com/office/drawing/2014/chart" uri="{C3380CC4-5D6E-409C-BE32-E72D297353CC}">
                <c16:uniqueId val="{00000007-7D9C-4724-9661-220A1ADAAC37}"/>
              </c:ext>
            </c:extLst>
          </c:dPt>
          <c:dPt>
            <c:idx val="5"/>
            <c:invertIfNegative val="0"/>
            <c:bubble3D val="0"/>
            <c:spPr>
              <a:solidFill>
                <a:schemeClr val="tx2">
                  <a:lumMod val="50000"/>
                  <a:lumOff val="50000"/>
                </a:schemeClr>
              </a:solidFill>
              <a:ln>
                <a:noFill/>
              </a:ln>
              <a:effectLst/>
            </c:spPr>
            <c:extLst>
              <c:ext xmlns:c16="http://schemas.microsoft.com/office/drawing/2014/chart" uri="{C3380CC4-5D6E-409C-BE32-E72D297353CC}">
                <c16:uniqueId val="{00000009-7D9C-4724-9661-220A1ADAAC37}"/>
              </c:ext>
            </c:extLst>
          </c:dPt>
          <c:dPt>
            <c:idx val="6"/>
            <c:invertIfNegative val="0"/>
            <c:bubble3D val="0"/>
            <c:spPr>
              <a:solidFill>
                <a:schemeClr val="tx2">
                  <a:lumMod val="25000"/>
                  <a:lumOff val="75000"/>
                </a:schemeClr>
              </a:solidFill>
              <a:ln>
                <a:noFill/>
              </a:ln>
              <a:effectLst/>
            </c:spPr>
            <c:extLst>
              <c:ext xmlns:c16="http://schemas.microsoft.com/office/drawing/2014/chart" uri="{C3380CC4-5D6E-409C-BE32-E72D297353CC}">
                <c16:uniqueId val="{0000000B-7D9C-4724-9661-220A1ADAAC37}"/>
              </c:ext>
            </c:extLst>
          </c:dPt>
          <c:dPt>
            <c:idx val="7"/>
            <c:invertIfNegative val="0"/>
            <c:bubble3D val="0"/>
            <c:spPr>
              <a:solidFill>
                <a:schemeClr val="tx2">
                  <a:lumMod val="10000"/>
                  <a:lumOff val="90000"/>
                </a:schemeClr>
              </a:solidFill>
              <a:ln>
                <a:noFill/>
              </a:ln>
              <a:effectLst/>
            </c:spPr>
            <c:extLst>
              <c:ext xmlns:c16="http://schemas.microsoft.com/office/drawing/2014/chart" uri="{C3380CC4-5D6E-409C-BE32-E72D297353CC}">
                <c16:uniqueId val="{0000000D-7D9C-4724-9661-220A1ADAAC37}"/>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'Total Blood Group By Age'!$A$4:$A$12</c:f>
              <c:strCache>
                <c:ptCount val="8"/>
                <c:pt idx="0">
                  <c:v>A-</c:v>
                </c:pt>
                <c:pt idx="1">
                  <c:v>A+</c:v>
                </c:pt>
                <c:pt idx="2">
                  <c:v>AB+</c:v>
                </c:pt>
                <c:pt idx="3">
                  <c:v>AB-</c:v>
                </c:pt>
                <c:pt idx="4">
                  <c:v>B+</c:v>
                </c:pt>
                <c:pt idx="5">
                  <c:v>B-</c:v>
                </c:pt>
                <c:pt idx="6">
                  <c:v>O+</c:v>
                </c:pt>
                <c:pt idx="7">
                  <c:v>O-</c:v>
                </c:pt>
              </c:strCache>
            </c:strRef>
          </c:cat>
          <c:val>
            <c:numRef>
              <c:f>'Total Blood Group By Age'!$B$4:$B$12</c:f>
              <c:numCache>
                <c:formatCode>General</c:formatCode>
                <c:ptCount val="8"/>
                <c:pt idx="0">
                  <c:v>6969</c:v>
                </c:pt>
                <c:pt idx="1">
                  <c:v>6956</c:v>
                </c:pt>
                <c:pt idx="2">
                  <c:v>6947</c:v>
                </c:pt>
                <c:pt idx="3">
                  <c:v>6945</c:v>
                </c:pt>
                <c:pt idx="4">
                  <c:v>6945</c:v>
                </c:pt>
                <c:pt idx="5">
                  <c:v>6944</c:v>
                </c:pt>
                <c:pt idx="6">
                  <c:v>6917</c:v>
                </c:pt>
                <c:pt idx="7">
                  <c:v>6877</c:v>
                </c:pt>
              </c:numCache>
            </c:numRef>
          </c:val>
          <c:extLst>
            <c:ext xmlns:c16="http://schemas.microsoft.com/office/drawing/2014/chart" uri="{C3380CC4-5D6E-409C-BE32-E72D297353CC}">
              <c16:uniqueId val="{0000000E-7D9C-4724-9661-220A1ADAAC37}"/>
            </c:ext>
          </c:extLst>
        </c:ser>
        <c:dLbls>
          <c:dLblPos val="outEnd"/>
          <c:showLegendKey val="0"/>
          <c:showVal val="1"/>
          <c:showCatName val="0"/>
          <c:showSerName val="0"/>
          <c:showPercent val="0"/>
          <c:showBubbleSize val="0"/>
        </c:dLbls>
        <c:gapWidth val="182"/>
        <c:axId val="1974687455"/>
        <c:axId val="1974688415"/>
      </c:barChart>
      <c:catAx>
        <c:axId val="1974687455"/>
        <c:scaling>
          <c:orientation val="maxMin"/>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974688415"/>
        <c:crosses val="autoZero"/>
        <c:auto val="1"/>
        <c:lblAlgn val="ctr"/>
        <c:lblOffset val="100"/>
        <c:noMultiLvlLbl val="0"/>
      </c:catAx>
      <c:valAx>
        <c:axId val="1974688415"/>
        <c:scaling>
          <c:orientation val="minMax"/>
        </c:scaling>
        <c:delete val="1"/>
        <c:axPos val="t"/>
        <c:numFmt formatCode="General" sourceLinked="1"/>
        <c:majorTickMark val="none"/>
        <c:minorTickMark val="none"/>
        <c:tickLblPos val="nextTo"/>
        <c:crossAx val="19746874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14B.xlsx]Total Insurance Revenue!PivotTable2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Total Insurance Revenue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tx2">
              <a:lumMod val="75000"/>
              <a:lumOff val="25000"/>
            </a:schemeClr>
          </a:solidFill>
          <a:ln>
            <a:noFill/>
          </a:ln>
          <a:effectLst/>
        </c:spPr>
      </c:pivotFmt>
      <c:pivotFmt>
        <c:idx val="2"/>
        <c:spPr>
          <a:solidFill>
            <a:schemeClr val="tx2">
              <a:lumMod val="50000"/>
              <a:lumOff val="50000"/>
            </a:schemeClr>
          </a:solidFill>
          <a:ln>
            <a:noFill/>
          </a:ln>
          <a:effectLst/>
        </c:spPr>
      </c:pivotFmt>
      <c:pivotFmt>
        <c:idx val="3"/>
        <c:spPr>
          <a:solidFill>
            <a:schemeClr val="tx2">
              <a:lumMod val="25000"/>
              <a:lumOff val="75000"/>
            </a:schemeClr>
          </a:solidFill>
          <a:ln>
            <a:noFill/>
          </a:ln>
          <a:effectLst/>
        </c:spPr>
      </c:pivotFmt>
      <c:pivotFmt>
        <c:idx val="4"/>
        <c:spPr>
          <a:solidFill>
            <a:schemeClr val="accent4">
              <a:lumMod val="20000"/>
              <a:lumOff val="80000"/>
            </a:schemeClr>
          </a:solidFill>
          <a:ln>
            <a:noFill/>
          </a:ln>
          <a:effectLst/>
        </c:spPr>
      </c:pivotFmt>
      <c:pivotFmt>
        <c:idx val="5"/>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tx2">
              <a:lumMod val="75000"/>
              <a:lumOff val="25000"/>
            </a:schemeClr>
          </a:solidFill>
          <a:ln>
            <a:noFill/>
          </a:ln>
          <a:effectLst/>
        </c:spPr>
      </c:pivotFmt>
      <c:pivotFmt>
        <c:idx val="7"/>
        <c:spPr>
          <a:solidFill>
            <a:schemeClr val="tx2">
              <a:lumMod val="50000"/>
              <a:lumOff val="50000"/>
            </a:schemeClr>
          </a:solidFill>
          <a:ln>
            <a:noFill/>
          </a:ln>
          <a:effectLst/>
        </c:spPr>
      </c:pivotFmt>
      <c:pivotFmt>
        <c:idx val="8"/>
        <c:spPr>
          <a:solidFill>
            <a:schemeClr val="tx2">
              <a:lumMod val="25000"/>
              <a:lumOff val="75000"/>
            </a:schemeClr>
          </a:solidFill>
          <a:ln>
            <a:noFill/>
          </a:ln>
          <a:effectLst/>
        </c:spPr>
      </c:pivotFmt>
      <c:pivotFmt>
        <c:idx val="9"/>
        <c:spPr>
          <a:solidFill>
            <a:schemeClr val="accent4">
              <a:lumMod val="20000"/>
              <a:lumOff val="80000"/>
            </a:schemeClr>
          </a:solidFill>
          <a:ln>
            <a:noFill/>
          </a:ln>
          <a:effectLst/>
        </c:spPr>
      </c:pivotFmt>
      <c:pivotFmt>
        <c:idx val="10"/>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tx2">
              <a:lumMod val="75000"/>
              <a:lumOff val="25000"/>
            </a:schemeClr>
          </a:solidFill>
          <a:ln>
            <a:noFill/>
          </a:ln>
          <a:effectLst/>
        </c:spPr>
      </c:pivotFmt>
      <c:pivotFmt>
        <c:idx val="12"/>
        <c:spPr>
          <a:solidFill>
            <a:schemeClr val="tx2">
              <a:lumMod val="50000"/>
              <a:lumOff val="50000"/>
            </a:schemeClr>
          </a:solidFill>
          <a:ln>
            <a:noFill/>
          </a:ln>
          <a:effectLst/>
        </c:spPr>
      </c:pivotFmt>
      <c:pivotFmt>
        <c:idx val="13"/>
        <c:spPr>
          <a:solidFill>
            <a:schemeClr val="tx2">
              <a:lumMod val="25000"/>
              <a:lumOff val="75000"/>
            </a:schemeClr>
          </a:solidFill>
          <a:ln>
            <a:noFill/>
          </a:ln>
          <a:effectLst/>
        </c:spPr>
      </c:pivotFmt>
      <c:pivotFmt>
        <c:idx val="14"/>
        <c:spPr>
          <a:solidFill>
            <a:schemeClr val="accent4">
              <a:lumMod val="20000"/>
              <a:lumOff val="80000"/>
            </a:schemeClr>
          </a:solidFill>
          <a:ln>
            <a:noFill/>
          </a:ln>
          <a:effectLst/>
        </c:spPr>
      </c:pivotFmt>
    </c:pivotFmts>
    <c:plotArea>
      <c:layout/>
      <c:barChart>
        <c:barDir val="col"/>
        <c:grouping val="clustered"/>
        <c:varyColors val="0"/>
        <c:ser>
          <c:idx val="0"/>
          <c:order val="0"/>
          <c:tx>
            <c:strRef>
              <c:f>'Total Insurance Revenue'!$B$3</c:f>
              <c:strCache>
                <c:ptCount val="1"/>
                <c:pt idx="0">
                  <c:v>Total</c:v>
                </c:pt>
              </c:strCache>
            </c:strRef>
          </c:tx>
          <c:spPr>
            <a:solidFill>
              <a:schemeClr val="tx2">
                <a:lumMod val="90000"/>
                <a:lumOff val="10000"/>
              </a:schemeClr>
            </a:solidFill>
            <a:ln>
              <a:noFill/>
            </a:ln>
            <a:effectLst/>
          </c:spPr>
          <c:invertIfNegative val="0"/>
          <c:dPt>
            <c:idx val="1"/>
            <c:invertIfNegative val="0"/>
            <c:bubble3D val="0"/>
            <c:spPr>
              <a:solidFill>
                <a:schemeClr val="tx2">
                  <a:lumMod val="75000"/>
                  <a:lumOff val="25000"/>
                </a:schemeClr>
              </a:solidFill>
              <a:ln>
                <a:noFill/>
              </a:ln>
              <a:effectLst/>
            </c:spPr>
            <c:extLst>
              <c:ext xmlns:c16="http://schemas.microsoft.com/office/drawing/2014/chart" uri="{C3380CC4-5D6E-409C-BE32-E72D297353CC}">
                <c16:uniqueId val="{00000001-D228-4CCB-90BB-3270542D6C2E}"/>
              </c:ext>
            </c:extLst>
          </c:dPt>
          <c:dPt>
            <c:idx val="2"/>
            <c:invertIfNegative val="0"/>
            <c:bubble3D val="0"/>
            <c:spPr>
              <a:solidFill>
                <a:schemeClr val="tx2">
                  <a:lumMod val="50000"/>
                  <a:lumOff val="50000"/>
                </a:schemeClr>
              </a:solidFill>
              <a:ln>
                <a:noFill/>
              </a:ln>
              <a:effectLst/>
            </c:spPr>
            <c:extLst>
              <c:ext xmlns:c16="http://schemas.microsoft.com/office/drawing/2014/chart" uri="{C3380CC4-5D6E-409C-BE32-E72D297353CC}">
                <c16:uniqueId val="{00000003-D228-4CCB-90BB-3270542D6C2E}"/>
              </c:ext>
            </c:extLst>
          </c:dPt>
          <c:dPt>
            <c:idx val="3"/>
            <c:invertIfNegative val="0"/>
            <c:bubble3D val="0"/>
            <c:spPr>
              <a:solidFill>
                <a:schemeClr val="tx2">
                  <a:lumMod val="25000"/>
                  <a:lumOff val="75000"/>
                </a:schemeClr>
              </a:solidFill>
              <a:ln>
                <a:noFill/>
              </a:ln>
              <a:effectLst/>
            </c:spPr>
            <c:extLst>
              <c:ext xmlns:c16="http://schemas.microsoft.com/office/drawing/2014/chart" uri="{C3380CC4-5D6E-409C-BE32-E72D297353CC}">
                <c16:uniqueId val="{00000005-D228-4CCB-90BB-3270542D6C2E}"/>
              </c:ext>
            </c:extLst>
          </c:dPt>
          <c:dPt>
            <c:idx val="4"/>
            <c:invertIfNegative val="0"/>
            <c:bubble3D val="0"/>
            <c:spPr>
              <a:solidFill>
                <a:schemeClr val="accent4">
                  <a:lumMod val="20000"/>
                  <a:lumOff val="80000"/>
                </a:schemeClr>
              </a:solidFill>
              <a:ln>
                <a:noFill/>
              </a:ln>
              <a:effectLst/>
            </c:spPr>
            <c:extLst>
              <c:ext xmlns:c16="http://schemas.microsoft.com/office/drawing/2014/chart" uri="{C3380CC4-5D6E-409C-BE32-E72D297353CC}">
                <c16:uniqueId val="{00000007-D228-4CCB-90BB-3270542D6C2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'Total Insurance Revenue'!$A$4:$A$9</c:f>
              <c:strCache>
                <c:ptCount val="5"/>
                <c:pt idx="0">
                  <c:v>Cigna</c:v>
                </c:pt>
                <c:pt idx="1">
                  <c:v>Medicare</c:v>
                </c:pt>
                <c:pt idx="2">
                  <c:v>Blue Cross</c:v>
                </c:pt>
                <c:pt idx="3">
                  <c:v>UnitedHealthcare</c:v>
                </c:pt>
                <c:pt idx="4">
                  <c:v>Aetna</c:v>
                </c:pt>
              </c:strCache>
            </c:strRef>
          </c:cat>
          <c:val>
            <c:numRef>
              <c:f>'Total Insurance Revenue'!$B$4:$B$9</c:f>
              <c:numCache>
                <c:formatCode>"£"#,##0</c:formatCode>
                <c:ptCount val="5"/>
                <c:pt idx="0">
                  <c:v>287139345.26869929</c:v>
                </c:pt>
                <c:pt idx="1">
                  <c:v>285720758.12610346</c:v>
                </c:pt>
                <c:pt idx="2">
                  <c:v>283254294.21224129</c:v>
                </c:pt>
                <c:pt idx="3">
                  <c:v>282454542.84301561</c:v>
                </c:pt>
                <c:pt idx="4">
                  <c:v>278863102.94519466</c:v>
                </c:pt>
              </c:numCache>
            </c:numRef>
          </c:val>
          <c:extLst>
            <c:ext xmlns:c16="http://schemas.microsoft.com/office/drawing/2014/chart" uri="{C3380CC4-5D6E-409C-BE32-E72D297353CC}">
              <c16:uniqueId val="{00000008-D228-4CCB-90BB-3270542D6C2E}"/>
            </c:ext>
          </c:extLst>
        </c:ser>
        <c:dLbls>
          <c:dLblPos val="outEnd"/>
          <c:showLegendKey val="0"/>
          <c:showVal val="1"/>
          <c:showCatName val="0"/>
          <c:showSerName val="0"/>
          <c:showPercent val="0"/>
          <c:showBubbleSize val="0"/>
        </c:dLbls>
        <c:gapWidth val="80"/>
        <c:axId val="1662738607"/>
        <c:axId val="1290252063"/>
      </c:barChart>
      <c:catAx>
        <c:axId val="1662738607"/>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0252063"/>
        <c:crosses val="autoZero"/>
        <c:auto val="1"/>
        <c:lblAlgn val="ctr"/>
        <c:lblOffset val="100"/>
        <c:noMultiLvlLbl val="0"/>
      </c:catAx>
      <c:valAx>
        <c:axId val="1290252063"/>
        <c:scaling>
          <c:orientation val="minMax"/>
        </c:scaling>
        <c:delete val="1"/>
        <c:axPos val="l"/>
        <c:numFmt formatCode="&quot;£&quot;#,##0" sourceLinked="1"/>
        <c:majorTickMark val="out"/>
        <c:minorTickMark val="none"/>
        <c:tickLblPos val="nextTo"/>
        <c:crossAx val="166273860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14B.xlsx]Patient Admission Billing !PivotTable1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Patient Admission Yearly  Trend Report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'Patient Admission Billing '!$B$3</c:f>
              <c:strCache>
                <c:ptCount val="1"/>
                <c:pt idx="0">
                  <c:v>Total</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'Patient Admission Billing '!$A$4:$A$10</c:f>
              <c:strCache>
                <c:ptCount val="6"/>
                <c:pt idx="0">
                  <c:v>2019</c:v>
                </c:pt>
                <c:pt idx="1">
                  <c:v>2020</c:v>
                </c:pt>
                <c:pt idx="2">
                  <c:v>2021</c:v>
                </c:pt>
                <c:pt idx="3">
                  <c:v>2022</c:v>
                </c:pt>
                <c:pt idx="4">
                  <c:v>2023</c:v>
                </c:pt>
                <c:pt idx="5">
                  <c:v>2024</c:v>
                </c:pt>
              </c:strCache>
            </c:strRef>
          </c:cat>
          <c:val>
            <c:numRef>
              <c:f>'Patient Admission Billing '!$B$4:$B$10</c:f>
              <c:numCache>
                <c:formatCode>"£"#,##0</c:formatCode>
                <c:ptCount val="6"/>
                <c:pt idx="0">
                  <c:v>189849325.14005616</c:v>
                </c:pt>
                <c:pt idx="1">
                  <c:v>286551589.20666832</c:v>
                </c:pt>
                <c:pt idx="2">
                  <c:v>280155881.28855944</c:v>
                </c:pt>
                <c:pt idx="3">
                  <c:v>281082337.55557042</c:v>
                </c:pt>
                <c:pt idx="4">
                  <c:v>281977253.22444659</c:v>
                </c:pt>
                <c:pt idx="5">
                  <c:v>97815656.979952529</c:v>
                </c:pt>
              </c:numCache>
            </c:numRef>
          </c:val>
          <c:smooth val="0"/>
          <c:extLst>
            <c:ext xmlns:c16="http://schemas.microsoft.com/office/drawing/2014/chart" uri="{C3380CC4-5D6E-409C-BE32-E72D297353CC}">
              <c16:uniqueId val="{00000000-895D-41B3-87E3-849DCEC1D0D4}"/>
            </c:ext>
          </c:extLst>
        </c:ser>
        <c:dLbls>
          <c:dLblPos val="t"/>
          <c:showLegendKey val="0"/>
          <c:showVal val="1"/>
          <c:showCatName val="0"/>
          <c:showSerName val="0"/>
          <c:showPercent val="0"/>
          <c:showBubbleSize val="0"/>
        </c:dLbls>
        <c:smooth val="0"/>
        <c:axId val="2037786624"/>
        <c:axId val="2037788064"/>
      </c:lineChart>
      <c:catAx>
        <c:axId val="203778662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037788064"/>
        <c:crosses val="autoZero"/>
        <c:auto val="1"/>
        <c:lblAlgn val="ctr"/>
        <c:lblOffset val="100"/>
        <c:noMultiLvlLbl val="0"/>
      </c:catAx>
      <c:valAx>
        <c:axId val="2037788064"/>
        <c:scaling>
          <c:orientation val="minMax"/>
        </c:scaling>
        <c:delete val="1"/>
        <c:axPos val="l"/>
        <c:numFmt formatCode="&quot;£&quot;#,##0" sourceLinked="1"/>
        <c:majorTickMark val="none"/>
        <c:minorTickMark val="none"/>
        <c:tickLblPos val="nextTo"/>
        <c:crossAx val="2037786624"/>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no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14B.xlsx]Revenue Generated By Medication!PivotTable2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aseline="0"/>
              <a:t>Revenue Generated By Medication </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tx2">
              <a:lumMod val="75000"/>
              <a:lumOff val="25000"/>
            </a:schemeClr>
          </a:solidFill>
          <a:ln>
            <a:noFill/>
          </a:ln>
          <a:effectLst/>
        </c:spPr>
      </c:pivotFmt>
      <c:pivotFmt>
        <c:idx val="2"/>
        <c:spPr>
          <a:solidFill>
            <a:schemeClr val="tx2">
              <a:lumMod val="50000"/>
              <a:lumOff val="50000"/>
            </a:schemeClr>
          </a:solidFill>
          <a:ln>
            <a:noFill/>
          </a:ln>
          <a:effectLst/>
        </c:spPr>
      </c:pivotFmt>
      <c:pivotFmt>
        <c:idx val="3"/>
        <c:spPr>
          <a:solidFill>
            <a:schemeClr val="tx2">
              <a:lumMod val="25000"/>
              <a:lumOff val="75000"/>
            </a:schemeClr>
          </a:solidFill>
          <a:ln>
            <a:noFill/>
          </a:ln>
          <a:effectLst/>
        </c:spPr>
      </c:pivotFmt>
      <c:pivotFmt>
        <c:idx val="4"/>
        <c:spPr>
          <a:solidFill>
            <a:schemeClr val="accent4">
              <a:lumMod val="20000"/>
              <a:lumOff val="80000"/>
            </a:schemeClr>
          </a:solidFill>
          <a:ln>
            <a:noFill/>
          </a:ln>
          <a:effectLst/>
        </c:spPr>
      </c:pivotFmt>
      <c:pivotFmt>
        <c:idx val="5"/>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tx2">
              <a:lumMod val="75000"/>
              <a:lumOff val="25000"/>
            </a:schemeClr>
          </a:solidFill>
          <a:ln>
            <a:noFill/>
          </a:ln>
          <a:effectLst/>
        </c:spPr>
      </c:pivotFmt>
      <c:pivotFmt>
        <c:idx val="7"/>
        <c:spPr>
          <a:solidFill>
            <a:schemeClr val="tx2">
              <a:lumMod val="50000"/>
              <a:lumOff val="50000"/>
            </a:schemeClr>
          </a:solidFill>
          <a:ln>
            <a:noFill/>
          </a:ln>
          <a:effectLst/>
        </c:spPr>
      </c:pivotFmt>
      <c:pivotFmt>
        <c:idx val="8"/>
        <c:spPr>
          <a:solidFill>
            <a:schemeClr val="tx2">
              <a:lumMod val="25000"/>
              <a:lumOff val="75000"/>
            </a:schemeClr>
          </a:solidFill>
          <a:ln>
            <a:noFill/>
          </a:ln>
          <a:effectLst/>
        </c:spPr>
      </c:pivotFmt>
      <c:pivotFmt>
        <c:idx val="9"/>
        <c:spPr>
          <a:solidFill>
            <a:schemeClr val="accent4">
              <a:lumMod val="20000"/>
              <a:lumOff val="80000"/>
            </a:schemeClr>
          </a:solidFill>
          <a:ln>
            <a:noFill/>
          </a:ln>
          <a:effectLst/>
        </c:spPr>
      </c:pivotFmt>
      <c:pivotFmt>
        <c:idx val="10"/>
        <c:spPr>
          <a:solidFill>
            <a:schemeClr val="tx2">
              <a:lumMod val="75000"/>
              <a:lumOff val="25000"/>
            </a:schemeClr>
          </a:solidFill>
          <a:ln>
            <a:noFill/>
          </a:ln>
          <a:effectLst/>
        </c:spPr>
      </c:pivotFmt>
      <c:pivotFmt>
        <c:idx val="11"/>
        <c:spPr>
          <a:solidFill>
            <a:schemeClr val="tx2">
              <a:lumMod val="50000"/>
              <a:lumOff val="50000"/>
            </a:schemeClr>
          </a:solidFill>
          <a:ln>
            <a:noFill/>
          </a:ln>
          <a:effectLst/>
        </c:spPr>
      </c:pivotFmt>
      <c:pivotFmt>
        <c:idx val="12"/>
        <c:spPr>
          <a:solidFill>
            <a:schemeClr val="tx2">
              <a:lumMod val="25000"/>
              <a:lumOff val="75000"/>
            </a:schemeClr>
          </a:solidFill>
          <a:ln>
            <a:noFill/>
          </a:ln>
          <a:effectLst/>
        </c:spPr>
      </c:pivotFmt>
      <c:pivotFmt>
        <c:idx val="13"/>
        <c:spPr>
          <a:solidFill>
            <a:schemeClr val="tx2">
              <a:lumMod val="10000"/>
              <a:lumOff val="90000"/>
            </a:schemeClr>
          </a:solidFill>
          <a:ln>
            <a:noFill/>
          </a:ln>
          <a:effectLst/>
        </c:spPr>
      </c:pivotFmt>
      <c:pivotFmt>
        <c:idx val="1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tx2">
              <a:lumMod val="75000"/>
              <a:lumOff val="25000"/>
            </a:schemeClr>
          </a:solidFill>
          <a:ln>
            <a:noFill/>
          </a:ln>
          <a:effectLst/>
        </c:spPr>
      </c:pivotFmt>
      <c:pivotFmt>
        <c:idx val="17"/>
        <c:spPr>
          <a:solidFill>
            <a:schemeClr val="tx2">
              <a:lumMod val="50000"/>
              <a:lumOff val="50000"/>
            </a:schemeClr>
          </a:solidFill>
          <a:ln>
            <a:noFill/>
          </a:ln>
          <a:effectLst/>
        </c:spPr>
      </c:pivotFmt>
      <c:pivotFmt>
        <c:idx val="18"/>
        <c:spPr>
          <a:solidFill>
            <a:schemeClr val="tx2">
              <a:lumMod val="25000"/>
              <a:lumOff val="75000"/>
            </a:schemeClr>
          </a:solidFill>
          <a:ln>
            <a:noFill/>
          </a:ln>
          <a:effectLst/>
        </c:spPr>
      </c:pivotFmt>
      <c:pivotFmt>
        <c:idx val="19"/>
        <c:spPr>
          <a:solidFill>
            <a:schemeClr val="tx2">
              <a:lumMod val="10000"/>
              <a:lumOff val="90000"/>
            </a:schemeClr>
          </a:solidFill>
          <a:ln>
            <a:noFill/>
          </a:ln>
          <a:effectLst/>
        </c:spPr>
      </c:pivotFmt>
      <c:pivotFmt>
        <c:idx val="20"/>
        <c:spPr>
          <a:solidFill>
            <a:schemeClr val="tx2">
              <a:lumMod val="90000"/>
              <a:lumOff val="10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1"/>
        <c:spPr>
          <a:solidFill>
            <a:schemeClr val="tx2">
              <a:lumMod val="75000"/>
              <a:lumOff val="25000"/>
            </a:schemeClr>
          </a:solidFill>
          <a:ln>
            <a:noFill/>
          </a:ln>
          <a:effectLst/>
        </c:spPr>
      </c:pivotFmt>
      <c:pivotFmt>
        <c:idx val="22"/>
        <c:spPr>
          <a:solidFill>
            <a:schemeClr val="tx2">
              <a:lumMod val="50000"/>
              <a:lumOff val="50000"/>
            </a:schemeClr>
          </a:solidFill>
          <a:ln>
            <a:noFill/>
          </a:ln>
          <a:effectLst/>
        </c:spPr>
      </c:pivotFmt>
      <c:pivotFmt>
        <c:idx val="23"/>
        <c:spPr>
          <a:solidFill>
            <a:schemeClr val="tx2">
              <a:lumMod val="25000"/>
              <a:lumOff val="75000"/>
            </a:schemeClr>
          </a:solidFill>
          <a:ln>
            <a:noFill/>
          </a:ln>
          <a:effectLst/>
        </c:spPr>
      </c:pivotFmt>
      <c:pivotFmt>
        <c:idx val="24"/>
        <c:spPr>
          <a:solidFill>
            <a:schemeClr val="tx2">
              <a:lumMod val="10000"/>
              <a:lumOff val="90000"/>
            </a:schemeClr>
          </a:solidFill>
          <a:ln>
            <a:noFill/>
          </a:ln>
          <a:effectLst/>
        </c:spPr>
      </c:pivotFmt>
    </c:pivotFmts>
    <c:plotArea>
      <c:layout/>
      <c:barChart>
        <c:barDir val="col"/>
        <c:grouping val="clustered"/>
        <c:varyColors val="0"/>
        <c:ser>
          <c:idx val="0"/>
          <c:order val="0"/>
          <c:tx>
            <c:strRef>
              <c:f>'Revenue Generated By Medication'!$B$3</c:f>
              <c:strCache>
                <c:ptCount val="1"/>
                <c:pt idx="0">
                  <c:v>Total</c:v>
                </c:pt>
              </c:strCache>
            </c:strRef>
          </c:tx>
          <c:spPr>
            <a:solidFill>
              <a:schemeClr val="tx2">
                <a:lumMod val="90000"/>
                <a:lumOff val="10000"/>
              </a:schemeClr>
            </a:solidFill>
            <a:ln>
              <a:noFill/>
            </a:ln>
            <a:effectLst/>
          </c:spPr>
          <c:invertIfNegative val="0"/>
          <c:dPt>
            <c:idx val="1"/>
            <c:invertIfNegative val="0"/>
            <c:bubble3D val="0"/>
            <c:spPr>
              <a:solidFill>
                <a:schemeClr val="tx2">
                  <a:lumMod val="75000"/>
                  <a:lumOff val="25000"/>
                </a:schemeClr>
              </a:solidFill>
              <a:ln>
                <a:noFill/>
              </a:ln>
              <a:effectLst/>
            </c:spPr>
            <c:extLst>
              <c:ext xmlns:c16="http://schemas.microsoft.com/office/drawing/2014/chart" uri="{C3380CC4-5D6E-409C-BE32-E72D297353CC}">
                <c16:uniqueId val="{00000001-4548-4CFB-BC97-F82559AEA521}"/>
              </c:ext>
            </c:extLst>
          </c:dPt>
          <c:dPt>
            <c:idx val="2"/>
            <c:invertIfNegative val="0"/>
            <c:bubble3D val="0"/>
            <c:spPr>
              <a:solidFill>
                <a:schemeClr val="tx2">
                  <a:lumMod val="50000"/>
                  <a:lumOff val="50000"/>
                </a:schemeClr>
              </a:solidFill>
              <a:ln>
                <a:noFill/>
              </a:ln>
              <a:effectLst/>
            </c:spPr>
            <c:extLst>
              <c:ext xmlns:c16="http://schemas.microsoft.com/office/drawing/2014/chart" uri="{C3380CC4-5D6E-409C-BE32-E72D297353CC}">
                <c16:uniqueId val="{00000003-4548-4CFB-BC97-F82559AEA521}"/>
              </c:ext>
            </c:extLst>
          </c:dPt>
          <c:dPt>
            <c:idx val="3"/>
            <c:invertIfNegative val="0"/>
            <c:bubble3D val="0"/>
            <c:spPr>
              <a:solidFill>
                <a:schemeClr val="tx2">
                  <a:lumMod val="25000"/>
                  <a:lumOff val="75000"/>
                </a:schemeClr>
              </a:solidFill>
              <a:ln>
                <a:noFill/>
              </a:ln>
              <a:effectLst/>
            </c:spPr>
            <c:extLst>
              <c:ext xmlns:c16="http://schemas.microsoft.com/office/drawing/2014/chart" uri="{C3380CC4-5D6E-409C-BE32-E72D297353CC}">
                <c16:uniqueId val="{00000005-4548-4CFB-BC97-F82559AEA521}"/>
              </c:ext>
            </c:extLst>
          </c:dPt>
          <c:dPt>
            <c:idx val="4"/>
            <c:invertIfNegative val="0"/>
            <c:bubble3D val="0"/>
            <c:spPr>
              <a:solidFill>
                <a:schemeClr val="tx2">
                  <a:lumMod val="10000"/>
                  <a:lumOff val="90000"/>
                </a:schemeClr>
              </a:solidFill>
              <a:ln>
                <a:noFill/>
              </a:ln>
              <a:effectLst/>
            </c:spPr>
            <c:extLst>
              <c:ext xmlns:c16="http://schemas.microsoft.com/office/drawing/2014/chart" uri="{C3380CC4-5D6E-409C-BE32-E72D297353CC}">
                <c16:uniqueId val="{00000007-4548-4CFB-BC97-F82559AEA521}"/>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'Revenue Generated By Medication'!$A$4:$A$9</c:f>
              <c:strCache>
                <c:ptCount val="5"/>
                <c:pt idx="0">
                  <c:v>Ibuprofen</c:v>
                </c:pt>
                <c:pt idx="1">
                  <c:v>Aspirin</c:v>
                </c:pt>
                <c:pt idx="2">
                  <c:v>Paracetamol</c:v>
                </c:pt>
                <c:pt idx="3">
                  <c:v>Lipitor</c:v>
                </c:pt>
                <c:pt idx="4">
                  <c:v>Penicillin</c:v>
                </c:pt>
              </c:strCache>
            </c:strRef>
          </c:cat>
          <c:val>
            <c:numRef>
              <c:f>'Revenue Generated By Medication'!$B$4:$B$9</c:f>
              <c:numCache>
                <c:formatCode>"£"#,##0</c:formatCode>
                <c:ptCount val="5"/>
                <c:pt idx="0">
                  <c:v>286359751.17107236</c:v>
                </c:pt>
                <c:pt idx="1">
                  <c:v>283942665.78941619</c:v>
                </c:pt>
                <c:pt idx="2">
                  <c:v>282681048.98310006</c:v>
                </c:pt>
                <c:pt idx="3">
                  <c:v>282315103.36530942</c:v>
                </c:pt>
                <c:pt idx="4">
                  <c:v>282133474.08635676</c:v>
                </c:pt>
              </c:numCache>
            </c:numRef>
          </c:val>
          <c:extLst>
            <c:ext xmlns:c16="http://schemas.microsoft.com/office/drawing/2014/chart" uri="{C3380CC4-5D6E-409C-BE32-E72D297353CC}">
              <c16:uniqueId val="{00000008-4548-4CFB-BC97-F82559AEA521}"/>
            </c:ext>
          </c:extLst>
        </c:ser>
        <c:dLbls>
          <c:dLblPos val="outEnd"/>
          <c:showLegendKey val="0"/>
          <c:showVal val="1"/>
          <c:showCatName val="0"/>
          <c:showSerName val="0"/>
          <c:showPercent val="0"/>
          <c:showBubbleSize val="0"/>
        </c:dLbls>
        <c:gapWidth val="80"/>
        <c:axId val="1662738607"/>
        <c:axId val="1290252063"/>
      </c:barChart>
      <c:catAx>
        <c:axId val="1662738607"/>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90252063"/>
        <c:crosses val="autoZero"/>
        <c:auto val="1"/>
        <c:lblAlgn val="ctr"/>
        <c:lblOffset val="100"/>
        <c:noMultiLvlLbl val="0"/>
      </c:catAx>
      <c:valAx>
        <c:axId val="1290252063"/>
        <c:scaling>
          <c:orientation val="minMax"/>
        </c:scaling>
        <c:delete val="1"/>
        <c:axPos val="l"/>
        <c:numFmt formatCode="&quot;£&quot;#,##0" sourceLinked="1"/>
        <c:majorTickMark val="out"/>
        <c:minorTickMark val="none"/>
        <c:tickLblPos val="nextTo"/>
        <c:crossAx val="1662738607"/>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14B.xlsx]Medication Prescribed By Age!PivotTable8</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Medication</a:t>
            </a:r>
            <a:r>
              <a:rPr lang="en-US" baseline="0"/>
              <a:t> Prescribed By Age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tx2">
              <a:lumMod val="90000"/>
              <a:lumOff val="1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tx2">
              <a:lumMod val="75000"/>
              <a:lumOff val="25000"/>
            </a:schemeClr>
          </a:solidFill>
          <a:ln w="19050">
            <a:solidFill>
              <a:schemeClr val="lt1"/>
            </a:solidFill>
          </a:ln>
          <a:effectLst/>
        </c:spPr>
        <c:dLbl>
          <c:idx val="0"/>
          <c:layout>
            <c:manualLayout>
              <c:x val="0.11666666666666667"/>
              <c:y val="8.796296296296304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tx2">
              <a:lumMod val="90000"/>
              <a:lumOff val="10000"/>
            </a:schemeClr>
          </a:solidFill>
          <a:ln w="19050">
            <a:solidFill>
              <a:schemeClr val="lt1"/>
            </a:solidFill>
          </a:ln>
          <a:effectLst/>
        </c:spPr>
        <c:dLbl>
          <c:idx val="0"/>
          <c:layout>
            <c:manualLayout>
              <c:x val="9.166666666666666E-2"/>
              <c:y val="-5.5555555555555552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3"/>
        <c:spPr>
          <a:solidFill>
            <a:schemeClr val="tx2">
              <a:lumMod val="25000"/>
              <a:lumOff val="75000"/>
            </a:schemeClr>
          </a:solidFill>
          <a:ln w="19050">
            <a:solidFill>
              <a:schemeClr val="lt1"/>
            </a:solidFill>
          </a:ln>
          <a:effectLst/>
        </c:spPr>
        <c:dLbl>
          <c:idx val="0"/>
          <c:layout>
            <c:manualLayout>
              <c:x val="-8.0555555555555561E-2"/>
              <c:y val="5.555555555555546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4"/>
        <c:spPr>
          <a:solidFill>
            <a:schemeClr val="tx2">
              <a:lumMod val="10000"/>
              <a:lumOff val="90000"/>
            </a:schemeClr>
          </a:solidFill>
          <a:ln w="19050">
            <a:solidFill>
              <a:schemeClr val="lt1"/>
            </a:solidFill>
          </a:ln>
          <a:effectLst/>
        </c:spPr>
        <c:dLbl>
          <c:idx val="0"/>
          <c:layout>
            <c:manualLayout>
              <c:x val="-8.888888888888892E-2"/>
              <c:y val="-6.944444444444444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5"/>
        <c:spPr>
          <a:solidFill>
            <a:schemeClr val="tx2">
              <a:lumMod val="50000"/>
              <a:lumOff val="50000"/>
            </a:schemeClr>
          </a:solidFill>
          <a:ln w="19050">
            <a:solidFill>
              <a:schemeClr val="lt1"/>
            </a:solidFill>
          </a:ln>
          <a:effectLst/>
        </c:spPr>
        <c:dLbl>
          <c:idx val="0"/>
          <c:layout>
            <c:manualLayout>
              <c:x val="7.7777777777777779E-2"/>
              <c:y val="8.796296296296296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6"/>
        <c:spPr>
          <a:solidFill>
            <a:schemeClr val="tx2">
              <a:lumMod val="90000"/>
              <a:lumOff val="1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7"/>
        <c:spPr>
          <a:solidFill>
            <a:schemeClr val="tx2">
              <a:lumMod val="90000"/>
              <a:lumOff val="10000"/>
            </a:schemeClr>
          </a:solidFill>
          <a:ln w="19050">
            <a:solidFill>
              <a:schemeClr val="lt1"/>
            </a:solidFill>
          </a:ln>
          <a:effectLst/>
        </c:spPr>
        <c:dLbl>
          <c:idx val="0"/>
          <c:layout>
            <c:manualLayout>
              <c:x val="9.166666666666666E-2"/>
              <c:y val="-5.5555555555555552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tx2">
              <a:lumMod val="75000"/>
              <a:lumOff val="25000"/>
            </a:schemeClr>
          </a:solidFill>
          <a:ln w="19050">
            <a:solidFill>
              <a:schemeClr val="lt1"/>
            </a:solidFill>
          </a:ln>
          <a:effectLst/>
        </c:spPr>
        <c:dLbl>
          <c:idx val="0"/>
          <c:layout>
            <c:manualLayout>
              <c:x val="0.11666666666666667"/>
              <c:y val="8.796296296296304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9"/>
        <c:spPr>
          <a:solidFill>
            <a:schemeClr val="tx2">
              <a:lumMod val="50000"/>
              <a:lumOff val="50000"/>
            </a:schemeClr>
          </a:solidFill>
          <a:ln w="19050">
            <a:solidFill>
              <a:schemeClr val="lt1"/>
            </a:solidFill>
          </a:ln>
          <a:effectLst/>
        </c:spPr>
        <c:dLbl>
          <c:idx val="0"/>
          <c:layout>
            <c:manualLayout>
              <c:x val="7.7777777777777779E-2"/>
              <c:y val="8.796296296296296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0"/>
        <c:spPr>
          <a:solidFill>
            <a:schemeClr val="tx2">
              <a:lumMod val="25000"/>
              <a:lumOff val="75000"/>
            </a:schemeClr>
          </a:solidFill>
          <a:ln w="19050">
            <a:solidFill>
              <a:schemeClr val="lt1"/>
            </a:solidFill>
          </a:ln>
          <a:effectLst/>
        </c:spPr>
        <c:dLbl>
          <c:idx val="0"/>
          <c:layout>
            <c:manualLayout>
              <c:x val="-8.0555555555555561E-2"/>
              <c:y val="5.555555555555546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1"/>
        <c:spPr>
          <a:solidFill>
            <a:schemeClr val="tx2">
              <a:lumMod val="10000"/>
              <a:lumOff val="90000"/>
            </a:schemeClr>
          </a:solidFill>
          <a:ln w="19050">
            <a:solidFill>
              <a:schemeClr val="lt1"/>
            </a:solidFill>
          </a:ln>
          <a:effectLst/>
        </c:spPr>
        <c:dLbl>
          <c:idx val="0"/>
          <c:layout>
            <c:manualLayout>
              <c:x val="-8.888888888888892E-2"/>
              <c:y val="-6.944444444444444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2"/>
        <c:spPr>
          <a:solidFill>
            <a:schemeClr val="tx2">
              <a:lumMod val="90000"/>
              <a:lumOff val="10000"/>
            </a:schemeClr>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3"/>
        <c:spPr>
          <a:solidFill>
            <a:schemeClr val="tx2">
              <a:lumMod val="90000"/>
              <a:lumOff val="10000"/>
            </a:schemeClr>
          </a:solidFill>
          <a:ln w="19050">
            <a:solidFill>
              <a:schemeClr val="lt1"/>
            </a:solidFill>
          </a:ln>
          <a:effectLst/>
        </c:spPr>
        <c:dLbl>
          <c:idx val="0"/>
          <c:layout>
            <c:manualLayout>
              <c:x val="9.166666666666666E-2"/>
              <c:y val="-5.5555555555555552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4"/>
        <c:spPr>
          <a:solidFill>
            <a:schemeClr val="tx2">
              <a:lumMod val="75000"/>
              <a:lumOff val="25000"/>
            </a:schemeClr>
          </a:solidFill>
          <a:ln w="19050">
            <a:solidFill>
              <a:schemeClr val="lt1"/>
            </a:solidFill>
          </a:ln>
          <a:effectLst/>
        </c:spPr>
        <c:dLbl>
          <c:idx val="0"/>
          <c:layout>
            <c:manualLayout>
              <c:x val="0.11666666666666667"/>
              <c:y val="8.796296296296304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tx2">
              <a:lumMod val="50000"/>
              <a:lumOff val="50000"/>
            </a:schemeClr>
          </a:solidFill>
          <a:ln w="19050">
            <a:solidFill>
              <a:schemeClr val="lt1"/>
            </a:solidFill>
          </a:ln>
          <a:effectLst/>
        </c:spPr>
        <c:dLbl>
          <c:idx val="0"/>
          <c:layout>
            <c:manualLayout>
              <c:x val="7.7777777777777779E-2"/>
              <c:y val="8.7962962962962965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6"/>
        <c:spPr>
          <a:solidFill>
            <a:schemeClr val="tx2">
              <a:lumMod val="25000"/>
              <a:lumOff val="75000"/>
            </a:schemeClr>
          </a:solidFill>
          <a:ln w="19050">
            <a:solidFill>
              <a:schemeClr val="lt1"/>
            </a:solidFill>
          </a:ln>
          <a:effectLst/>
        </c:spPr>
        <c:dLbl>
          <c:idx val="0"/>
          <c:layout>
            <c:manualLayout>
              <c:x val="-8.0555555555555561E-2"/>
              <c:y val="5.5555555555555469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
        <c:idx val="17"/>
        <c:spPr>
          <a:solidFill>
            <a:schemeClr val="tx2">
              <a:lumMod val="10000"/>
              <a:lumOff val="90000"/>
            </a:schemeClr>
          </a:solidFill>
          <a:ln w="19050">
            <a:solidFill>
              <a:schemeClr val="lt1"/>
            </a:solidFill>
          </a:ln>
          <a:effectLst/>
        </c:spPr>
        <c:dLbl>
          <c:idx val="0"/>
          <c:layout>
            <c:manualLayout>
              <c:x val="-8.888888888888892E-2"/>
              <c:y val="-6.9444444444444448E-2"/>
            </c:manualLayout>
          </c:layout>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extLst>
            <c:ext xmlns:c15="http://schemas.microsoft.com/office/drawing/2012/chart" uri="{CE6537A1-D6FC-4f65-9D91-7224C49458BB}"/>
          </c:extLst>
        </c:dLbl>
      </c:pivotFmt>
    </c:pivotFmts>
    <c:plotArea>
      <c:layout/>
      <c:doughnutChart>
        <c:varyColors val="1"/>
        <c:ser>
          <c:idx val="0"/>
          <c:order val="0"/>
          <c:tx>
            <c:strRef>
              <c:f>'Medication Prescribed By Age'!$B$3</c:f>
              <c:strCache>
                <c:ptCount val="1"/>
                <c:pt idx="0">
                  <c:v>Total</c:v>
                </c:pt>
              </c:strCache>
            </c:strRef>
          </c:tx>
          <c:spPr>
            <a:solidFill>
              <a:schemeClr val="tx2">
                <a:lumMod val="90000"/>
                <a:lumOff val="10000"/>
              </a:schemeClr>
            </a:solidFill>
          </c:spPr>
          <c:dPt>
            <c:idx val="0"/>
            <c:bubble3D val="0"/>
            <c:spPr>
              <a:solidFill>
                <a:schemeClr val="tx2">
                  <a:lumMod val="90000"/>
                  <a:lumOff val="10000"/>
                </a:schemeClr>
              </a:solidFill>
              <a:ln w="19050">
                <a:solidFill>
                  <a:schemeClr val="lt1"/>
                </a:solidFill>
              </a:ln>
              <a:effectLst/>
            </c:spPr>
            <c:extLst>
              <c:ext xmlns:c16="http://schemas.microsoft.com/office/drawing/2014/chart" uri="{C3380CC4-5D6E-409C-BE32-E72D297353CC}">
                <c16:uniqueId val="{00000001-33AF-41D0-BD8D-61BF48202708}"/>
              </c:ext>
            </c:extLst>
          </c:dPt>
          <c:dPt>
            <c:idx val="1"/>
            <c:bubble3D val="0"/>
            <c:spPr>
              <a:solidFill>
                <a:schemeClr val="tx2">
                  <a:lumMod val="75000"/>
                  <a:lumOff val="25000"/>
                </a:schemeClr>
              </a:solidFill>
              <a:ln w="19050">
                <a:solidFill>
                  <a:schemeClr val="lt1"/>
                </a:solidFill>
              </a:ln>
              <a:effectLst/>
            </c:spPr>
            <c:extLst>
              <c:ext xmlns:c16="http://schemas.microsoft.com/office/drawing/2014/chart" uri="{C3380CC4-5D6E-409C-BE32-E72D297353CC}">
                <c16:uniqueId val="{00000003-33AF-41D0-BD8D-61BF48202708}"/>
              </c:ext>
            </c:extLst>
          </c:dPt>
          <c:dPt>
            <c:idx val="2"/>
            <c:bubble3D val="0"/>
            <c:spPr>
              <a:solidFill>
                <a:schemeClr val="tx2">
                  <a:lumMod val="50000"/>
                  <a:lumOff val="50000"/>
                </a:schemeClr>
              </a:solidFill>
              <a:ln w="19050">
                <a:solidFill>
                  <a:schemeClr val="lt1"/>
                </a:solidFill>
              </a:ln>
              <a:effectLst/>
            </c:spPr>
            <c:extLst>
              <c:ext xmlns:c16="http://schemas.microsoft.com/office/drawing/2014/chart" uri="{C3380CC4-5D6E-409C-BE32-E72D297353CC}">
                <c16:uniqueId val="{00000005-33AF-41D0-BD8D-61BF48202708}"/>
              </c:ext>
            </c:extLst>
          </c:dPt>
          <c:dPt>
            <c:idx val="3"/>
            <c:bubble3D val="0"/>
            <c:spPr>
              <a:solidFill>
                <a:schemeClr val="tx2">
                  <a:lumMod val="25000"/>
                  <a:lumOff val="75000"/>
                </a:schemeClr>
              </a:solidFill>
              <a:ln w="19050">
                <a:solidFill>
                  <a:schemeClr val="lt1"/>
                </a:solidFill>
              </a:ln>
              <a:effectLst/>
            </c:spPr>
            <c:extLst>
              <c:ext xmlns:c16="http://schemas.microsoft.com/office/drawing/2014/chart" uri="{C3380CC4-5D6E-409C-BE32-E72D297353CC}">
                <c16:uniqueId val="{00000007-33AF-41D0-BD8D-61BF48202708}"/>
              </c:ext>
            </c:extLst>
          </c:dPt>
          <c:dPt>
            <c:idx val="4"/>
            <c:bubble3D val="0"/>
            <c:spPr>
              <a:solidFill>
                <a:schemeClr val="tx2">
                  <a:lumMod val="10000"/>
                  <a:lumOff val="90000"/>
                </a:schemeClr>
              </a:solidFill>
              <a:ln w="19050">
                <a:solidFill>
                  <a:schemeClr val="lt1"/>
                </a:solidFill>
              </a:ln>
              <a:effectLst/>
            </c:spPr>
            <c:extLst>
              <c:ext xmlns:c16="http://schemas.microsoft.com/office/drawing/2014/chart" uri="{C3380CC4-5D6E-409C-BE32-E72D297353CC}">
                <c16:uniqueId val="{00000009-33AF-41D0-BD8D-61BF48202708}"/>
              </c:ext>
            </c:extLst>
          </c:dPt>
          <c:dLbls>
            <c:dLbl>
              <c:idx val="0"/>
              <c:layout>
                <c:manualLayout>
                  <c:x val="9.166666666666666E-2"/>
                  <c:y val="-5.5555555555555552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33AF-41D0-BD8D-61BF48202708}"/>
                </c:ext>
              </c:extLst>
            </c:dLbl>
            <c:dLbl>
              <c:idx val="1"/>
              <c:layout>
                <c:manualLayout>
                  <c:x val="0.11666666666666667"/>
                  <c:y val="8.79629629629630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33AF-41D0-BD8D-61BF48202708}"/>
                </c:ext>
              </c:extLst>
            </c:dLbl>
            <c:dLbl>
              <c:idx val="2"/>
              <c:layout>
                <c:manualLayout>
                  <c:x val="7.7777777777777779E-2"/>
                  <c:y val="8.7962962962962965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33AF-41D0-BD8D-61BF48202708}"/>
                </c:ext>
              </c:extLst>
            </c:dLbl>
            <c:dLbl>
              <c:idx val="3"/>
              <c:layout>
                <c:manualLayout>
                  <c:x val="-8.0555555555555561E-2"/>
                  <c:y val="5.5555555555555469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33AF-41D0-BD8D-61BF48202708}"/>
                </c:ext>
              </c:extLst>
            </c:dLbl>
            <c:dLbl>
              <c:idx val="4"/>
              <c:layout>
                <c:manualLayout>
                  <c:x val="-8.888888888888892E-2"/>
                  <c:y val="-6.9444444444444448E-2"/>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9-33AF-41D0-BD8D-61BF48202708}"/>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'Medication Prescribed By Age'!$A$4:$A$9</c:f>
              <c:strCache>
                <c:ptCount val="5"/>
                <c:pt idx="0">
                  <c:v>Lipitor</c:v>
                </c:pt>
                <c:pt idx="1">
                  <c:v>Ibuprofen</c:v>
                </c:pt>
                <c:pt idx="2">
                  <c:v>Aspirin</c:v>
                </c:pt>
                <c:pt idx="3">
                  <c:v>Paracetamol</c:v>
                </c:pt>
                <c:pt idx="4">
                  <c:v>Penicillin</c:v>
                </c:pt>
              </c:strCache>
            </c:strRef>
          </c:cat>
          <c:val>
            <c:numRef>
              <c:f>'Medication Prescribed By Age'!$B$4:$B$9</c:f>
              <c:numCache>
                <c:formatCode>General</c:formatCode>
                <c:ptCount val="5"/>
                <c:pt idx="0">
                  <c:v>11140</c:v>
                </c:pt>
                <c:pt idx="1">
                  <c:v>11127</c:v>
                </c:pt>
                <c:pt idx="2">
                  <c:v>11094</c:v>
                </c:pt>
                <c:pt idx="3">
                  <c:v>11071</c:v>
                </c:pt>
                <c:pt idx="4">
                  <c:v>11068</c:v>
                </c:pt>
              </c:numCache>
            </c:numRef>
          </c:val>
          <c:extLst>
            <c:ext xmlns:c16="http://schemas.microsoft.com/office/drawing/2014/chart" uri="{C3380CC4-5D6E-409C-BE32-E72D297353CC}">
              <c16:uniqueId val="{0000000A-33AF-41D0-BD8D-61BF48202708}"/>
            </c:ext>
          </c:extLst>
        </c:ser>
        <c:dLbls>
          <c:showLegendKey val="0"/>
          <c:showVal val="1"/>
          <c:showCatName val="0"/>
          <c:showSerName val="0"/>
          <c:showPercent val="0"/>
          <c:showBubbleSize val="0"/>
          <c:showLeaderLines val="1"/>
        </c:dLbls>
        <c:firstSliceAng val="0"/>
        <c:holeSize val="75"/>
      </c:doughnut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GB"/>
  <c:roundedCorners val="1"/>
  <mc:AlternateContent xmlns:mc="http://schemas.openxmlformats.org/markup-compatibility/2006">
    <mc:Choice xmlns:c14="http://schemas.microsoft.com/office/drawing/2007/8/2/chart" Requires="c14">
      <c14:style val="102"/>
    </mc:Choice>
    <mc:Fallback>
      <c:style val="2"/>
    </mc:Fallback>
  </mc:AlternateContent>
  <c:pivotSource>
    <c:name>[Lesson 14 Task 14B.xlsx]Medical Condition By Age!PivotTable9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Count</a:t>
            </a:r>
            <a:r>
              <a:rPr lang="en-US" baseline="0"/>
              <a:t> of Medical Condition By Age</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tx2">
              <a:lumMod val="75000"/>
              <a:lumOff val="2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tx2">
              <a:lumMod val="90000"/>
              <a:lumOff val="10000"/>
            </a:schemeClr>
          </a:solidFill>
          <a:ln>
            <a:noFill/>
          </a:ln>
          <a:effectLst/>
        </c:spPr>
      </c:pivotFmt>
      <c:pivotFmt>
        <c:idx val="2"/>
        <c:spPr>
          <a:solidFill>
            <a:schemeClr val="tx2">
              <a:lumMod val="50000"/>
              <a:lumOff val="50000"/>
            </a:schemeClr>
          </a:solidFill>
          <a:ln>
            <a:noFill/>
          </a:ln>
          <a:effectLst/>
        </c:spPr>
      </c:pivotFmt>
      <c:pivotFmt>
        <c:idx val="3"/>
        <c:spPr>
          <a:solidFill>
            <a:schemeClr val="tx2">
              <a:lumMod val="50000"/>
              <a:lumOff val="50000"/>
            </a:schemeClr>
          </a:solidFill>
          <a:ln>
            <a:noFill/>
          </a:ln>
          <a:effectLst/>
        </c:spPr>
      </c:pivotFmt>
      <c:pivotFmt>
        <c:idx val="4"/>
        <c:spPr>
          <a:solidFill>
            <a:schemeClr val="tx2">
              <a:lumMod val="25000"/>
              <a:lumOff val="75000"/>
            </a:schemeClr>
          </a:solidFill>
          <a:ln>
            <a:noFill/>
          </a:ln>
          <a:effectLst/>
        </c:spPr>
      </c:pivotFmt>
      <c:pivotFmt>
        <c:idx val="5"/>
        <c:spPr>
          <a:solidFill>
            <a:schemeClr val="tx2">
              <a:lumMod val="10000"/>
              <a:lumOff val="90000"/>
            </a:schemeClr>
          </a:solidFill>
          <a:ln>
            <a:noFill/>
          </a:ln>
          <a:effectLst/>
        </c:spPr>
      </c:pivotFmt>
      <c:pivotFmt>
        <c:idx val="6"/>
        <c:spPr>
          <a:solidFill>
            <a:schemeClr val="tx2">
              <a:lumMod val="90000"/>
              <a:lumOff val="10000"/>
            </a:schemeClr>
          </a:solidFill>
          <a:ln>
            <a:noFill/>
          </a:ln>
          <a:effectLst/>
        </c:spPr>
      </c:pivotFmt>
      <c:pivotFmt>
        <c:idx val="7"/>
        <c:spPr>
          <a:solidFill>
            <a:schemeClr val="tx2">
              <a:lumMod val="75000"/>
              <a:lumOff val="2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8"/>
        <c:spPr>
          <a:solidFill>
            <a:schemeClr val="tx2">
              <a:lumMod val="90000"/>
              <a:lumOff val="10000"/>
            </a:schemeClr>
          </a:solidFill>
          <a:ln>
            <a:noFill/>
          </a:ln>
          <a:effectLst/>
        </c:spPr>
      </c:pivotFmt>
      <c:pivotFmt>
        <c:idx val="9"/>
        <c:spPr>
          <a:solidFill>
            <a:schemeClr val="tx2">
              <a:lumMod val="90000"/>
              <a:lumOff val="10000"/>
            </a:schemeClr>
          </a:solidFill>
          <a:ln>
            <a:noFill/>
          </a:ln>
          <a:effectLst/>
        </c:spPr>
      </c:pivotFmt>
      <c:pivotFmt>
        <c:idx val="10"/>
        <c:spPr>
          <a:solidFill>
            <a:schemeClr val="tx2">
              <a:lumMod val="50000"/>
              <a:lumOff val="50000"/>
            </a:schemeClr>
          </a:solidFill>
          <a:ln>
            <a:noFill/>
          </a:ln>
          <a:effectLst/>
        </c:spPr>
      </c:pivotFmt>
      <c:pivotFmt>
        <c:idx val="11"/>
        <c:spPr>
          <a:solidFill>
            <a:schemeClr val="tx2">
              <a:lumMod val="50000"/>
              <a:lumOff val="50000"/>
            </a:schemeClr>
          </a:solidFill>
          <a:ln>
            <a:noFill/>
          </a:ln>
          <a:effectLst/>
        </c:spPr>
      </c:pivotFmt>
      <c:pivotFmt>
        <c:idx val="12"/>
        <c:spPr>
          <a:solidFill>
            <a:schemeClr val="tx2">
              <a:lumMod val="25000"/>
              <a:lumOff val="75000"/>
            </a:schemeClr>
          </a:solidFill>
          <a:ln>
            <a:noFill/>
          </a:ln>
          <a:effectLst/>
        </c:spPr>
      </c:pivotFmt>
      <c:pivotFmt>
        <c:idx val="13"/>
        <c:spPr>
          <a:solidFill>
            <a:schemeClr val="tx2">
              <a:lumMod val="10000"/>
              <a:lumOff val="90000"/>
            </a:schemeClr>
          </a:solidFill>
          <a:ln>
            <a:noFill/>
          </a:ln>
          <a:effectLst/>
        </c:spPr>
      </c:pivotFmt>
      <c:pivotFmt>
        <c:idx val="14"/>
        <c:spPr>
          <a:solidFill>
            <a:schemeClr val="tx2">
              <a:lumMod val="75000"/>
              <a:lumOff val="25000"/>
            </a:schemeClr>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5"/>
        <c:spPr>
          <a:solidFill>
            <a:schemeClr val="tx2">
              <a:lumMod val="90000"/>
              <a:lumOff val="10000"/>
            </a:schemeClr>
          </a:solidFill>
          <a:ln>
            <a:noFill/>
          </a:ln>
          <a:effectLst/>
        </c:spPr>
      </c:pivotFmt>
      <c:pivotFmt>
        <c:idx val="16"/>
        <c:spPr>
          <a:solidFill>
            <a:schemeClr val="tx2">
              <a:lumMod val="90000"/>
              <a:lumOff val="10000"/>
            </a:schemeClr>
          </a:solidFill>
          <a:ln>
            <a:noFill/>
          </a:ln>
          <a:effectLst/>
        </c:spPr>
      </c:pivotFmt>
      <c:pivotFmt>
        <c:idx val="17"/>
        <c:spPr>
          <a:solidFill>
            <a:schemeClr val="tx2">
              <a:lumMod val="50000"/>
              <a:lumOff val="50000"/>
            </a:schemeClr>
          </a:solidFill>
          <a:ln>
            <a:noFill/>
          </a:ln>
          <a:effectLst/>
        </c:spPr>
      </c:pivotFmt>
      <c:pivotFmt>
        <c:idx val="18"/>
        <c:spPr>
          <a:solidFill>
            <a:schemeClr val="tx2">
              <a:lumMod val="50000"/>
              <a:lumOff val="50000"/>
            </a:schemeClr>
          </a:solidFill>
          <a:ln>
            <a:noFill/>
          </a:ln>
          <a:effectLst/>
        </c:spPr>
      </c:pivotFmt>
      <c:pivotFmt>
        <c:idx val="19"/>
        <c:spPr>
          <a:solidFill>
            <a:schemeClr val="tx2">
              <a:lumMod val="25000"/>
              <a:lumOff val="75000"/>
            </a:schemeClr>
          </a:solidFill>
          <a:ln>
            <a:noFill/>
          </a:ln>
          <a:effectLst/>
        </c:spPr>
      </c:pivotFmt>
      <c:pivotFmt>
        <c:idx val="20"/>
        <c:spPr>
          <a:solidFill>
            <a:schemeClr val="tx2">
              <a:lumMod val="10000"/>
              <a:lumOff val="90000"/>
            </a:schemeClr>
          </a:solidFill>
          <a:ln>
            <a:noFill/>
          </a:ln>
          <a:effectLst/>
        </c:spPr>
      </c:pivotFmt>
    </c:pivotFmts>
    <c:plotArea>
      <c:layout/>
      <c:barChart>
        <c:barDir val="col"/>
        <c:grouping val="clustered"/>
        <c:varyColors val="0"/>
        <c:ser>
          <c:idx val="0"/>
          <c:order val="0"/>
          <c:tx>
            <c:strRef>
              <c:f>'Medical Condition By Age'!$B$3</c:f>
              <c:strCache>
                <c:ptCount val="1"/>
                <c:pt idx="0">
                  <c:v>Total</c:v>
                </c:pt>
              </c:strCache>
            </c:strRef>
          </c:tx>
          <c:spPr>
            <a:solidFill>
              <a:schemeClr val="tx2">
                <a:lumMod val="75000"/>
                <a:lumOff val="25000"/>
              </a:schemeClr>
            </a:solidFill>
            <a:ln>
              <a:noFill/>
            </a:ln>
            <a:effectLst/>
          </c:spPr>
          <c:invertIfNegative val="0"/>
          <c:dPt>
            <c:idx val="0"/>
            <c:invertIfNegative val="0"/>
            <c:bubble3D val="0"/>
            <c:spPr>
              <a:solidFill>
                <a:schemeClr val="tx2">
                  <a:lumMod val="90000"/>
                  <a:lumOff val="10000"/>
                </a:schemeClr>
              </a:solidFill>
              <a:ln>
                <a:noFill/>
              </a:ln>
              <a:effectLst/>
            </c:spPr>
            <c:extLst>
              <c:ext xmlns:c16="http://schemas.microsoft.com/office/drawing/2014/chart" uri="{C3380CC4-5D6E-409C-BE32-E72D297353CC}">
                <c16:uniqueId val="{00000001-75F5-4A20-ADE5-C7C75DC82F6C}"/>
              </c:ext>
            </c:extLst>
          </c:dPt>
          <c:dPt>
            <c:idx val="1"/>
            <c:invertIfNegative val="0"/>
            <c:bubble3D val="0"/>
            <c:spPr>
              <a:solidFill>
                <a:schemeClr val="tx2">
                  <a:lumMod val="90000"/>
                  <a:lumOff val="10000"/>
                </a:schemeClr>
              </a:solidFill>
              <a:ln>
                <a:noFill/>
              </a:ln>
              <a:effectLst/>
            </c:spPr>
            <c:extLst>
              <c:ext xmlns:c16="http://schemas.microsoft.com/office/drawing/2014/chart" uri="{C3380CC4-5D6E-409C-BE32-E72D297353CC}">
                <c16:uniqueId val="{00000003-75F5-4A20-ADE5-C7C75DC82F6C}"/>
              </c:ext>
            </c:extLst>
          </c:dPt>
          <c:dPt>
            <c:idx val="2"/>
            <c:invertIfNegative val="0"/>
            <c:bubble3D val="0"/>
            <c:spPr>
              <a:solidFill>
                <a:schemeClr val="tx2">
                  <a:lumMod val="50000"/>
                  <a:lumOff val="50000"/>
                </a:schemeClr>
              </a:solidFill>
              <a:ln>
                <a:noFill/>
              </a:ln>
              <a:effectLst/>
            </c:spPr>
            <c:extLst>
              <c:ext xmlns:c16="http://schemas.microsoft.com/office/drawing/2014/chart" uri="{C3380CC4-5D6E-409C-BE32-E72D297353CC}">
                <c16:uniqueId val="{00000005-75F5-4A20-ADE5-C7C75DC82F6C}"/>
              </c:ext>
            </c:extLst>
          </c:dPt>
          <c:dPt>
            <c:idx val="3"/>
            <c:invertIfNegative val="0"/>
            <c:bubble3D val="0"/>
            <c:spPr>
              <a:solidFill>
                <a:schemeClr val="tx2">
                  <a:lumMod val="50000"/>
                  <a:lumOff val="50000"/>
                </a:schemeClr>
              </a:solidFill>
              <a:ln>
                <a:noFill/>
              </a:ln>
              <a:effectLst/>
            </c:spPr>
            <c:extLst>
              <c:ext xmlns:c16="http://schemas.microsoft.com/office/drawing/2014/chart" uri="{C3380CC4-5D6E-409C-BE32-E72D297353CC}">
                <c16:uniqueId val="{00000007-75F5-4A20-ADE5-C7C75DC82F6C}"/>
              </c:ext>
            </c:extLst>
          </c:dPt>
          <c:dPt>
            <c:idx val="4"/>
            <c:invertIfNegative val="0"/>
            <c:bubble3D val="0"/>
            <c:spPr>
              <a:solidFill>
                <a:schemeClr val="tx2">
                  <a:lumMod val="25000"/>
                  <a:lumOff val="75000"/>
                </a:schemeClr>
              </a:solidFill>
              <a:ln>
                <a:noFill/>
              </a:ln>
              <a:effectLst/>
            </c:spPr>
            <c:extLst>
              <c:ext xmlns:c16="http://schemas.microsoft.com/office/drawing/2014/chart" uri="{C3380CC4-5D6E-409C-BE32-E72D297353CC}">
                <c16:uniqueId val="{00000009-75F5-4A20-ADE5-C7C75DC82F6C}"/>
              </c:ext>
            </c:extLst>
          </c:dPt>
          <c:dPt>
            <c:idx val="5"/>
            <c:invertIfNegative val="0"/>
            <c:bubble3D val="0"/>
            <c:spPr>
              <a:solidFill>
                <a:schemeClr val="tx2">
                  <a:lumMod val="10000"/>
                  <a:lumOff val="90000"/>
                </a:schemeClr>
              </a:solidFill>
              <a:ln>
                <a:noFill/>
              </a:ln>
              <a:effectLst/>
            </c:spPr>
            <c:extLst>
              <c:ext xmlns:c16="http://schemas.microsoft.com/office/drawing/2014/chart" uri="{C3380CC4-5D6E-409C-BE32-E72D297353CC}">
                <c16:uniqueId val="{0000000B-75F5-4A20-ADE5-C7C75DC82F6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'Medical Condition By Age'!$A$4:$A$10</c:f>
              <c:strCache>
                <c:ptCount val="6"/>
                <c:pt idx="0">
                  <c:v>Arthritis</c:v>
                </c:pt>
                <c:pt idx="1">
                  <c:v>Diabetes</c:v>
                </c:pt>
                <c:pt idx="2">
                  <c:v>Hypertension</c:v>
                </c:pt>
                <c:pt idx="3">
                  <c:v>Obesity</c:v>
                </c:pt>
                <c:pt idx="4">
                  <c:v>Cancer</c:v>
                </c:pt>
                <c:pt idx="5">
                  <c:v>Asthma</c:v>
                </c:pt>
              </c:strCache>
            </c:strRef>
          </c:cat>
          <c:val>
            <c:numRef>
              <c:f>'Medical Condition By Age'!$B$4:$B$10</c:f>
              <c:numCache>
                <c:formatCode>General</c:formatCode>
                <c:ptCount val="6"/>
                <c:pt idx="0">
                  <c:v>9308</c:v>
                </c:pt>
                <c:pt idx="1">
                  <c:v>9304</c:v>
                </c:pt>
                <c:pt idx="2">
                  <c:v>9245</c:v>
                </c:pt>
                <c:pt idx="3">
                  <c:v>9231</c:v>
                </c:pt>
                <c:pt idx="4">
                  <c:v>9227</c:v>
                </c:pt>
                <c:pt idx="5">
                  <c:v>9185</c:v>
                </c:pt>
              </c:numCache>
            </c:numRef>
          </c:val>
          <c:extLst>
            <c:ext xmlns:c16="http://schemas.microsoft.com/office/drawing/2014/chart" uri="{C3380CC4-5D6E-409C-BE32-E72D297353CC}">
              <c16:uniqueId val="{0000000C-75F5-4A20-ADE5-C7C75DC82F6C}"/>
            </c:ext>
          </c:extLst>
        </c:ser>
        <c:dLbls>
          <c:dLblPos val="outEnd"/>
          <c:showLegendKey val="0"/>
          <c:showVal val="1"/>
          <c:showCatName val="0"/>
          <c:showSerName val="0"/>
          <c:showPercent val="0"/>
          <c:showBubbleSize val="0"/>
        </c:dLbls>
        <c:gapWidth val="80"/>
        <c:axId val="1828296255"/>
        <c:axId val="1828294815"/>
      </c:barChart>
      <c:catAx>
        <c:axId val="18282962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28294815"/>
        <c:crosses val="autoZero"/>
        <c:auto val="1"/>
        <c:lblAlgn val="ctr"/>
        <c:lblOffset val="100"/>
        <c:noMultiLvlLbl val="0"/>
      </c:catAx>
      <c:valAx>
        <c:axId val="1828294815"/>
        <c:scaling>
          <c:orientation val="minMax"/>
        </c:scaling>
        <c:delete val="1"/>
        <c:axPos val="l"/>
        <c:numFmt formatCode="General" sourceLinked="1"/>
        <c:majorTickMark val="none"/>
        <c:minorTickMark val="none"/>
        <c:tickLblPos val="nextTo"/>
        <c:crossAx val="1828296255"/>
        <c:crosses val="autoZero"/>
        <c:crossBetween val="between"/>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99</TotalTime>
  <Pages>10</Pages>
  <Words>1628</Words>
  <Characters>9286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Ola</dc:creator>
  <cp:keywords/>
  <dc:description/>
  <cp:lastModifiedBy>Joshua Ola</cp:lastModifiedBy>
  <cp:revision>90</cp:revision>
  <dcterms:created xsi:type="dcterms:W3CDTF">2025-03-20T17:30:00Z</dcterms:created>
  <dcterms:modified xsi:type="dcterms:W3CDTF">2025-04-30T22:43:00Z</dcterms:modified>
</cp:coreProperties>
</file>