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C042" w14:textId="35B3798E" w:rsidR="009E1C1F" w:rsidRPr="00624BDF" w:rsidRDefault="0046502F">
      <w:pPr>
        <w:rPr>
          <w:rFonts w:ascii="Merriweather" w:hAnsi="Merriweather" w:cstheme="minorHAnsi"/>
          <w:color w:val="7F7F7F" w:themeColor="text1" w:themeTint="80"/>
          <w:sz w:val="56"/>
          <w:szCs w:val="56"/>
        </w:rPr>
      </w:pPr>
      <w:r w:rsidRPr="00624BDF">
        <w:rPr>
          <w:rFonts w:ascii="Merriweather" w:hAnsi="Merriweather" w:cstheme="minorHAnsi"/>
          <w:b/>
          <w:bCs/>
          <w:sz w:val="56"/>
          <w:szCs w:val="56"/>
        </w:rPr>
        <w:softHyphen/>
      </w:r>
      <w:r w:rsidRPr="00624BDF">
        <w:rPr>
          <w:rFonts w:ascii="Merriweather" w:hAnsi="Merriweather" w:cstheme="minorHAnsi"/>
          <w:b/>
          <w:bCs/>
          <w:sz w:val="56"/>
          <w:szCs w:val="56"/>
        </w:rPr>
        <w:softHyphen/>
      </w:r>
      <w:r w:rsidRPr="00624BDF">
        <w:rPr>
          <w:rFonts w:ascii="Merriweather" w:hAnsi="Merriweather" w:cstheme="minorHAnsi"/>
          <w:b/>
          <w:bCs/>
          <w:sz w:val="56"/>
          <w:szCs w:val="56"/>
        </w:rPr>
        <w:softHyphen/>
      </w:r>
      <w:r w:rsidR="001E30CA" w:rsidRPr="00624BDF">
        <w:rPr>
          <w:rFonts w:ascii="Merriweather" w:hAnsi="Merriweather" w:cstheme="minorHAnsi"/>
          <w:b/>
          <w:bCs/>
          <w:sz w:val="56"/>
          <w:szCs w:val="56"/>
        </w:rPr>
        <w:t>Ola</w:t>
      </w:r>
      <w:r w:rsidR="00624BDF">
        <w:rPr>
          <w:rFonts w:ascii="Merriweather" w:hAnsi="Merriweather" w:cstheme="minorHAnsi"/>
          <w:b/>
          <w:bCs/>
          <w:sz w:val="56"/>
          <w:szCs w:val="56"/>
        </w:rPr>
        <w:t xml:space="preserve"> J</w:t>
      </w:r>
      <w:r w:rsidR="00780082" w:rsidRPr="00624BDF">
        <w:rPr>
          <w:rFonts w:ascii="Merriweather" w:hAnsi="Merriweather" w:cstheme="minorHAnsi"/>
          <w:b/>
          <w:bCs/>
          <w:sz w:val="56"/>
          <w:szCs w:val="56"/>
        </w:rPr>
        <w:t>ide</w:t>
      </w:r>
      <w:r w:rsidR="001E30CA" w:rsidRPr="00624BDF">
        <w:rPr>
          <w:rFonts w:ascii="Merriweather" w:hAnsi="Merriweather" w:cstheme="minorHAnsi"/>
          <w:sz w:val="56"/>
          <w:szCs w:val="56"/>
        </w:rPr>
        <w:t xml:space="preserve"> </w:t>
      </w:r>
      <w:r w:rsidR="001E30CA" w:rsidRPr="00624BDF">
        <w:rPr>
          <w:rFonts w:ascii="Merriweather" w:hAnsi="Merriweather" w:cstheme="minorHAnsi"/>
          <w:color w:val="777777"/>
          <w:sz w:val="56"/>
          <w:szCs w:val="56"/>
        </w:rPr>
        <w:t>Olagunju</w:t>
      </w:r>
      <w:r w:rsidR="009E1C1F" w:rsidRPr="00624BDF">
        <w:rPr>
          <w:rFonts w:ascii="Merriweather" w:hAnsi="Merriweather" w:cstheme="minorHAnsi"/>
          <w:color w:val="7F7F7F" w:themeColor="text1" w:themeTint="80"/>
          <w:sz w:val="56"/>
          <w:szCs w:val="56"/>
        </w:rPr>
        <w:t xml:space="preserve"> </w:t>
      </w:r>
    </w:p>
    <w:p w14:paraId="476B71EB" w14:textId="35D28B91" w:rsidR="00A34308" w:rsidRPr="00361F14" w:rsidRDefault="00A34308" w:rsidP="005469EE">
      <w:pPr>
        <w:spacing w:after="0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EXPERIENCE</w:t>
      </w:r>
    </w:p>
    <w:p w14:paraId="74F361F5" w14:textId="77777777" w:rsidR="00A34308" w:rsidRPr="009E1C1F" w:rsidRDefault="00A3430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CFBA7AA" w14:textId="6F42135A" w:rsidR="00633DA1" w:rsidRPr="009F45AE" w:rsidRDefault="00633DA1" w:rsidP="00633DA1">
      <w:pPr>
        <w:rPr>
          <w:rFonts w:ascii="Merriweather" w:hAnsi="Merriweather" w:cstheme="minorHAnsi"/>
          <w:b/>
          <w:bCs/>
          <w:i/>
          <w:i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ChampionX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</w:t>
      </w:r>
      <w:r>
        <w:rPr>
          <w:rFonts w:ascii="Merriweather" w:hAnsi="Merriweather" w:cstheme="minorHAnsi"/>
          <w:b/>
          <w:bCs/>
          <w:sz w:val="21"/>
          <w:szCs w:val="21"/>
        </w:rPr>
        <w:t xml:space="preserve"> Engineer</w:t>
      </w:r>
    </w:p>
    <w:p w14:paraId="4D5C01AB" w14:textId="2B2F4474" w:rsidR="00633DA1" w:rsidRPr="007F0C1D" w:rsidRDefault="00633DA1" w:rsidP="00633DA1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021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present</w:t>
      </w:r>
    </w:p>
    <w:p w14:paraId="5DB8DFF3" w14:textId="4092C507" w:rsidR="00633DA1" w:rsidRDefault="00633DA1" w:rsidP="00633DA1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Manag</w:t>
      </w:r>
      <w:r w:rsidR="00CB62F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 chemical biocide, corrosion and scale inhibitors, demulsifiers, and other oilfield chemicals for our clients. Facilitating processing of orders, deliveries, and quality assurance of products.</w:t>
      </w:r>
    </w:p>
    <w:p w14:paraId="3B404DF6" w14:textId="77777777" w:rsidR="00633DA1" w:rsidRDefault="00633DA1" w:rsidP="00CB62FF">
      <w:pPr>
        <w:spacing w:after="0"/>
        <w:rPr>
          <w:rFonts w:ascii="Merriweather" w:hAnsi="Merriweather" w:cstheme="minorHAnsi"/>
          <w:b/>
          <w:bCs/>
          <w:sz w:val="21"/>
          <w:szCs w:val="21"/>
        </w:rPr>
      </w:pPr>
    </w:p>
    <w:p w14:paraId="37E2FDEF" w14:textId="28EA3001" w:rsidR="005E4A3A" w:rsidRPr="007F0C1D" w:rsidRDefault="00A34308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Lionbridge Technologies</w:t>
      </w:r>
      <w:r w:rsidR="00584882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MA </w:t>
      </w:r>
      <w:r w:rsidR="005E4A3A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1F5CC568" w14:textId="64F8B210" w:rsidR="009E1C1F" w:rsidRPr="007F0C1D" w:rsidRDefault="000333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2018 </w:t>
      </w:r>
      <w:r w:rsidR="00633DA1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633DA1">
        <w:rPr>
          <w:rFonts w:ascii="Merriweather" w:hAnsi="Merriweather" w:cstheme="minorHAnsi"/>
          <w:color w:val="7F7F7F" w:themeColor="text1" w:themeTint="80"/>
          <w:sz w:val="17"/>
          <w:szCs w:val="17"/>
        </w:rPr>
        <w:t>Sep 2021</w:t>
      </w:r>
    </w:p>
    <w:p w14:paraId="4B3CBCFE" w14:textId="5C81FD2A" w:rsidR="00D12D6E" w:rsidRPr="007F0C1D" w:rsidRDefault="006C74CE" w:rsidP="005E4A3A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Work</w:t>
      </w:r>
      <w:r w:rsidR="005315C3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ed </w:t>
      </w:r>
      <w:r w:rsidR="008C386D" w:rsidRPr="008C386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with the AI team to improve the Google/YouTube search engines for millions of users via mobile data quality analysis. Also conduct</w:t>
      </w:r>
      <w:r w:rsidR="005315C3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</w:t>
      </w:r>
      <w:r w:rsidR="008C386D" w:rsidRPr="008C386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evaluations on thousands of websites per week and report</w:t>
      </w:r>
      <w:r w:rsidR="005315C3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</w:t>
      </w:r>
      <w:r w:rsidR="008C386D" w:rsidRPr="008C386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user metrics on each of them</w:t>
      </w:r>
    </w:p>
    <w:p w14:paraId="0131B9A5" w14:textId="7212A2FF" w:rsidR="00D12D6E" w:rsidRPr="00675668" w:rsidRDefault="00D12D6E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28ECD53" w14:textId="1B199B47" w:rsidR="00584882" w:rsidRPr="007F0C1D" w:rsidRDefault="00584882" w:rsidP="00584882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DC Water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082F7E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</w:t>
      </w:r>
      <w:r w:rsidRPr="006655D6">
        <w:rPr>
          <w:rFonts w:ascii="Merriweather" w:hAnsi="Merriweather" w:cstheme="minorHAnsi"/>
          <w:b/>
          <w:bCs/>
          <w:i/>
          <w:iCs/>
          <w:sz w:val="21"/>
          <w:szCs w:val="21"/>
        </w:rPr>
        <w:t xml:space="preserve">Wastewater </w:t>
      </w:r>
      <w:r w:rsidR="00110BCF">
        <w:rPr>
          <w:rFonts w:ascii="Merriweather" w:hAnsi="Merriweather" w:cstheme="minorHAnsi"/>
          <w:b/>
          <w:bCs/>
          <w:i/>
          <w:iCs/>
          <w:sz w:val="21"/>
          <w:szCs w:val="21"/>
        </w:rPr>
        <w:t>Engineer/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Analyst</w:t>
      </w:r>
    </w:p>
    <w:p w14:paraId="7B67C011" w14:textId="47019A9D" w:rsidR="00584882" w:rsidRPr="007F0C1D" w:rsidRDefault="00033382" w:rsidP="005848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Feb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2016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</w:t>
      </w:r>
    </w:p>
    <w:p w14:paraId="740D04DA" w14:textId="77777777" w:rsidR="00D858FE" w:rsidRDefault="003F2611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Led a team in daily operation, maintenance, and performance analysis of a 320-gallon </w:t>
      </w:r>
      <w:r w:rsidR="009F45AE"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high-rate contact-stabilization</w:t>
      </w: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wastewater reactor. Implemented a station to process, statistically analyze, and visualize data from the pilot. </w:t>
      </w:r>
    </w:p>
    <w:p w14:paraId="77A0650A" w14:textId="77777777" w:rsidR="00D858FE" w:rsidRDefault="00D858FE" w:rsidP="00D858FE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BFCA16C" w14:textId="32801B34" w:rsidR="002E0D65" w:rsidRDefault="009F45AE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</w:t>
      </w:r>
      <w:r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edesigned the measurement of the Limit of Stokesian Settling (LOSS) in wastewater to mitigate clarifier failures.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F2611"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Formulated new techniques for the plant to employ in their full-scale operation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</w:t>
      </w:r>
      <w:r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compose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</w:t>
      </w:r>
      <w:r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bi-weekly technical reports on performance and achievement of goals</w:t>
      </w:r>
    </w:p>
    <w:p w14:paraId="7355D104" w14:textId="77777777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0F5636D8" w14:textId="296115A0" w:rsidR="002E0D65" w:rsidRPr="006655D6" w:rsidRDefault="006655D6" w:rsidP="002E0D65">
      <w:pPr>
        <w:rPr>
          <w:rFonts w:ascii="Merriweather" w:hAnsi="Merriweather" w:cstheme="minorHAnsi"/>
          <w:b/>
          <w:bCs/>
          <w:i/>
          <w:i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LVL 10 Fitness University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2E0D65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Administrative Assistant</w:t>
      </w:r>
    </w:p>
    <w:p w14:paraId="7982B171" w14:textId="2C98EF35" w:rsidR="002E0D65" w:rsidRPr="007F0C1D" w:rsidRDefault="006655D6" w:rsidP="002E0D65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May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5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Aug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5</w:t>
      </w:r>
    </w:p>
    <w:p w14:paraId="121796D3" w14:textId="74EF508B" w:rsidR="002E0D65" w:rsidRDefault="009F45AE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Assisted the CEO in organizing Clientele files, and uploading them to a digital platform. Managed reports, calendar items and website traffic to streamline workflow and increase efficiency of operations</w:t>
      </w:r>
    </w:p>
    <w:p w14:paraId="1FD3B239" w14:textId="1768F406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023E780" w14:textId="143B492F" w:rsidR="002E0D65" w:rsidRPr="007F0C1D" w:rsidRDefault="006655D6" w:rsidP="002E0D65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Nalco Champion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>
        <w:rPr>
          <w:rFonts w:ascii="Merriweather" w:hAnsi="Merriweather" w:cstheme="minorHAnsi"/>
          <w:b/>
          <w:bCs/>
          <w:sz w:val="21"/>
          <w:szCs w:val="21"/>
        </w:rPr>
        <w:t>Escravos, NG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6655D6">
        <w:rPr>
          <w:rFonts w:ascii="Merriweather" w:hAnsi="Merriweather" w:cstheme="minorHAnsi"/>
          <w:b/>
          <w:bCs/>
          <w:i/>
          <w:iCs/>
          <w:sz w:val="21"/>
          <w:szCs w:val="21"/>
        </w:rPr>
        <w:t>Oil Field Chemicals Intern</w:t>
      </w:r>
    </w:p>
    <w:p w14:paraId="5C74FC8E" w14:textId="28FB9323" w:rsidR="002E0D65" w:rsidRPr="007F0C1D" w:rsidRDefault="006655D6" w:rsidP="002E0D65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May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4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4</w:t>
      </w:r>
    </w:p>
    <w:p w14:paraId="3B82D4F3" w14:textId="641C3355" w:rsidR="00110BCF" w:rsidRDefault="006655D6" w:rsidP="00633DA1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Aided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Nalco engineers in a Chevron owned midstream site and evaluated crude oil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from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the upstream, to get Basic Sediment and Water (BS&amp;W) levels. Also regularly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reported 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injection rates of biocide, emulsion breakers, scale and corrosion inhibitors going downstream and tested quality of cooling water for cooling towers.</w:t>
      </w:r>
    </w:p>
    <w:p w14:paraId="45491B3B" w14:textId="28F9BCD1" w:rsidR="00110BCF" w:rsidRDefault="00110BC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0FCD55D3" w14:textId="77777777" w:rsidR="00CB62FF" w:rsidRDefault="00CB62F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F4B4DD6" w14:textId="70CE40B5" w:rsidR="00545C87" w:rsidRPr="00082F7E" w:rsidRDefault="00545C87" w:rsidP="00082F7E">
      <w:pPr>
        <w:spacing w:after="0" w:line="360" w:lineRule="auto"/>
        <w:rPr>
          <w:rFonts w:ascii="Merriweather" w:hAnsi="Merriweather" w:cs="Arial"/>
          <w:color w:val="595959" w:themeColor="text1" w:themeTint="A6"/>
          <w:sz w:val="21"/>
          <w:szCs w:val="21"/>
          <w:shd w:val="clear" w:color="auto" w:fill="FFFFFF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Phone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 xml:space="preserve">– </w:t>
      </w:r>
      <w:r w:rsidRPr="00082F7E">
        <w:rPr>
          <w:rFonts w:cs="OpenSans-Bold"/>
          <w:b/>
          <w:bCs/>
          <w:color w:val="000000"/>
          <w:sz w:val="21"/>
          <w:szCs w:val="21"/>
        </w:rPr>
        <w:t>(</w:t>
      </w:r>
      <w:r w:rsidR="005643B4">
        <w:rPr>
          <w:rFonts w:cs="OpenSans-Bold"/>
          <w:b/>
          <w:bCs/>
          <w:color w:val="000000"/>
          <w:sz w:val="21"/>
          <w:szCs w:val="21"/>
        </w:rPr>
        <w:t xml:space="preserve">+ </w:t>
      </w:r>
      <w:r w:rsidR="00110BCF">
        <w:rPr>
          <w:rFonts w:cs="OpenSans-Bold"/>
          <w:b/>
          <w:bCs/>
          <w:color w:val="000000"/>
          <w:sz w:val="21"/>
          <w:szCs w:val="21"/>
        </w:rPr>
        <w:t>234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) </w:t>
      </w:r>
      <w:r w:rsidR="00110BCF">
        <w:rPr>
          <w:rFonts w:cs="OpenSans-Bold"/>
          <w:b/>
          <w:bCs/>
          <w:color w:val="000000"/>
          <w:sz w:val="21"/>
          <w:szCs w:val="21"/>
        </w:rPr>
        <w:t>81</w:t>
      </w:r>
      <w:r w:rsidR="00CB62FF">
        <w:rPr>
          <w:rFonts w:cs="OpenSans-Bold"/>
          <w:b/>
          <w:bCs/>
          <w:color w:val="000000"/>
          <w:sz w:val="21"/>
          <w:szCs w:val="21"/>
        </w:rPr>
        <w:t>-</w:t>
      </w:r>
      <w:r w:rsidR="00110BCF">
        <w:rPr>
          <w:rFonts w:cs="OpenSans-Bold"/>
          <w:b/>
          <w:bCs/>
          <w:color w:val="000000"/>
          <w:sz w:val="21"/>
          <w:szCs w:val="21"/>
        </w:rPr>
        <w:t>793</w:t>
      </w:r>
      <w:r w:rsidR="00CB62FF">
        <w:rPr>
          <w:rFonts w:cs="OpenSans-Bold"/>
          <w:b/>
          <w:bCs/>
          <w:color w:val="000000"/>
          <w:sz w:val="21"/>
          <w:szCs w:val="21"/>
        </w:rPr>
        <w:t>-</w:t>
      </w:r>
      <w:r w:rsidR="00110BCF">
        <w:rPr>
          <w:rFonts w:cs="OpenSans-Bold"/>
          <w:b/>
          <w:bCs/>
          <w:color w:val="000000"/>
          <w:sz w:val="21"/>
          <w:szCs w:val="21"/>
        </w:rPr>
        <w:t>10960</w:t>
      </w:r>
    </w:p>
    <w:p w14:paraId="36F5F5E4" w14:textId="4E71E341" w:rsidR="00545C87" w:rsidRPr="00082F7E" w:rsidRDefault="00545C87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Email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6" w:history="1">
        <w:r w:rsidR="00DF2E0F" w:rsidRPr="001A7A05">
          <w:rPr>
            <w:rStyle w:val="Hyperlink"/>
            <w:rFonts w:cs="OpenSans-Bold"/>
            <w:b/>
            <w:bCs/>
            <w:sz w:val="21"/>
            <w:szCs w:val="21"/>
          </w:rPr>
          <w:t>gunjujide@outlook.com</w:t>
        </w:r>
      </w:hyperlink>
    </w:p>
    <w:p w14:paraId="14E6FC14" w14:textId="51014182" w:rsidR="00545C87" w:rsidRPr="00082F7E" w:rsidRDefault="00A91F4B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>Web</w:t>
      </w:r>
      <w:r w:rsidR="00C01411" w:rsidRPr="00082F7E">
        <w:rPr>
          <w:rFonts w:cs="OpenSans-Bold"/>
          <w:b/>
          <w:bCs/>
          <w:color w:val="000000"/>
          <w:sz w:val="21"/>
          <w:szCs w:val="21"/>
        </w:rPr>
        <w:t>site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7" w:history="1"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olaolagunju.github.io</w:t>
        </w:r>
      </w:hyperlink>
    </w:p>
    <w:p w14:paraId="60233E13" w14:textId="2FD6D4C5" w:rsidR="007D507B" w:rsidRPr="00082F7E" w:rsidRDefault="00545C87" w:rsidP="00082F7E">
      <w:pPr>
        <w:spacing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LinkedIn </w:t>
      </w:r>
      <w:r w:rsidR="00A91F4B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8" w:history="1"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in/olaolagunju</w:t>
        </w:r>
      </w:hyperlink>
    </w:p>
    <w:p w14:paraId="24E9076E" w14:textId="6A5BD5BA" w:rsidR="00A91F4B" w:rsidRPr="00361F14" w:rsidRDefault="00ED16E8" w:rsidP="00082F7E">
      <w:pPr>
        <w:spacing w:before="240" w:after="0" w:line="24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SKILLS</w:t>
      </w:r>
    </w:p>
    <w:p w14:paraId="1ACEC3E1" w14:textId="77777777" w:rsidR="00A91F4B" w:rsidRPr="009E1C1F" w:rsidRDefault="00A91F4B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33341C6" w14:textId="77777777" w:rsidR="00110BCF" w:rsidRPr="00C01411" w:rsidRDefault="00110BCF" w:rsidP="00110BC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-Regular" w:hAnsi="Merriweather-Regular" w:cs="Merriweather-Regular"/>
          <w:b/>
          <w:bCs/>
          <w:color w:val="000000" w:themeColor="text1"/>
          <w:sz w:val="18"/>
          <w:szCs w:val="18"/>
        </w:rPr>
        <w:t>Engineering: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BioWin, Coco Chemical Simulator, Simulink, 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P&amp;ID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Reactor Design, Drafting, Civil 3D, GIS, Water/Wastewater Analyses, BOD &amp; Jar tests</w:t>
      </w:r>
    </w:p>
    <w:p w14:paraId="4E12253A" w14:textId="77777777" w:rsidR="00110BCF" w:rsidRDefault="00110BCF" w:rsidP="00060B3F">
      <w:pPr>
        <w:autoSpaceDE w:val="0"/>
        <w:autoSpaceDN w:val="0"/>
        <w:adjustRightInd w:val="0"/>
        <w:spacing w:after="0" w:line="276" w:lineRule="auto"/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152658FB" w14:textId="6182B36F" w:rsidR="009E1C1F" w:rsidRDefault="0041601C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Data:</w:t>
      </w:r>
      <w:r w:rsidRPr="00BE27D4">
        <w:rPr>
          <w:rFonts w:ascii="Merriweather" w:hAnsi="Merriweather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2753F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SQL, Tableau</w:t>
      </w:r>
      <w:r w:rsidR="006417F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PowerBI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="0036190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Data Collection, Data Management,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 Analysi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s,</w:t>
      </w:r>
      <w:r w:rsidR="0047267C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Statistical Analysis,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5F52D4" w:rsidRPr="00432C3D">
        <w:rPr>
          <w:rFonts w:ascii="Merriweather-Regular" w:hAnsi="Merriweather-Regular" w:cs="Merriweather-Regular"/>
          <w:color w:val="666666"/>
          <w:sz w:val="18"/>
          <w:szCs w:val="18"/>
        </w:rPr>
        <w:t>Exploratory Data Analysis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Modeling,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Data Mining,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Data Visualization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2753F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MySQL,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8E7CA3" w:rsidRPr="00060B3F">
        <w:rPr>
          <w:rFonts w:ascii="Merriweather-Regular" w:hAnsi="Merriweather-Regular" w:cs="Merriweather-Regular"/>
          <w:color w:val="666666"/>
          <w:sz w:val="18"/>
          <w:szCs w:val="18"/>
        </w:rPr>
        <w:t>Excel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D858FE">
        <w:rPr>
          <w:rFonts w:ascii="Merriweather-Regular" w:hAnsi="Merriweather-Regular" w:cs="Merriweather-Regular"/>
          <w:color w:val="666666"/>
          <w:sz w:val="18"/>
          <w:szCs w:val="18"/>
        </w:rPr>
        <w:t>Analysis, VBA, Pivot Tables</w:t>
      </w:r>
    </w:p>
    <w:p w14:paraId="38545E1B" w14:textId="17AAFC4A" w:rsidR="0041601C" w:rsidRDefault="0041601C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</w:p>
    <w:p w14:paraId="5331749F" w14:textId="0525BB4B" w:rsidR="0041601C" w:rsidRDefault="0041601C" w:rsidP="0041601C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Coding: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Python, R, C++, pandas, Selenium, Web Scraping, 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 xml:space="preserve">HTML, </w:t>
      </w:r>
      <w:r w:rsidRPr="00060B3F">
        <w:rPr>
          <w:rFonts w:ascii="Merriweather-Regular" w:hAnsi="Merriweather-Regular" w:cs="Merriweather-Regular"/>
          <w:color w:val="666666"/>
          <w:sz w:val="18"/>
          <w:szCs w:val="18"/>
        </w:rPr>
        <w:t>Machine Learning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>, PyTorch, Object-Oriented Programming</w:t>
      </w:r>
    </w:p>
    <w:p w14:paraId="0615906F" w14:textId="7F9B69FF" w:rsidR="009E1C1F" w:rsidRPr="00392F04" w:rsidRDefault="009E1C1F">
      <w:pPr>
        <w:rPr>
          <w:rFonts w:ascii="Merriweather" w:hAnsi="Merriweather" w:cstheme="minorHAnsi"/>
          <w:sz w:val="18"/>
          <w:szCs w:val="18"/>
        </w:rPr>
      </w:pPr>
    </w:p>
    <w:p w14:paraId="5B339A67" w14:textId="080E7681" w:rsidR="002D4AB2" w:rsidRPr="00361F14" w:rsidRDefault="002D4AB2" w:rsidP="002D4AB2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EDUCATION</w:t>
      </w:r>
    </w:p>
    <w:p w14:paraId="65B74CDD" w14:textId="77777777" w:rsidR="002D4AB2" w:rsidRPr="009E1C1F" w:rsidRDefault="002D4AB2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6090053" w14:textId="333CE4E2" w:rsidR="002D4AB2" w:rsidRPr="00BE27D4" w:rsidRDefault="002D4AB2">
      <w:pPr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M</w:t>
      </w:r>
      <w:r w:rsidR="00C51172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aster of 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Environmental Engineering</w:t>
      </w:r>
      <w:r w:rsidR="00C51172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(M. Eng.)</w:t>
      </w:r>
    </w:p>
    <w:p w14:paraId="12A37825" w14:textId="752D548D" w:rsidR="002D4AB2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2018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 w:rsidR="004817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67118CB2" w14:textId="77777777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A348920" w14:textId="05C578B2" w:rsidR="002E0D65" w:rsidRPr="00BE27D4" w:rsidRDefault="000E5507" w:rsidP="002E0D65">
      <w:pPr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Bachelor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of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Chemic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al Engineering (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BSCh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E)</w:t>
      </w:r>
    </w:p>
    <w:p w14:paraId="4874A6A0" w14:textId="29493A01" w:rsidR="001C41A0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</w:t>
      </w:r>
      <w:r w:rsidR="000E5507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6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68397A40" w14:textId="7D120860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A</w:t>
      </w:r>
      <w:r w:rsidR="00C51172"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CCOMPLISHMENTS</w:t>
      </w:r>
    </w:p>
    <w:p w14:paraId="0013E975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6B79D74" w14:textId="53688A54" w:rsidR="005469EE" w:rsidRP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B62FF">
        <w:rPr>
          <w:rFonts w:ascii="Merriweather" w:hAnsi="Merriweather" w:cs="Arial"/>
          <w:color w:val="000000" w:themeColor="text1"/>
          <w:sz w:val="18"/>
          <w:szCs w:val="18"/>
          <w:shd w:val="clear" w:color="auto" w:fill="FFFFFF"/>
        </w:rPr>
        <w:t>Engineer in Training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(</w:t>
      </w:r>
      <w:r w:rsidRPr="00CB62FF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EIT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) </w:t>
      </w:r>
      <w:r w:rsidR="00DC6E79" w:rsidRPr="00CB62FF">
        <w:rPr>
          <w:rFonts w:ascii="Merriweather" w:hAnsi="Merriweather" w:cs="Arial"/>
          <w:color w:val="000000" w:themeColor="text1"/>
          <w:sz w:val="18"/>
          <w:szCs w:val="18"/>
          <w:shd w:val="clear" w:color="auto" w:fill="FFFFFF"/>
        </w:rPr>
        <w:t>license</w:t>
      </w:r>
      <w:r w:rsidR="00DC6E79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="00DC6E79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NCEES</w:t>
      </w:r>
    </w:p>
    <w:p w14:paraId="259EDB75" w14:textId="37FE3436" w:rsidR="00C51172" w:rsidRDefault="005469EE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Workshop Speaker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P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Water Environment Federation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Technical Exhibition and Conference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(WEFTEC)</w:t>
      </w:r>
    </w:p>
    <w:p w14:paraId="1EA76A5B" w14:textId="59195354" w:rsidR="001C41A0" w:rsidRPr="005469EE" w:rsidRDefault="00C51172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Best Student in Senior </w:t>
      </w:r>
      <w:r w:rsidR="000E5507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Project 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Design </w:t>
      </w:r>
      <w:r w:rsidR="005469EE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and Cum Laude Honors</w:t>
      </w:r>
      <w:r w:rsid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1E3803F7" w14:textId="69341BDF" w:rsidR="00E556A0" w:rsidRDefault="00C51172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23D9BC05" w14:textId="77777777" w:rsidR="009F45AE" w:rsidRDefault="009F45AE" w:rsidP="002E0D65">
      <w:pPr>
        <w:rPr>
          <w:rFonts w:cstheme="minorHAnsi"/>
          <w:b/>
          <w:bCs/>
          <w:color w:val="2E74B5" w:themeColor="accent5" w:themeShade="BF"/>
          <w:sz w:val="19"/>
          <w:szCs w:val="19"/>
        </w:rPr>
      </w:pPr>
    </w:p>
    <w:p w14:paraId="692E4905" w14:textId="59A9B1BC" w:rsidR="002E0D65" w:rsidRPr="00110BCF" w:rsidRDefault="00110BCF" w:rsidP="002E0D65">
      <w:pPr>
        <w:rPr>
          <w:rFonts w:cstheme="minorHAnsi"/>
          <w:b/>
          <w:bCs/>
          <w:color w:val="2E74B5" w:themeColor="accent5" w:themeShade="BF"/>
        </w:rPr>
      </w:pPr>
      <w:r w:rsidRPr="00110BCF">
        <w:rPr>
          <w:rFonts w:cstheme="minorHAnsi"/>
          <w:b/>
          <w:bCs/>
          <w:color w:val="2E74B5" w:themeColor="accent5" w:themeShade="BF"/>
        </w:rPr>
        <w:lastRenderedPageBreak/>
        <w:t>P</w:t>
      </w:r>
      <w:r w:rsidR="002E0D65" w:rsidRPr="00110BCF">
        <w:rPr>
          <w:rFonts w:cstheme="minorHAnsi"/>
          <w:b/>
          <w:bCs/>
          <w:color w:val="2E74B5" w:themeColor="accent5" w:themeShade="BF"/>
        </w:rPr>
        <w:t>ROJECTS</w:t>
      </w:r>
    </w:p>
    <w:p w14:paraId="2765460D" w14:textId="77777777" w:rsidR="002B28FB" w:rsidRDefault="002B28FB" w:rsidP="002E0D65">
      <w:pPr>
        <w:spacing w:after="0"/>
        <w:rPr>
          <w:rFonts w:ascii="Merriweather" w:hAnsi="Merriweather" w:cstheme="minorHAnsi"/>
          <w:color w:val="595959" w:themeColor="text1" w:themeTint="A6"/>
          <w:sz w:val="19"/>
          <w:szCs w:val="19"/>
        </w:rPr>
        <w:sectPr w:rsidR="002B28FB" w:rsidSect="00082F7E">
          <w:type w:val="continuous"/>
          <w:pgSz w:w="12240" w:h="15840"/>
          <w:pgMar w:top="720" w:right="1080" w:bottom="720" w:left="1080" w:header="720" w:footer="720" w:gutter="0"/>
          <w:cols w:num="2" w:space="432" w:equalWidth="0">
            <w:col w:w="6624" w:space="432"/>
            <w:col w:w="3024"/>
          </w:cols>
          <w:docGrid w:linePitch="360"/>
        </w:sectPr>
      </w:pPr>
    </w:p>
    <w:p w14:paraId="36DEA9CF" w14:textId="77777777" w:rsidR="002B28FB" w:rsidRPr="002B28FB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183D88E5" w14:textId="77777777" w:rsidR="002E0D65" w:rsidRPr="007F0C1D" w:rsidRDefault="002E0D65" w:rsidP="002E0D65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O.U.R as a Control for Wastewater Treatment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R, C++</w:t>
      </w:r>
    </w:p>
    <w:p w14:paraId="0BB98792" w14:textId="0CAEA369" w:rsidR="002E0D65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Built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a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system to continuously analyze microbial activity in wastewater via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Oxygen Uptake Rate (OUR)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Used C++ and R algorithms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control the system and i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ncrease energy recovery in secondary wastewater treatment by 36%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hus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potentially cutting energy costs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year by $5 million</w:t>
      </w:r>
    </w:p>
    <w:p w14:paraId="22BFAE57" w14:textId="77777777" w:rsidR="00110BCF" w:rsidRDefault="00110BC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2173950" w14:textId="77777777" w:rsidR="00110BCF" w:rsidRPr="007F0C1D" w:rsidRDefault="00110BCF" w:rsidP="00110BCF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Design f</w:t>
      </w:r>
      <w:r w:rsidRPr="002B28FB">
        <w:rPr>
          <w:rFonts w:ascii="Merriweather" w:hAnsi="Merriweather" w:cstheme="minorHAnsi"/>
          <w:b/>
          <w:bCs/>
          <w:sz w:val="21"/>
          <w:szCs w:val="21"/>
        </w:rPr>
        <w:t>or Commercial Manufacturing Facility for Cell Therapy Treatment of Spinal Cord Injuries</w:t>
      </w:r>
    </w:p>
    <w:p w14:paraId="0FFE9772" w14:textId="77777777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sectPr w:rsidR="00110BCF" w:rsidSect="002B28FB">
          <w:type w:val="continuous"/>
          <w:pgSz w:w="12240" w:h="15840"/>
          <w:pgMar w:top="720" w:right="1080" w:bottom="720" w:left="1080" w:header="720" w:footer="720" w:gutter="0"/>
          <w:cols w:space="432"/>
          <w:docGrid w:linePitch="360"/>
        </w:sectPr>
      </w:pPr>
    </w:p>
    <w:p w14:paraId="35049AAD" w14:textId="025C2856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Designed a facility which would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use multiple parallel micro reactors to produce high quality neural stem cells from adipose tissue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 500 people a year as a test case for future growth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The design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return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 ROI of 26.53%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undercut the market at a sales price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of $8,500</w:t>
      </w:r>
    </w:p>
    <w:p w14:paraId="24842CA8" w14:textId="77777777" w:rsidR="00110BCF" w:rsidRPr="001C41A0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8E5C4CB" w14:textId="77777777" w:rsidR="00110BCF" w:rsidRPr="007F0C1D" w:rsidRDefault="00110BCF" w:rsidP="00110BCF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 xml:space="preserve">L.O.S.S in Wastewater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R</w:t>
      </w:r>
    </w:p>
    <w:p w14:paraId="31BB87F9" w14:textId="542662AF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Developed a new system for quantifying the minimum concentration of wastewater at which sedimentation in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treatment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tanks cause poor water quality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Used Regression and </w:t>
      </w:r>
      <w:r w:rsidR="006F0C8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Logistic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mathematical models in R,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sav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thousands of man-hours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week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troubleshooting tank failures</w:t>
      </w:r>
    </w:p>
    <w:p w14:paraId="08296DEB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7929F5D" w14:textId="397D06CE" w:rsidR="002E0D65" w:rsidRPr="007F0C1D" w:rsidRDefault="002E0D65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Chinook</w:t>
      </w:r>
      <w:r w:rsidR="00B543B5">
        <w:rPr>
          <w:rFonts w:ascii="Merriweather" w:hAnsi="Merriweather" w:cstheme="minorHAnsi"/>
          <w:b/>
          <w:bCs/>
          <w:sz w:val="21"/>
          <w:szCs w:val="21"/>
        </w:rPr>
        <w:t xml:space="preserve">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SQL, Python</w:t>
      </w:r>
    </w:p>
    <w:p w14:paraId="7EF89CE1" w14:textId="386A790F" w:rsidR="002E0D65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Traversed a database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for a Business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find out: top genres sold, sales performance by country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etc. Visualized data using python pandas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a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dvocated to expand marketing efforts in India</w:t>
      </w:r>
      <w:r w:rsidRPr="00E427E6">
        <w:t xml:space="preserve">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their population and one of the top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average lifetime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consumer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purchases ($91.58)</w:t>
      </w:r>
    </w:p>
    <w:p w14:paraId="67B30020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1FCF626E" w14:textId="77777777" w:rsidR="00110BCF" w:rsidRPr="007F0C1D" w:rsidRDefault="00110BCF" w:rsidP="00110BCF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NYC SAT Scores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71FFC8E9" w14:textId="77777777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Performed an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EDA of SAT Scores from 363 High schools in 32 Districts, including alternative high schools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using pandas. A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scertained that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Black 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Hispanic students were 16% more likely to perform worse in SAT exams, due to a majority of their residenc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es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low-income districts</w:t>
      </w:r>
    </w:p>
    <w:p w14:paraId="656C59CE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5068EDC0" w14:textId="156E5A28" w:rsidR="002E0D65" w:rsidRPr="007F0C1D" w:rsidRDefault="002B28FB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 w:rsidRPr="002B28FB">
        <w:rPr>
          <w:rFonts w:ascii="Merriweather" w:hAnsi="Merriweather" w:cstheme="minorHAnsi"/>
          <w:b/>
          <w:bCs/>
          <w:sz w:val="21"/>
          <w:szCs w:val="21"/>
        </w:rPr>
        <w:t xml:space="preserve">Analyzing the Inflation of Fandango Ratings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sz w:val="21"/>
          <w:szCs w:val="21"/>
        </w:rPr>
        <w:t>Python</w:t>
      </w:r>
    </w:p>
    <w:p w14:paraId="3A707649" w14:textId="061A6BEA" w:rsidR="002E0D65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Inspected over 300 Fandango movie ratings from 2015-2017, to assess accusations of Fandango unduly increasing the actual ratings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Determined that the ratings were not statistically different (p &gt; 0.05) even though Fandango changed their rating algorithm between 2015 and 2017</w:t>
      </w:r>
    </w:p>
    <w:p w14:paraId="3EAA9852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5CCC70D0" w14:textId="23B7296A" w:rsidR="002E0D65" w:rsidRPr="007F0C1D" w:rsidRDefault="002B28FB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 w:rsidRPr="002B28FB">
        <w:rPr>
          <w:rFonts w:ascii="Merriweather" w:hAnsi="Merriweather" w:cstheme="minorHAnsi"/>
          <w:b/>
          <w:bCs/>
          <w:sz w:val="21"/>
          <w:szCs w:val="21"/>
        </w:rPr>
        <w:t>Analyzing Employee Exit Surveys</w:t>
      </w:r>
      <w:r>
        <w:rPr>
          <w:rFonts w:ascii="Merriweather" w:hAnsi="Merriweather" w:cstheme="minorHAnsi"/>
          <w:b/>
          <w:bCs/>
          <w:sz w:val="21"/>
          <w:szCs w:val="21"/>
        </w:rPr>
        <w:t xml:space="preserve">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4CCFD934" w14:textId="11D60BA2" w:rsidR="002E0D65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Dissected exit surveys from about 1000 employees of the Department of Education, Training and Employment (DETE) and the Technical and Further Education (TAFE) institute in Queensland, Australia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Deduced that employee tenures longer than 6 years were 50% more likely to resign due to job dissatisfaction than those employees with less than 6 years of experience. In addition, age is not statistically significant to job dissatisfaction (p &gt; 0.05)</w:t>
      </w:r>
    </w:p>
    <w:p w14:paraId="3B09D386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sectPr w:rsidR="002B28FB" w:rsidSect="002B28FB">
      <w:type w:val="continuous"/>
      <w:pgSz w:w="12240" w:h="15840"/>
      <w:pgMar w:top="720" w:right="1080" w:bottom="720" w:left="108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34C"/>
    <w:multiLevelType w:val="hybridMultilevel"/>
    <w:tmpl w:val="8200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8"/>
    <w:rsid w:val="00033382"/>
    <w:rsid w:val="000461E9"/>
    <w:rsid w:val="00060B3F"/>
    <w:rsid w:val="00082233"/>
    <w:rsid w:val="00082F7E"/>
    <w:rsid w:val="000B3E7B"/>
    <w:rsid w:val="000E2CD1"/>
    <w:rsid w:val="000E5507"/>
    <w:rsid w:val="00110BCF"/>
    <w:rsid w:val="001321B8"/>
    <w:rsid w:val="0017473E"/>
    <w:rsid w:val="001B50D8"/>
    <w:rsid w:val="001C1CCB"/>
    <w:rsid w:val="001C41A0"/>
    <w:rsid w:val="001E30CA"/>
    <w:rsid w:val="0022675E"/>
    <w:rsid w:val="00232EB6"/>
    <w:rsid w:val="002753F6"/>
    <w:rsid w:val="002B28FB"/>
    <w:rsid w:val="002D4AB2"/>
    <w:rsid w:val="002D7D0E"/>
    <w:rsid w:val="002E0D65"/>
    <w:rsid w:val="00303422"/>
    <w:rsid w:val="0036190D"/>
    <w:rsid w:val="00361F14"/>
    <w:rsid w:val="00392F04"/>
    <w:rsid w:val="003C10BB"/>
    <w:rsid w:val="003F2611"/>
    <w:rsid w:val="0041601C"/>
    <w:rsid w:val="00420A09"/>
    <w:rsid w:val="00432C3D"/>
    <w:rsid w:val="00451CFA"/>
    <w:rsid w:val="0046502F"/>
    <w:rsid w:val="0047267C"/>
    <w:rsid w:val="004817AE"/>
    <w:rsid w:val="004A6B09"/>
    <w:rsid w:val="005315C3"/>
    <w:rsid w:val="00545C87"/>
    <w:rsid w:val="005469EE"/>
    <w:rsid w:val="005643B4"/>
    <w:rsid w:val="00584882"/>
    <w:rsid w:val="005D29C0"/>
    <w:rsid w:val="005E2B99"/>
    <w:rsid w:val="005E4A3A"/>
    <w:rsid w:val="005F52D4"/>
    <w:rsid w:val="00624BDF"/>
    <w:rsid w:val="00633DA1"/>
    <w:rsid w:val="006417FD"/>
    <w:rsid w:val="0065434A"/>
    <w:rsid w:val="006655D6"/>
    <w:rsid w:val="00675668"/>
    <w:rsid w:val="00686E61"/>
    <w:rsid w:val="006C74CE"/>
    <w:rsid w:val="006F0C8A"/>
    <w:rsid w:val="00725705"/>
    <w:rsid w:val="00780082"/>
    <w:rsid w:val="007874D6"/>
    <w:rsid w:val="00793FF1"/>
    <w:rsid w:val="007D507B"/>
    <w:rsid w:val="007F0C1D"/>
    <w:rsid w:val="008C386D"/>
    <w:rsid w:val="008E7CA3"/>
    <w:rsid w:val="00956D91"/>
    <w:rsid w:val="0098146C"/>
    <w:rsid w:val="009B08D9"/>
    <w:rsid w:val="009C725F"/>
    <w:rsid w:val="009E1C1F"/>
    <w:rsid w:val="009F45AE"/>
    <w:rsid w:val="00A06250"/>
    <w:rsid w:val="00A34308"/>
    <w:rsid w:val="00A91F4B"/>
    <w:rsid w:val="00AD3AEE"/>
    <w:rsid w:val="00B543B5"/>
    <w:rsid w:val="00BE27D4"/>
    <w:rsid w:val="00BF2747"/>
    <w:rsid w:val="00C01411"/>
    <w:rsid w:val="00C51172"/>
    <w:rsid w:val="00C63CD2"/>
    <w:rsid w:val="00CB57E3"/>
    <w:rsid w:val="00CB62FF"/>
    <w:rsid w:val="00D12D6E"/>
    <w:rsid w:val="00D53803"/>
    <w:rsid w:val="00D858FE"/>
    <w:rsid w:val="00DC6E79"/>
    <w:rsid w:val="00DF2E0F"/>
    <w:rsid w:val="00E427E6"/>
    <w:rsid w:val="00E556A0"/>
    <w:rsid w:val="00E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222"/>
  <w15:chartTrackingRefBased/>
  <w15:docId w15:val="{F5BCA6E2-DCEA-4C7E-B9D0-8D2C1D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6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jide-olagunju" TargetMode="External"/><Relationship Id="rId3" Type="http://schemas.openxmlformats.org/officeDocument/2006/relationships/styles" Target="styles.xml"/><Relationship Id="rId7" Type="http://schemas.openxmlformats.org/officeDocument/2006/relationships/hyperlink" Target="http://olaolagunju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jujide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18FE-FF2F-4AAB-9DFE-A511BAE8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26</cp:revision>
  <cp:lastPrinted>2021-11-24T13:11:00Z</cp:lastPrinted>
  <dcterms:created xsi:type="dcterms:W3CDTF">2021-04-23T14:01:00Z</dcterms:created>
  <dcterms:modified xsi:type="dcterms:W3CDTF">2021-12-07T20:58:00Z</dcterms:modified>
</cp:coreProperties>
</file>