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color w:val="1F3A5F"/>
          <w:sz w:val="48"/>
          <w:szCs w:val="48"/>
        </w:rPr>
        <w:t xml:space="preserve">PROSPECT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Technical Build Specification</w:t>
      </w:r>
    </w:p>
    <w:p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 xml:space="preserve">v0.1 — April 2026</w:t>
      </w:r>
    </w:p>
    <w:p>
      <w:r>
        <w:br w:type="page"/>
      </w:r>
    </w:p>
    <w:p>
      <w:pPr>
        <w:pStyle w:val="Heading1"/>
        <w:spacing w:after="140" w:before="300"/>
      </w:pPr>
      <w:r>
        <w:t xml:space="preserve">1. System overview</w:t>
      </w:r>
    </w:p>
    <w:p>
      <w:pPr>
        <w:spacing w:after="120"/>
      </w:pPr>
      <w:r>
        <w:t xml:space="preserve">PROSPECT is a two-service product: a Next.js web app (user-facing) and a Python agent worker (the actual AI). They communicate through a Postgres job queue in Supabase. The LLM lives on rented GPU infrastructure (RunPod Serverless to start, Together.ai dedicated later). No third-party LLM API is in the critical path.</w:t>
      </w:r>
    </w:p>
    <w:p>
      <w:pPr>
        <w:pStyle w:val="Heading2"/>
        <w:spacing w:after="100" w:before="220"/>
      </w:pPr>
      <w:r>
        <w:t xml:space="preserve">1.1 Architecture diagram (text)</w:t>
      </w:r>
    </w:p>
    <w:p>
      <w:pPr>
        <w:spacing w:after="120"/>
      </w:pPr>
      <w:r>
        <w:t xml:space="preserve">User → Next.js (upload/dashboard) → Supabase (jobs table) → Python worker (agent graph) → RunPod vLLM endpoint → Supabase (briefs table) → Next.js (renders brief).</w:t>
      </w:r>
    </w:p>
    <w:p>
      <w:pPr>
        <w:pStyle w:val="Heading2"/>
        <w:spacing w:after="100" w:before="220"/>
      </w:pPr>
      <w:r>
        <w:t xml:space="preserve">1.2 Why this shape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Queue-based decoupling: frontend stays fast while long agent jobs run async.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API-layer LLM: the Python worker talks directly to a vLLM HTTP endpoint we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source of truth: Supabase handles auth, data, and the job queue. Fewer moving pieces.</w:t>
      </w:r>
    </w:p>
    <w:p>
      <w:pPr>
        <w:pStyle w:val="Heading1"/>
        <w:spacing w:after="140" w:before="300"/>
      </w:pPr>
      <w:r>
        <w:t xml:space="preserve">2.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email, plan, created_at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auth user mapped to plan tier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icps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user_id, industry, size_range, geo, pain, timing_cues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per customer; reused across jobs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user_id, domain, company_name, raw_input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 companies uploaded by the customer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jobs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account_id, status, attempts, error, created_at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Queue row per account × agent run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briefs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account_id, score, signals, pain, buyer, opener, evidence_json, model_version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final deliverable per account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feedback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id, brief_id, rating, edit_text, user_id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Training data for the monthly LoRA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40" w:before="300"/>
      </w:pPr>
      <w:r>
        <w:t xml:space="preserve">3. The agent graph</w:t>
      </w:r>
    </w:p>
    <w:p>
      <w:pPr>
        <w:spacing w:after="120"/>
      </w:pPr>
      <w:r>
        <w:t xml:space="preserve">The agent is a 7-node directed graph. Each node is a pure function: input state → output state. State is a Pydantic model, serialized to JSON on every node transition so jobs can resume after failure.</w:t>
      </w:r>
    </w:p>
    <w:p>
      <w:pPr>
        <w:pStyle w:val="Heading2"/>
        <w:spacing w:after="100" w:before="220"/>
      </w:pPr>
      <w:r>
        <w:t xml:space="preserve">3.1 Node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ingest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raw_input → CanonicalAccount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Normalize to a root domain via tldextract. Validate. De-dupe against accounts table.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crawl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CanonicalAccount → PageBundle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Firecrawl: homepage, /about, /pricing, /careers, /blog. Playwright fallback. ~8s per account.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enrich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CanonicalAccount → Firmographics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Apollo /organizations/enrich. Cache 30 days per domain. Fallback to Clearbit free.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signal_scan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CanonicalAccount → Signals[]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Parallel calls: news (Brave), jobs (scraped careers page), GitHub, LinkedIn company public posts only.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synthesize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(Pages, Firmo, Signals, ICP) → BriefDraft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LLM call with structured output (JSON schema enforced). Qwen 2.5 32B by default.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BriefDraft → ScoredBrief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Deterministic rubric. ICP fit × timing × accessibility. Not an LLM call — cheap and explainable.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ScoredBrief → FinalBrief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Second LLM call producing the opening line. Uses style exemplars from customer feedback table.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t xml:space="preserve">3.2 State schema (Pydantic)</w:t>
      </w:r>
    </w:p>
    <w:p>
      <w:pPr>
        <w:spacing w:after="120"/>
      </w:pPr>
      <w:r>
        <w:t xml:space="preserve">AgentState holds: account (CanonicalAccount), icp (ICP), pages (list[PageBundle]), firmographics (Firmographics), signals (list[Signal]), brief_draft (BriefDraft | None), final_brief (FinalBrief | None), errors (list[str]), model_version (str).</w:t>
      </w:r>
    </w:p>
    <w:p>
      <w:pPr>
        <w:pStyle w:val="Heading1"/>
        <w:spacing w:after="140" w:before="300"/>
      </w:pPr>
      <w:r>
        <w:t xml:space="preserve">4. LLM serving</w:t>
      </w:r>
    </w:p>
    <w:p>
      <w:pPr>
        <w:pStyle w:val="Heading2"/>
        <w:spacing w:after="100" w:before="220"/>
      </w:pPr>
      <w:r>
        <w:t xml:space="preserve">4.1 Primary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Qwen 2.5 32B Instruct, served via vLLM on a RunPod Serverless A100 40GB endpoint.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 disabled. Structured outputs via vLLM's guided_json with a Pydantic-derived JSON schema.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Autoscaled workers: min 0, max 3. Cold start ~30s; acceptable since batching is overnight.</w:t>
      </w:r>
    </w:p>
    <w:p>
      <w:pPr>
        <w:pStyle w:val="Heading2"/>
        <w:spacing w:after="100" w:before="220"/>
      </w:pPr>
      <w:r>
        <w:t xml:space="preserve">4.2 Fallback / escalation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accounts (low confidence from Qwen) re-run on Llama 3.3 70B (separate RunPod endpoint).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is measured by the synthesize node: if any required brief field is empty or score&lt;4, escalate.</w:t>
      </w:r>
    </w:p>
    <w:p>
      <w:pPr>
        <w:pStyle w:val="Heading2"/>
        <w:spacing w:after="100" w:before="220"/>
      </w:pPr>
      <w:r>
        <w:t xml:space="preserve">4.3 Fine-tuning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3: first LoRA on Qwen 2.5 32B using ~1,000 labeled briefs + customer edits. Axolotl config, single A100, ~4 hours training.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 6: second LoRA. By now we have 3,000+ labeled briefs. This is where the moat starts to show.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LoRA deployment: same vLLM endpoint, load adapter at runtime; swap via a version flag on the jobs table.</w:t>
      </w:r>
    </w:p>
    <w:p>
      <w:pPr>
        <w:pStyle w:val="Heading1"/>
        <w:spacing w:after="140" w:before="300"/>
      </w:pPr>
      <w:r>
        <w:t xml:space="preserve">5. Retrieval and scraping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Firecrawl for generic page fetching. $16/mo starter.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Brave Search API for news and general queries ($3 CPM).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Playwright on a tiny Fly.io VM as a fallback for JS-heavy sites.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LinkedIn scraping. Public-only LinkedIn data via the sales-nav export, user-provided.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robots.txt. Cache everything for 7 days in Supabase Storage.</w:t>
      </w:r>
    </w:p>
    <w:p>
      <w:pPr>
        <w:pStyle w:val="Heading1"/>
        <w:spacing w:after="140" w:before="300"/>
      </w:pPr>
      <w:r>
        <w:t xml:space="preserve">6. Observability and evaluation</w:t>
      </w:r>
    </w:p>
    <w:p>
      <w:pPr>
        <w:pStyle w:val="Heading2"/>
        <w:spacing w:after="100" w:before="220"/>
      </w:pPr>
      <w:r>
        <w:t xml:space="preserve">6.1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agent run emits a structured log line per node (node, duration, model_version, cost_cents, token_count).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'runs' table for operational data. Axiom or Logfire for free-tier observability.</w:t>
      </w:r>
    </w:p>
    <w:p>
      <w:pPr>
        <w:pStyle w:val="Heading2"/>
        <w:spacing w:after="100" w:before="220"/>
      </w:pPr>
      <w:r>
        <w:t xml:space="preserve">6.2 Eval 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 out 50 hand-labeled accounts with gold-standard briefs.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every LoRA update: score model outputs vs. gold using a rubric (signal accuracy, opener quality, factual correctness).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 a new model version only if the eval score is &gt;= previous version on each rubric axis.</w:t>
      </w:r>
    </w:p>
    <w:p>
      <w:pPr>
        <w:pStyle w:val="Heading1"/>
        <w:spacing w:after="140" w:before="300"/>
      </w:pPr>
      <w:r>
        <w:t xml:space="preserve">7. Security &amp;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customer data encrypted at rest (Supabase default). TLS in transit.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customer data goes to third-party LLM APIs. Ever. This is a hard architectural constraint.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BYOC deployment: customer runs vLLM on their own GPU, we license the worker software via pip-installable package with license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Row-level security in Supabase: users can only read their own ICPs, accounts, briefs.</w:t>
      </w:r>
    </w:p>
    <w:p>
      <w:pPr>
        <w:pStyle w:val="Heading1"/>
        <w:spacing w:after="140" w:before="300"/>
      </w:pPr>
      <w:r>
        <w:t xml:space="preserve">8. MVP scope (first 4 weeks of build)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Out: billing, BYOC, fine-tune pipeline, dashboard analytics, HubSpot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In: CSV upload, ICP form, agent worker with all 7 nodes, brief detail page, manual 'run' button, Stripe-checkout-with-fake-success for the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criteria: upload 50 accounts, receive 50 briefs within 4 hours, at least 40 of them scored as 'would paste into a sequencer' by the founder.</w:t>
      </w:r>
    </w:p>
    <w:p>
      <w:pPr>
        <w:pStyle w:val="Heading1"/>
        <w:spacing w:after="140" w:before="300"/>
      </w:pPr>
      <w:r>
        <w:t xml:space="preserve">9. Tech stack line items (recap)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cost at 10 customers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LLM inference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RunPod Serverless (Qwen 32B + Llama 70B)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~$400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 crawl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Firecrawl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Brave Search API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$30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Enrichment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Apollo low tier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$99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DB + auth + storage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Vercel Hobby → Pro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hosting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Fly.io tiny VM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Axiom free tier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0F4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~$614/mo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At 10 paying customers on the Pro plan ($499/mo), that's $4,990 revenue vs. $614 cost — 87% gross margin.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8"/>
        <w:szCs w:val="18"/>
      </w:rPr>
      <w:t xml:space="preserve">Confidential — Jake Chaney</w:t>
    </w:r>
    <w:r>
      <w:t xml:space="preserve">	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A5F"/>
        <w:sz w:val="18"/>
        <w:szCs w:val="18"/>
      </w:rPr>
      <w:t xml:space="preserve">PROSPECT  </w:t>
    </w:r>
    <w:r>
      <w:rPr>
        <w:color w:val="888888"/>
        <w:sz w:val="18"/>
        <w:szCs w:val="18"/>
      </w:rPr>
      <w:t xml:space="preserve">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W%1.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Specification</dc:title>
  <dc:creator>Jake Chaney</dc:creator>
  <dc:description>PROSPECT — Technical Specification</dc:description>
  <cp:lastModifiedBy>Un-named</cp:lastModifiedBy>
  <cp:revision>1</cp:revision>
  <dcterms:created xsi:type="dcterms:W3CDTF">2026-04-24T19:20:27.398Z</dcterms:created>
  <dcterms:modified xsi:type="dcterms:W3CDTF">2026-04-24T19:20:27.398Z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