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SISTEMATIZAR LA ESTRATEGIA EN OBJETIVOS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ESTRATÉGICOS SMART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continuación, se formulan los objetivos estratégicos SMART alineados a las acciones internas, de procesos, de mercado y financieras de la organización POTENCIAL DEL NORTE S-A-S. 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 Interno: Recursos Humanos y Capacitación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Aumentar las capacidades del equipo de ventas para soportar la expansión a nuevos mercados en Latinoamérica.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Capacitar al 100% del equipo de ventas en los nuevos productos y mercados en un plazo de 6 meses.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Realizando un plan de formación virtual y presencial en los 3 países clave donde la empresa tiene presencia.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El equipo de ventas bien capacitado podrá aumentar las conversiones de ventas y contribuir a la expansión.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Completar la capacitación dentro de los próximos 6 meses.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Procesos: Optimización Logística y Operacional.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Mejorar la eficiencia de la cadena de suministro para reducir los tiempos de entrega en nuevos mercados de Latinoamérica.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Reducir los tiempos de entrega en un 20% en el próximo año mediante la optimización del stock y la logística en los países base (Chile, Brasil y México).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Implementando un sistema de gestión de inventarios más eficiente y mejorando las alianzas logísticas en los nuevos mercados.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La reducción en los tiempos de entrega aumentará la satisfacción del cliente y ayudará a penetrar más rápidamente en nuevos mercados.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Alcanzar esta reducción dentro de los próximos 12 meses.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 de Mercado: Expansión y penetración de mercado.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Captar el 15% del mercado disponible en los países objetivo de Latinoamérica (como Colombia, Perú y Argentina).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Incrementar las ventas en estos nuevos mercados en un 15% en los próximos 18 meses.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Implementando estrategias de marketing digital, campañas de ventas directas y participando en ferias comerciales específicas de la industria.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La penetración en nuevos mercados permitirá a WEQUIPS consolidarse como líder en Latinoamérica.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Alcanzar el 15% de penetración en los próximos 18 meses.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Objetivo Financiero: Crecimiento de Ingresos.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Específico:</w:t>
      </w:r>
      <w:r w:rsidDel="00000000" w:rsidR="00000000" w:rsidRPr="00000000">
        <w:rPr>
          <w:rtl w:val="0"/>
        </w:rPr>
        <w:t xml:space="preserve"> Incrementar los ingresos totales de la empresa en un 25% gracias a la expansión en Latinoamérica.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Medible:</w:t>
      </w:r>
      <w:r w:rsidDel="00000000" w:rsidR="00000000" w:rsidRPr="00000000">
        <w:rPr>
          <w:rtl w:val="0"/>
        </w:rPr>
        <w:t xml:space="preserve"> Aumentar los ingresos en un 25% en el plazo de 2 años, con un crecimiento sostenido trimestral del 6.25%.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Alcanzable:</w:t>
      </w:r>
      <w:r w:rsidDel="00000000" w:rsidR="00000000" w:rsidRPr="00000000">
        <w:rPr>
          <w:rtl w:val="0"/>
        </w:rPr>
        <w:t xml:space="preserve"> Gracias a la expansión a nuevos mercados y la consolidación en los actuales, mediante una inversión moderada en marketing y optimización de procesos.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Relevante:</w:t>
      </w:r>
      <w:r w:rsidDel="00000000" w:rsidR="00000000" w:rsidRPr="00000000">
        <w:rPr>
          <w:rtl w:val="0"/>
        </w:rPr>
        <w:t xml:space="preserve"> El crecimiento de ingresos garantizará la rentabilidad de la expansión a mediano y largo plazo.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 xml:space="preserve">Tiempo:</w:t>
      </w:r>
      <w:r w:rsidDel="00000000" w:rsidR="00000000" w:rsidRPr="00000000">
        <w:rPr>
          <w:rtl w:val="0"/>
        </w:rPr>
        <w:t xml:space="preserve"> Alcanzar el crecimiento del 25% en los próximos 2 años.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Operacional los objetivos a partir de las tácticas.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Las siguientes actividades siguen un orden progresivo, asegurando que cada paso en las actividades propuestas contribuya a alcanzar los objetivos SMART de forma organizada y efectiva. 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 Interno. </w:t>
      </w:r>
      <w:r w:rsidDel="00000000" w:rsidR="00000000" w:rsidRPr="00000000">
        <w:rPr>
          <w:b w:val="1"/>
          <w:color w:val="000000"/>
          <w:rtl w:val="0"/>
        </w:rPr>
        <w:t xml:space="preserve">Desarrollo, implementación de nuevos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Introducir 2 nuevos servicios innovadores, basados en la demanda del mercado en los próximos 12 meses.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Evaluación de Necesidades de Capacitación (1 mes):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un diagnóstico del equipo de trabajo actual para identificar brechas de conocimiento sobre los nuevos productos y mercados.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Definir las competencias clave que se deben desarrollar.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Desarrollo del Plan de Capacitación (2 semanas):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un plan detallado de capacitación que incluya temas, recursos, instructores y cronograma.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Decidir si las capacitaciones serán presenciales, virtuales o una combinación de ambas.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Selección de Instructores y Recursos (2 semanas):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Seleccionar a los formadores internos o externos, y definir las plataformas digitales para las capacitaciones.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Preparar el contenido educativo, como manuales, videos, y presentaciones.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Capacitación Piloto (1 mes):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una primera sesión de capacitación con un grupo reducido para realizar los ensayos y pilotos.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Obtener feedback y ajustar el contenido y el formato de la capacitación si es necesario.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Evaluación de Impacto (al finalizar la capacitación):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Evaluar el impacto de la capacitación en la mejora del servicio y conocimiento prestado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seguimiento para verificar cómo el equipo aplica los conocimientos en su trabajo diario.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Procesos: Mejorar la eficiencia operativa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Aumentar la producción en un 20% sin aumentar costos. Reducir costos operativos en un 15 % en los próximos 12 meses, con ello aumentar la productividad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Análisis de los costos y gastos recurrentes de la institución (1 mes):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una auditoría interna de revisión de las compras y gastos que se realicen.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Identificar cuáles son los necesarios, improvisados, recurrentes, etc. Para así determinar la funcionalidad de cada uno.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Desarrollo de Plan de Optimización (2 semanas):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un plan detallado de optimización de compras y gastos que incluya soluciones para los problemas identificados, como por ejemplo la regulación de servicios públicos, la disminución de la compra de insumos o herramientas para ejecutar la labor, revisar si es necesaria la compra de ciertos equipos, etc.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Implementación de un Sistema de Gestión de Inventarios (3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Este sistema sería ideal para los inventarios de equipos e insumos que se manejan en la institución.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Monitoreo de Resultados (mensual):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Implementar un sistema de monitoreo y control de costos y gastos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Analizar las mejoras mensualmente en la reducción de estos indicadores.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 de Mercado: Aumento de Ventas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las ventas del servicio en un 20%, en los próximos 18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Análisis de Mercado en Nuevos Areas (2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estudios de mercado en sectores cercanos a Sabanalarga, como por ejemplo Baranoa, Luruaco, Galapa, Santo Tomas, entre otros.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Identificar a los principales actores del mercado y sus estrategias.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Desarrollo de Estrategias de Marketing Locales (1 mes):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estrategias de marketing localizadas para cada sector, considerando cualquier factor diferencial entre las áreas.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Establecer objetivos claros de ventas y penetración de mercado para cada país.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Lanzamiento de Campañas de Marketing Digital y Presencial (6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Implementar campañas en los sectores seleccionado de marketing digital y directo (redes sociales, entrega de folletos, desarrollo de encuestas, visitas a institutos educativos juveniles, entre otros)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Participar en ferias comerciales y eventos de la industria en los nuevos mercados.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Establecimiento de Alianzas Estratégicas (3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Identificar y negociar alianzas con institutos que se encuentren en estos sectores, así como también el análisis de estos mismos.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Monitoreo de Ventas y Ajustes (trimestral):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Revisar trimestralmente las cifras de ventas en los nuevos sectores y ajustar las estrategias de marketing y ventas según sea necesario.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Evaluación de Resultados y Ajuste de la Estrategia (al final de los 18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Evaluar si se ha alcanzado el 15% de penetración de mercado y ajustar las estrategias en función de los resultados.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Objetivo Financiero: Aumentar la tasa de retención de nuevos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Aumentar la tasa de retención de clientes en un 15%.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Revisión y Ajuste del Presupuesto de Inversión (2 semanas):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Analizar y ajustar el presupuesto necesario para la expansión en los nuevos mercados, adquisición de herramientas de trabajo, contratación de personal capacitado, entre otros. Esto permitirá el logro de este objetivo.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Diversificación del Portafolio de Productos (6 meses):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Evaluar si es necesario lanzar nuevos productos o servicios adaptados a las necesidades de los mercados en expansión.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lanzamientos en fases para medir la aceptación del mercado.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Optimización de Costos y Aumentos en Productividad (anual):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Implementar iniciativas de reducción de costos operacionales en la sede actual para liberar más recursos financieros para la expansión.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Mejorar la productividad del personal con herramientas tecnológicas y capacitación adicional que permitan un mejor servicio al cliente.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Monitoreo de Crecimiento de Ingresos (semestral):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Medir el crecimiento de ingresos trimestralmente y ajustar las estrategias de ventas y costos para asegurar que se esté alcanzando el 15% de crecimiento por semestre.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Evaluación Anual y Ajuste de Proyecciones (anual):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Revisar al final de cada año el crecimiento de los ingresos y ajustar las proyecciones para el segundo año en caso de desviaciones.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mic Sans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F7CD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F7CD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F7CD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F7CD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F7CD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F7CD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F7CD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F7CD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F7CD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F7CD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F7CD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F7CD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F7CD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F7CD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F7CD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F7CD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F7CD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F7CD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F7CD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F7C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F7CD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F7C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F7CD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F7CD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F7CD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F7CD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F7CD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F7CD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F7CD4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unhideWhenUsed w:val="1"/>
    <w:rsid w:val="00663C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MX" w:val="es-MX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M4M8kzVJYnhmCvMVS3rcxwv6A==">CgMxLjA4AHIhMTJ1eF9OT21Eb1RDT1FjUlkwTDlpaXRySnZJeHpMMFVa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2024-09-16T01:34:00Z</dcterms:created>
  <dc:creator>micavi73</dc:creator>
</cp:coreProperties>
</file>