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4F249" w14:textId="5998384E" w:rsidR="00D06927" w:rsidRDefault="00D06927" w:rsidP="00D06927"/>
    <w:p w14:paraId="752D254C" w14:textId="28F958D9" w:rsidR="00C50C36" w:rsidRDefault="00C50C36" w:rsidP="00C50C36">
      <w:pPr>
        <w:pStyle w:val="Heading5"/>
        <w:shd w:val="clear" w:color="auto" w:fill="FFFFFF"/>
        <w:spacing w:line="360" w:lineRule="atLeast"/>
        <w:textAlignment w:val="baseline"/>
        <w:rPr>
          <w:rFonts w:ascii="Open Sans" w:hAnsi="Open Sans" w:cs="Open Sans"/>
          <w:color w:val="212121"/>
          <w:spacing w:val="2"/>
        </w:rPr>
      </w:pPr>
    </w:p>
    <w:p w14:paraId="695B72CB" w14:textId="77777777" w:rsidR="00C9345B" w:rsidRDefault="00C9345B" w:rsidP="0020156B">
      <w:pPr>
        <w:spacing w:line="480" w:lineRule="auto"/>
        <w:jc w:val="center"/>
        <w:rPr>
          <w:rFonts w:ascii="Times New Roman" w:hAnsi="Times New Roman"/>
        </w:rPr>
      </w:pPr>
    </w:p>
    <w:p w14:paraId="51ABA289" w14:textId="4C99C752" w:rsidR="00C62697" w:rsidRPr="00C62697" w:rsidRDefault="00A32C1C" w:rsidP="0020156B">
      <w:pPr>
        <w:spacing w:after="160" w:line="480" w:lineRule="auto"/>
        <w:jc w:val="center"/>
        <w:rPr>
          <w:rFonts w:ascii="Times New Roman" w:eastAsia="Calibri" w:hAnsi="Times New Roman"/>
          <w:b/>
          <w:bCs/>
          <w:kern w:val="2"/>
          <w:szCs w:val="24"/>
          <w14:ligatures w14:val="standardContextual"/>
        </w:rPr>
      </w:pPr>
      <w:bookmarkStart w:id="0" w:name="_Hlk135315980"/>
      <w:r w:rsidRPr="00A32C1C">
        <w:rPr>
          <w:rFonts w:ascii="Times New Roman" w:eastAsia="Calibri" w:hAnsi="Times New Roman"/>
          <w:b/>
          <w:bCs/>
          <w:kern w:val="2"/>
          <w:szCs w:val="24"/>
          <w14:ligatures w14:val="standardContextual"/>
        </w:rPr>
        <w:t>Practical Connection</w:t>
      </w:r>
    </w:p>
    <w:bookmarkEnd w:id="0"/>
    <w:p w14:paraId="6BC2E7A4" w14:textId="7A7A9287" w:rsidR="00A063AE" w:rsidRPr="00A063AE" w:rsidRDefault="00A063AE" w:rsidP="0020156B">
      <w:pPr>
        <w:shd w:val="clear" w:color="auto" w:fill="FFFFFF"/>
        <w:spacing w:before="100" w:beforeAutospacing="1" w:after="100" w:afterAutospacing="1" w:line="480" w:lineRule="auto"/>
        <w:textAlignment w:val="baseline"/>
        <w:outlineLvl w:val="4"/>
        <w:rPr>
          <w:rFonts w:ascii="Open Sans" w:hAnsi="Open Sans" w:cs="Open Sans"/>
          <w:b/>
          <w:bCs/>
          <w:color w:val="212121"/>
          <w:spacing w:val="2"/>
          <w:sz w:val="20"/>
        </w:rPr>
      </w:pPr>
    </w:p>
    <w:p w14:paraId="695B72D3" w14:textId="47F9FC3E" w:rsidR="00C9345B" w:rsidRPr="00C50C36" w:rsidRDefault="00B9240C" w:rsidP="0020156B">
      <w:pPr>
        <w:spacing w:line="480" w:lineRule="auto"/>
        <w:jc w:val="center"/>
        <w:rPr>
          <w:rFonts w:ascii="Times New Roman" w:hAnsi="Times New Roman"/>
          <w:szCs w:val="24"/>
        </w:rPr>
      </w:pPr>
      <w:r w:rsidRPr="00C50C36">
        <w:rPr>
          <w:rFonts w:ascii="Times New Roman" w:hAnsi="Times New Roman"/>
          <w:szCs w:val="24"/>
        </w:rPr>
        <w:t>Olawale Omoyeni</w:t>
      </w:r>
    </w:p>
    <w:p w14:paraId="37F715AB" w14:textId="0B10C399" w:rsidR="0035053D" w:rsidRPr="00C50C36" w:rsidRDefault="00C62697" w:rsidP="0020156B">
      <w:pPr>
        <w:spacing w:line="480" w:lineRule="auto"/>
        <w:jc w:val="center"/>
        <w:rPr>
          <w:rFonts w:ascii="Times New Roman" w:hAnsi="Times New Roman"/>
          <w:szCs w:val="24"/>
        </w:rPr>
      </w:pPr>
      <w:r w:rsidRPr="00C62697">
        <w:rPr>
          <w:rFonts w:ascii="Times New Roman" w:hAnsi="Times New Roman"/>
          <w:szCs w:val="24"/>
        </w:rPr>
        <w:t>University of</w:t>
      </w:r>
      <w:r>
        <w:rPr>
          <w:rFonts w:ascii="Times New Roman" w:hAnsi="Times New Roman"/>
          <w:szCs w:val="24"/>
        </w:rPr>
        <w:t xml:space="preserve"> The</w:t>
      </w:r>
      <w:r w:rsidRPr="00C62697">
        <w:rPr>
          <w:rFonts w:ascii="Times New Roman" w:hAnsi="Times New Roman"/>
          <w:szCs w:val="24"/>
        </w:rPr>
        <w:t xml:space="preserve"> </w:t>
      </w:r>
      <w:proofErr w:type="spellStart"/>
      <w:r w:rsidRPr="00C62697">
        <w:rPr>
          <w:rFonts w:ascii="Times New Roman" w:hAnsi="Times New Roman"/>
          <w:szCs w:val="24"/>
        </w:rPr>
        <w:t>Cumberland</w:t>
      </w:r>
      <w:r>
        <w:rPr>
          <w:rFonts w:ascii="Times New Roman" w:hAnsi="Times New Roman"/>
          <w:szCs w:val="24"/>
        </w:rPr>
        <w:t>s</w:t>
      </w:r>
      <w:proofErr w:type="spellEnd"/>
    </w:p>
    <w:p w14:paraId="00DD69B5" w14:textId="7C0C76C6" w:rsidR="00663134" w:rsidRPr="00C50C36" w:rsidRDefault="00DD7D92" w:rsidP="0020156B">
      <w:pPr>
        <w:spacing w:line="480" w:lineRule="auto"/>
        <w:jc w:val="center"/>
        <w:rPr>
          <w:rFonts w:ascii="Times New Roman" w:hAnsi="Times New Roman"/>
          <w:szCs w:val="24"/>
        </w:rPr>
      </w:pPr>
      <w:r w:rsidRPr="00DD7D92">
        <w:rPr>
          <w:rFonts w:ascii="Times New Roman" w:hAnsi="Times New Roman"/>
          <w:szCs w:val="24"/>
        </w:rPr>
        <w:t xml:space="preserve">Application of AI in Risk Management (MSAI-632-A01) </w:t>
      </w:r>
      <w:r w:rsidR="00927B32" w:rsidRPr="00927B32">
        <w:rPr>
          <w:rFonts w:ascii="Times New Roman" w:hAnsi="Times New Roman"/>
          <w:szCs w:val="24"/>
        </w:rPr>
        <w:t xml:space="preserve"> </w:t>
      </w:r>
      <w:r w:rsidR="00BF1C50">
        <w:rPr>
          <w:rFonts w:ascii="Times New Roman" w:hAnsi="Times New Roman"/>
          <w:szCs w:val="24"/>
        </w:rPr>
        <w:t xml:space="preserve"> </w:t>
      </w:r>
    </w:p>
    <w:p w14:paraId="57CF2DC3" w14:textId="130A69CB" w:rsidR="00C62697" w:rsidRPr="00C62697" w:rsidRDefault="00DD7D92" w:rsidP="0020156B">
      <w:pPr>
        <w:spacing w:line="480" w:lineRule="auto"/>
        <w:jc w:val="center"/>
        <w:rPr>
          <w:rFonts w:ascii="Times New Roman" w:hAnsi="Times New Roman"/>
          <w:szCs w:val="24"/>
        </w:rPr>
      </w:pPr>
      <w:r w:rsidRPr="00DD7D92">
        <w:rPr>
          <w:rFonts w:ascii="Times New Roman" w:hAnsi="Times New Roman"/>
          <w:szCs w:val="24"/>
        </w:rPr>
        <w:t>Joseph Issa, Ph.D.</w:t>
      </w:r>
    </w:p>
    <w:p w14:paraId="4C40291A" w14:textId="41191920" w:rsidR="00927B32" w:rsidRDefault="002255C3" w:rsidP="0020156B">
      <w:pPr>
        <w:spacing w:line="480" w:lineRule="auto"/>
        <w:jc w:val="center"/>
        <w:rPr>
          <w:rFonts w:ascii="Times New Roman" w:hAnsi="Times New Roman"/>
          <w:szCs w:val="24"/>
        </w:rPr>
      </w:pPr>
      <w:r>
        <w:rPr>
          <w:rFonts w:ascii="Times New Roman" w:hAnsi="Times New Roman"/>
          <w:szCs w:val="24"/>
        </w:rPr>
        <w:t>0</w:t>
      </w:r>
      <w:r w:rsidR="00A32C1C">
        <w:rPr>
          <w:rFonts w:ascii="Times New Roman" w:hAnsi="Times New Roman"/>
          <w:szCs w:val="24"/>
        </w:rPr>
        <w:t>6</w:t>
      </w:r>
      <w:r w:rsidR="00231824" w:rsidRPr="00C50C36">
        <w:rPr>
          <w:rFonts w:ascii="Times New Roman" w:hAnsi="Times New Roman"/>
          <w:szCs w:val="24"/>
        </w:rPr>
        <w:t>/</w:t>
      </w:r>
      <w:r w:rsidR="00A32C1C">
        <w:rPr>
          <w:rFonts w:ascii="Times New Roman" w:hAnsi="Times New Roman"/>
          <w:szCs w:val="24"/>
        </w:rPr>
        <w:t>15</w:t>
      </w:r>
      <w:r w:rsidR="00231824" w:rsidRPr="00C50C36">
        <w:rPr>
          <w:rFonts w:ascii="Times New Roman" w:hAnsi="Times New Roman"/>
          <w:szCs w:val="24"/>
        </w:rPr>
        <w:t>/202</w:t>
      </w:r>
      <w:r>
        <w:rPr>
          <w:rFonts w:ascii="Times New Roman" w:hAnsi="Times New Roman"/>
          <w:szCs w:val="24"/>
        </w:rPr>
        <w:t>4</w:t>
      </w:r>
      <w:r w:rsidR="00A063AE" w:rsidRPr="00C50C36">
        <w:rPr>
          <w:rFonts w:ascii="Times New Roman" w:hAnsi="Times New Roman"/>
          <w:szCs w:val="24"/>
        </w:rPr>
        <w:t>.</w:t>
      </w:r>
    </w:p>
    <w:p w14:paraId="1AF95724" w14:textId="26F2D0C7" w:rsidR="00B053D6" w:rsidRDefault="005A0EBF" w:rsidP="0020156B">
      <w:pPr>
        <w:spacing w:line="480" w:lineRule="auto"/>
        <w:jc w:val="center"/>
        <w:rPr>
          <w:rFonts w:ascii="Times New Roman" w:hAnsi="Times New Roman"/>
          <w:szCs w:val="24"/>
        </w:rPr>
      </w:pPr>
      <w:r w:rsidRPr="00C50C36">
        <w:rPr>
          <w:rFonts w:ascii="Times New Roman" w:hAnsi="Times New Roman"/>
          <w:szCs w:val="24"/>
        </w:rPr>
        <w:br/>
      </w:r>
    </w:p>
    <w:p w14:paraId="45DBE44F" w14:textId="77777777" w:rsidR="00D06927" w:rsidRDefault="00D06927" w:rsidP="0020156B">
      <w:pPr>
        <w:spacing w:line="480" w:lineRule="auto"/>
        <w:jc w:val="center"/>
        <w:rPr>
          <w:rFonts w:ascii="Times New Roman" w:hAnsi="Times New Roman"/>
          <w:szCs w:val="24"/>
        </w:rPr>
      </w:pPr>
    </w:p>
    <w:p w14:paraId="695B72D5" w14:textId="4E058C15" w:rsidR="00D06927" w:rsidRPr="00C50C36" w:rsidRDefault="00D06927" w:rsidP="0020156B">
      <w:pPr>
        <w:spacing w:line="480" w:lineRule="auto"/>
        <w:jc w:val="center"/>
        <w:rPr>
          <w:rFonts w:ascii="Times New Roman" w:hAnsi="Times New Roman"/>
          <w:szCs w:val="24"/>
        </w:rPr>
        <w:sectPr w:rsidR="00D06927" w:rsidRPr="00C50C36" w:rsidSect="007F1E8B">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start="1"/>
          <w:cols w:space="720"/>
          <w:docGrid w:linePitch="326"/>
        </w:sectPr>
      </w:pPr>
    </w:p>
    <w:p w14:paraId="2AC44A71" w14:textId="168DF813" w:rsidR="00DF12D2" w:rsidRDefault="00A32C1C" w:rsidP="00DF12D2">
      <w:pPr>
        <w:spacing w:after="160" w:line="480" w:lineRule="auto"/>
        <w:jc w:val="center"/>
        <w:rPr>
          <w:rFonts w:ascii="Times New Roman" w:eastAsia="Calibri" w:hAnsi="Times New Roman"/>
          <w:b/>
          <w:bCs/>
          <w:kern w:val="2"/>
          <w:szCs w:val="24"/>
          <w14:ligatures w14:val="standardContextual"/>
        </w:rPr>
      </w:pPr>
      <w:bookmarkStart w:id="1" w:name="_Hlk167529600"/>
      <w:r w:rsidRPr="00A32C1C">
        <w:rPr>
          <w:rFonts w:ascii="Times New Roman" w:eastAsia="Calibri" w:hAnsi="Times New Roman"/>
          <w:b/>
          <w:bCs/>
          <w:kern w:val="2"/>
          <w:szCs w:val="24"/>
          <w14:ligatures w14:val="standardContextual"/>
        </w:rPr>
        <w:lastRenderedPageBreak/>
        <w:t xml:space="preserve">Practical Connection </w:t>
      </w:r>
    </w:p>
    <w:p w14:paraId="3F123BB9" w14:textId="3F1A3788" w:rsidR="00A32C1C" w:rsidRPr="00A32C1C" w:rsidRDefault="00A32C1C" w:rsidP="00A32C1C">
      <w:pPr>
        <w:spacing w:after="160" w:line="480" w:lineRule="auto"/>
        <w:rPr>
          <w:rFonts w:ascii="Times New Roman" w:eastAsia="Aptos" w:hAnsi="Times New Roman"/>
          <w:kern w:val="2"/>
          <w:szCs w:val="24"/>
          <w14:ligatures w14:val="standardContextual"/>
        </w:rPr>
      </w:pPr>
      <w:r>
        <w:rPr>
          <w:rFonts w:ascii="Times New Roman" w:eastAsia="Aptos" w:hAnsi="Times New Roman"/>
          <w:kern w:val="2"/>
          <w:szCs w:val="24"/>
          <w14:ligatures w14:val="standardContextual"/>
        </w:rPr>
        <w:t xml:space="preserve">      </w:t>
      </w:r>
      <w:r w:rsidRPr="00A32C1C">
        <w:rPr>
          <w:rFonts w:ascii="Times New Roman" w:eastAsia="Aptos" w:hAnsi="Times New Roman"/>
          <w:kern w:val="2"/>
          <w:szCs w:val="24"/>
          <w14:ligatures w14:val="standardContextual"/>
        </w:rPr>
        <w:t xml:space="preserve">The course "Application of AI in Risk Management" has significantly enriched my professional perspective and skills, providing me with tools and theories that can be practically applied as an IT Control Analyst and </w:t>
      </w:r>
      <w:proofErr w:type="gramStart"/>
      <w:r w:rsidRPr="00A32C1C">
        <w:rPr>
          <w:rFonts w:ascii="Times New Roman" w:eastAsia="Aptos" w:hAnsi="Times New Roman"/>
          <w:kern w:val="2"/>
          <w:szCs w:val="24"/>
          <w14:ligatures w14:val="standardContextual"/>
        </w:rPr>
        <w:t>Third Party</w:t>
      </w:r>
      <w:proofErr w:type="gramEnd"/>
      <w:r w:rsidRPr="00A32C1C">
        <w:rPr>
          <w:rFonts w:ascii="Times New Roman" w:eastAsia="Aptos" w:hAnsi="Times New Roman"/>
          <w:kern w:val="2"/>
          <w:szCs w:val="24"/>
          <w14:ligatures w14:val="standardContextual"/>
        </w:rPr>
        <w:t xml:space="preserve"> Risk Management (TPRM). This reflection explores the practical application of the knowledge, skills, and theories gained from the course, emphasizing their relevance and impact on my current work environment.</w:t>
      </w:r>
    </w:p>
    <w:p w14:paraId="3989FF20" w14:textId="77777777" w:rsidR="00A32C1C" w:rsidRPr="00A32C1C" w:rsidRDefault="00A32C1C" w:rsidP="00A32C1C">
      <w:pPr>
        <w:spacing w:after="160" w:line="480" w:lineRule="auto"/>
        <w:rPr>
          <w:rFonts w:ascii="Times New Roman" w:eastAsia="Aptos" w:hAnsi="Times New Roman"/>
          <w:b/>
          <w:bCs/>
          <w:kern w:val="2"/>
          <w:szCs w:val="24"/>
          <w14:ligatures w14:val="standardContextual"/>
        </w:rPr>
      </w:pPr>
      <w:r w:rsidRPr="00A32C1C">
        <w:rPr>
          <w:rFonts w:ascii="Times New Roman" w:eastAsia="Aptos" w:hAnsi="Times New Roman"/>
          <w:b/>
          <w:bCs/>
          <w:kern w:val="2"/>
          <w:szCs w:val="24"/>
          <w14:ligatures w14:val="standardContextual"/>
        </w:rPr>
        <w:t>Enhancing Risk Assessment with AI Techniques</w:t>
      </w:r>
    </w:p>
    <w:p w14:paraId="7E0D3D12" w14:textId="77777777" w:rsidR="00A32C1C" w:rsidRPr="00A32C1C" w:rsidRDefault="00A32C1C" w:rsidP="00A32C1C">
      <w:pPr>
        <w:spacing w:after="160" w:line="480" w:lineRule="auto"/>
        <w:rPr>
          <w:rFonts w:ascii="Times New Roman" w:eastAsia="Aptos" w:hAnsi="Times New Roman"/>
          <w:kern w:val="2"/>
          <w:szCs w:val="24"/>
          <w14:ligatures w14:val="standardContextual"/>
        </w:rPr>
      </w:pPr>
      <w:r w:rsidRPr="00A32C1C">
        <w:rPr>
          <w:rFonts w:ascii="Times New Roman" w:eastAsia="Aptos" w:hAnsi="Times New Roman"/>
          <w:kern w:val="2"/>
          <w:szCs w:val="24"/>
          <w14:ligatures w14:val="standardContextual"/>
        </w:rPr>
        <w:t xml:space="preserve">     One of the most profound learnings from the course is the application of AI in enhancing risk assessment processes. Traditionally, risk assessments have relied heavily on manual processes and subjective judgment. However, the course highlighted various AI techniques, such as machine learning models, natural language processing (NLP), and predictive analytics that can transform these processes. For instance, implementing machine learning algorithms to analyze historical risk data can help identify patterns and predict potential future risks more accurately. In my role, this means developing models that can automate the initial risk assessment of third-party vendors by evaluating their historical performance and compliance records, thus saving time and reducing human error.</w:t>
      </w:r>
    </w:p>
    <w:p w14:paraId="5CECE28F" w14:textId="77777777" w:rsidR="00A32C1C" w:rsidRPr="00A32C1C" w:rsidRDefault="00A32C1C" w:rsidP="00A32C1C">
      <w:pPr>
        <w:spacing w:after="160" w:line="480" w:lineRule="auto"/>
        <w:rPr>
          <w:rFonts w:ascii="Times New Roman" w:eastAsia="Aptos" w:hAnsi="Times New Roman"/>
          <w:b/>
          <w:bCs/>
          <w:kern w:val="2"/>
          <w:szCs w:val="24"/>
          <w14:ligatures w14:val="standardContextual"/>
        </w:rPr>
      </w:pPr>
      <w:r w:rsidRPr="00A32C1C">
        <w:rPr>
          <w:rFonts w:ascii="Times New Roman" w:eastAsia="Aptos" w:hAnsi="Times New Roman"/>
          <w:b/>
          <w:bCs/>
          <w:kern w:val="2"/>
          <w:szCs w:val="24"/>
          <w14:ligatures w14:val="standardContextual"/>
        </w:rPr>
        <w:t>AI-Driven Continuous Monitoring</w:t>
      </w:r>
    </w:p>
    <w:p w14:paraId="06BC6E15" w14:textId="77777777" w:rsidR="00A32C1C" w:rsidRPr="00A32C1C" w:rsidRDefault="00A32C1C" w:rsidP="00A32C1C">
      <w:pPr>
        <w:spacing w:after="160" w:line="480" w:lineRule="auto"/>
        <w:rPr>
          <w:rFonts w:ascii="Times New Roman" w:eastAsia="Aptos" w:hAnsi="Times New Roman"/>
          <w:kern w:val="2"/>
          <w:szCs w:val="24"/>
          <w14:ligatures w14:val="standardContextual"/>
        </w:rPr>
      </w:pPr>
      <w:r w:rsidRPr="00A32C1C">
        <w:rPr>
          <w:rFonts w:ascii="Times New Roman" w:eastAsia="Aptos" w:hAnsi="Times New Roman"/>
          <w:kern w:val="2"/>
          <w:szCs w:val="24"/>
          <w14:ligatures w14:val="standardContextual"/>
        </w:rPr>
        <w:t xml:space="preserve">      The concept of continuous monitoring using AI was another key takeaway. Continuous monitoring is crucial in identifying and mitigating risks in real time. AI tools can analyze vast amounts of data from various sources continuously, flagging anomalies and potential risks as they arise. In practice, I can leverage AI-driven continuous monitoring systems to oversee third-party interactions and transactions, ensuring that any deviations from compliance or expected </w:t>
      </w:r>
      <w:r w:rsidRPr="00A32C1C">
        <w:rPr>
          <w:rFonts w:ascii="Times New Roman" w:eastAsia="Aptos" w:hAnsi="Times New Roman"/>
          <w:kern w:val="2"/>
          <w:szCs w:val="24"/>
          <w14:ligatures w14:val="standardContextual"/>
        </w:rPr>
        <w:lastRenderedPageBreak/>
        <w:t>behavior are promptly identified and addressed. This proactive approach enhances security and ensures that our organization remains compliant with regulatory requirements.</w:t>
      </w:r>
    </w:p>
    <w:p w14:paraId="05D7BED9" w14:textId="77777777" w:rsidR="00A32C1C" w:rsidRPr="00A32C1C" w:rsidRDefault="00A32C1C" w:rsidP="00A32C1C">
      <w:pPr>
        <w:spacing w:after="160" w:line="480" w:lineRule="auto"/>
        <w:rPr>
          <w:rFonts w:ascii="Times New Roman" w:eastAsia="Aptos" w:hAnsi="Times New Roman"/>
          <w:b/>
          <w:bCs/>
          <w:kern w:val="2"/>
          <w:szCs w:val="24"/>
          <w14:ligatures w14:val="standardContextual"/>
        </w:rPr>
      </w:pPr>
      <w:r w:rsidRPr="00A32C1C">
        <w:rPr>
          <w:rFonts w:ascii="Times New Roman" w:eastAsia="Aptos" w:hAnsi="Times New Roman"/>
          <w:b/>
          <w:bCs/>
          <w:kern w:val="2"/>
          <w:szCs w:val="24"/>
          <w14:ligatures w14:val="standardContextual"/>
        </w:rPr>
        <w:t>Ethical Decision-Making in AI Applications</w:t>
      </w:r>
    </w:p>
    <w:p w14:paraId="40C14C8B" w14:textId="77777777" w:rsidR="00A32C1C" w:rsidRPr="00A32C1C" w:rsidRDefault="00A32C1C" w:rsidP="00A32C1C">
      <w:pPr>
        <w:spacing w:after="160" w:line="480" w:lineRule="auto"/>
        <w:rPr>
          <w:rFonts w:ascii="Times New Roman" w:eastAsia="Aptos" w:hAnsi="Times New Roman"/>
          <w:kern w:val="2"/>
          <w:szCs w:val="24"/>
          <w14:ligatures w14:val="standardContextual"/>
        </w:rPr>
      </w:pPr>
      <w:r w:rsidRPr="00A32C1C">
        <w:rPr>
          <w:rFonts w:ascii="Times New Roman" w:eastAsia="Aptos" w:hAnsi="Times New Roman"/>
          <w:kern w:val="2"/>
          <w:szCs w:val="24"/>
          <w14:ligatures w14:val="standardContextual"/>
        </w:rPr>
        <w:t xml:space="preserve">     The course also emphasized the importance of ethical decision-making in applying AI. This is particularly relevant in TPRM, where decisions can significantly impact business relationships and reputations. Understanding the ethical implications of AI applications ensures that deploying these technologies aligns with our organizational values and legal standards. In my role, this involves implementing AI solutions that are transparent, explainable, and fair, ensuring that they do not inadvertently introduce biases or unfair practices in risk assessments. This ethical framework guides me in selecting and deploying AI tools that enhance trust and reliability in our risk management processes.</w:t>
      </w:r>
    </w:p>
    <w:p w14:paraId="52A255CC" w14:textId="77777777" w:rsidR="00A32C1C" w:rsidRPr="00A32C1C" w:rsidRDefault="00A32C1C" w:rsidP="00A32C1C">
      <w:pPr>
        <w:spacing w:after="160" w:line="480" w:lineRule="auto"/>
        <w:rPr>
          <w:rFonts w:ascii="Times New Roman" w:eastAsia="Aptos" w:hAnsi="Times New Roman"/>
          <w:b/>
          <w:bCs/>
          <w:kern w:val="2"/>
          <w:szCs w:val="24"/>
          <w14:ligatures w14:val="standardContextual"/>
        </w:rPr>
      </w:pPr>
      <w:r w:rsidRPr="00A32C1C">
        <w:rPr>
          <w:rFonts w:ascii="Times New Roman" w:eastAsia="Aptos" w:hAnsi="Times New Roman"/>
          <w:b/>
          <w:bCs/>
          <w:kern w:val="2"/>
          <w:szCs w:val="24"/>
          <w14:ligatures w14:val="standardContextual"/>
        </w:rPr>
        <w:t>Leveraging AI for Compliance Management</w:t>
      </w:r>
    </w:p>
    <w:p w14:paraId="38C26321" w14:textId="77777777" w:rsidR="00A32C1C" w:rsidRPr="00A32C1C" w:rsidRDefault="00A32C1C" w:rsidP="00A32C1C">
      <w:pPr>
        <w:spacing w:after="160" w:line="480" w:lineRule="auto"/>
        <w:rPr>
          <w:rFonts w:ascii="Times New Roman" w:eastAsia="Aptos" w:hAnsi="Times New Roman"/>
          <w:kern w:val="2"/>
          <w:szCs w:val="24"/>
          <w14:ligatures w14:val="standardContextual"/>
        </w:rPr>
      </w:pPr>
      <w:r w:rsidRPr="00A32C1C">
        <w:rPr>
          <w:rFonts w:ascii="Times New Roman" w:eastAsia="Aptos" w:hAnsi="Times New Roman"/>
          <w:kern w:val="2"/>
          <w:szCs w:val="24"/>
          <w14:ligatures w14:val="standardContextual"/>
        </w:rPr>
        <w:t xml:space="preserve">     Compliance management is a critical component of TPRM. The course introduced various AI tools that can assist in managing compliance more effectively. For example, NLP can be used to analyze regulatory documents and automatically extract relevant compliance requirements. This can then be matched against our third-party risk assessments to ensure alignment with regulatory standards. In practice, this means utilizing AI to automate the compliance review process, reducing the time and effort required to keep up with ever-changing regulations, and ensuring that our third-party vendors consistently meet compliance requirements.</w:t>
      </w:r>
    </w:p>
    <w:p w14:paraId="1461B1AC" w14:textId="77777777" w:rsidR="00A32C1C" w:rsidRPr="00A32C1C" w:rsidRDefault="00A32C1C" w:rsidP="00A32C1C">
      <w:pPr>
        <w:spacing w:after="160" w:line="480" w:lineRule="auto"/>
        <w:rPr>
          <w:rFonts w:ascii="Times New Roman" w:eastAsia="Aptos" w:hAnsi="Times New Roman"/>
          <w:b/>
          <w:bCs/>
          <w:kern w:val="2"/>
          <w:szCs w:val="24"/>
          <w14:ligatures w14:val="standardContextual"/>
        </w:rPr>
      </w:pPr>
      <w:r w:rsidRPr="00A32C1C">
        <w:rPr>
          <w:rFonts w:ascii="Times New Roman" w:eastAsia="Aptos" w:hAnsi="Times New Roman"/>
          <w:b/>
          <w:bCs/>
          <w:kern w:val="2"/>
          <w:szCs w:val="24"/>
          <w14:ligatures w14:val="standardContextual"/>
        </w:rPr>
        <w:t>Case Studies and Real-world Applications</w:t>
      </w:r>
    </w:p>
    <w:p w14:paraId="02E9CE4F" w14:textId="77777777" w:rsidR="00A32C1C" w:rsidRPr="00A32C1C" w:rsidRDefault="00A32C1C" w:rsidP="00A32C1C">
      <w:pPr>
        <w:spacing w:after="160" w:line="480" w:lineRule="auto"/>
        <w:rPr>
          <w:rFonts w:ascii="Times New Roman" w:eastAsia="Aptos" w:hAnsi="Times New Roman"/>
          <w:kern w:val="2"/>
          <w:szCs w:val="24"/>
          <w14:ligatures w14:val="standardContextual"/>
        </w:rPr>
      </w:pPr>
      <w:r w:rsidRPr="00A32C1C">
        <w:rPr>
          <w:rFonts w:ascii="Times New Roman" w:eastAsia="Aptos" w:hAnsi="Times New Roman"/>
          <w:kern w:val="2"/>
          <w:szCs w:val="24"/>
          <w14:ligatures w14:val="standardContextual"/>
        </w:rPr>
        <w:t xml:space="preserve">      The case studies presented in the course provided valuable insights into real-world applications of AI in risk management. These examples demonstrated how organizations </w:t>
      </w:r>
      <w:r w:rsidRPr="00A32C1C">
        <w:rPr>
          <w:rFonts w:ascii="Times New Roman" w:eastAsia="Aptos" w:hAnsi="Times New Roman"/>
          <w:kern w:val="2"/>
          <w:szCs w:val="24"/>
          <w14:ligatures w14:val="standardContextual"/>
        </w:rPr>
        <w:lastRenderedPageBreak/>
        <w:t>successfully implemented AI solutions to enhance risk management frameworks. Drawing from these case studies, I can implement similar strategies in my work. For instance, adopting AI-based anomaly detection systems that were highlighted in one of the case studies can help identify unusual patterns in vendor transactions, which could indicate potential risks or fraudulent activities.</w:t>
      </w:r>
    </w:p>
    <w:p w14:paraId="50271947" w14:textId="77777777" w:rsidR="00A32C1C" w:rsidRPr="00A32C1C" w:rsidRDefault="00A32C1C" w:rsidP="00A32C1C">
      <w:pPr>
        <w:spacing w:after="160" w:line="480" w:lineRule="auto"/>
        <w:rPr>
          <w:rFonts w:ascii="Times New Roman" w:eastAsia="Aptos" w:hAnsi="Times New Roman"/>
          <w:kern w:val="2"/>
          <w:szCs w:val="24"/>
          <w14:ligatures w14:val="standardContextual"/>
        </w:rPr>
      </w:pPr>
      <w:r w:rsidRPr="00A32C1C">
        <w:rPr>
          <w:rFonts w:ascii="Times New Roman" w:eastAsia="Aptos" w:hAnsi="Times New Roman"/>
          <w:kern w:val="2"/>
          <w:szCs w:val="24"/>
          <w14:ligatures w14:val="standardContextual"/>
        </w:rPr>
        <w:t xml:space="preserve">     The "Application of AI in Risk Management" course has equipped me with essential knowledge and skills directly applicable to my IT Control Analyst and TPRM work. By leveraging AI for risk assessment, continuous monitoring, compliance management, and ethical decision-making, I can enhance the effectiveness and efficiency of our risk management processes. The insights gained from case studies and integration strategies enable me to implement these AI solutions seamlessly within our existing frameworks. This reflection clearly connects the course content and my professional responsibilities, highlighting the practical benefits of applying AI in risk management.</w:t>
      </w:r>
    </w:p>
    <w:p w14:paraId="0701A1FF" w14:textId="77777777" w:rsidR="00A32C1C" w:rsidRPr="00A32C1C" w:rsidRDefault="00A32C1C" w:rsidP="00A32C1C">
      <w:pPr>
        <w:spacing w:after="160" w:line="480" w:lineRule="auto"/>
        <w:rPr>
          <w:rFonts w:ascii="Times New Roman" w:eastAsia="Aptos" w:hAnsi="Times New Roman"/>
          <w:kern w:val="2"/>
          <w:szCs w:val="24"/>
          <w14:ligatures w14:val="standardContextual"/>
        </w:rPr>
      </w:pPr>
    </w:p>
    <w:p w14:paraId="64B06802" w14:textId="77777777" w:rsidR="00A32C1C" w:rsidRPr="00A32C1C" w:rsidRDefault="00A32C1C" w:rsidP="00A32C1C">
      <w:pPr>
        <w:spacing w:after="160" w:line="278" w:lineRule="auto"/>
        <w:rPr>
          <w:rFonts w:ascii="Times New Roman" w:eastAsia="Aptos" w:hAnsi="Times New Roman"/>
          <w:b/>
          <w:bCs/>
          <w:kern w:val="2"/>
          <w:szCs w:val="24"/>
          <w14:ligatures w14:val="standardContextual"/>
        </w:rPr>
      </w:pPr>
    </w:p>
    <w:p w14:paraId="377B39AD"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49CC1CBB"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0EB28C20"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581F8E22"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0CDBE68A"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77FD2FDF"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1236CB62"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3DE924C9"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73F2F1CE" w14:textId="77777777" w:rsidR="009556D7" w:rsidRDefault="009556D7" w:rsidP="00A32C1C">
      <w:pPr>
        <w:spacing w:after="160" w:line="278" w:lineRule="auto"/>
        <w:jc w:val="center"/>
        <w:rPr>
          <w:rFonts w:ascii="Times New Roman" w:eastAsia="Aptos" w:hAnsi="Times New Roman"/>
          <w:b/>
          <w:bCs/>
          <w:kern w:val="2"/>
          <w:szCs w:val="24"/>
          <w14:ligatures w14:val="standardContextual"/>
        </w:rPr>
      </w:pPr>
    </w:p>
    <w:p w14:paraId="5E9313A7" w14:textId="34351853" w:rsidR="00A32C1C" w:rsidRPr="00A32C1C" w:rsidRDefault="00A32C1C" w:rsidP="00A32C1C">
      <w:pPr>
        <w:spacing w:after="160" w:line="278" w:lineRule="auto"/>
        <w:jc w:val="center"/>
        <w:rPr>
          <w:rFonts w:ascii="Times New Roman" w:eastAsia="Aptos" w:hAnsi="Times New Roman"/>
          <w:b/>
          <w:bCs/>
          <w:kern w:val="2"/>
          <w:szCs w:val="24"/>
          <w14:ligatures w14:val="standardContextual"/>
        </w:rPr>
      </w:pPr>
      <w:r w:rsidRPr="00A32C1C">
        <w:rPr>
          <w:rFonts w:ascii="Times New Roman" w:eastAsia="Aptos" w:hAnsi="Times New Roman"/>
          <w:b/>
          <w:bCs/>
          <w:kern w:val="2"/>
          <w:szCs w:val="24"/>
          <w14:ligatures w14:val="standardContextual"/>
        </w:rPr>
        <w:lastRenderedPageBreak/>
        <w:t>References</w:t>
      </w:r>
    </w:p>
    <w:p w14:paraId="4B65E255" w14:textId="77777777" w:rsidR="00A32C1C" w:rsidRPr="00A32C1C" w:rsidRDefault="00A32C1C" w:rsidP="00A32C1C">
      <w:pPr>
        <w:spacing w:after="160" w:line="480" w:lineRule="auto"/>
        <w:ind w:left="720" w:hanging="720"/>
        <w:rPr>
          <w:rFonts w:ascii="Times New Roman" w:eastAsia="Aptos" w:hAnsi="Times New Roman"/>
          <w:kern w:val="2"/>
          <w:szCs w:val="24"/>
          <w14:ligatures w14:val="standardContextual"/>
        </w:rPr>
      </w:pPr>
      <w:proofErr w:type="spellStart"/>
      <w:r w:rsidRPr="00A32C1C">
        <w:rPr>
          <w:rFonts w:ascii="Times New Roman" w:eastAsia="Aptos" w:hAnsi="Times New Roman"/>
          <w:kern w:val="2"/>
          <w:szCs w:val="24"/>
          <w14:ligatures w14:val="standardContextual"/>
        </w:rPr>
        <w:t>Cotelle</w:t>
      </w:r>
      <w:proofErr w:type="spellEnd"/>
      <w:r w:rsidRPr="00A32C1C">
        <w:rPr>
          <w:rFonts w:ascii="Times New Roman" w:eastAsia="Aptos" w:hAnsi="Times New Roman"/>
          <w:kern w:val="2"/>
          <w:szCs w:val="24"/>
          <w14:ligatures w14:val="standardContextual"/>
        </w:rPr>
        <w:t xml:space="preserve">, Ph., Dias, T., Florian, J., Gunes, O., (2009). Artificial Intelligence Applied to Risk Management, FERMA Perspectives vol. 3, pp.15–20. </w:t>
      </w:r>
      <w:hyperlink r:id="rId19" w:history="1">
        <w:r w:rsidRPr="00A32C1C">
          <w:rPr>
            <w:rFonts w:ascii="Times New Roman" w:eastAsia="Aptos" w:hAnsi="Times New Roman"/>
            <w:color w:val="467886"/>
            <w:kern w:val="2"/>
            <w:szCs w:val="24"/>
            <w:u w:val="single"/>
            <w14:ligatures w14:val="standardContextual"/>
          </w:rPr>
          <w:t>https://www.eciia.eu/wp-content/uploads/2019/11/FERMA-AI-applied-to-RM-FINAL.pdf</w:t>
        </w:r>
      </w:hyperlink>
    </w:p>
    <w:p w14:paraId="1EA8A99A" w14:textId="77777777" w:rsidR="00A32C1C" w:rsidRPr="00A32C1C" w:rsidRDefault="00A32C1C" w:rsidP="00A32C1C">
      <w:pPr>
        <w:spacing w:after="160" w:line="480" w:lineRule="auto"/>
        <w:ind w:left="720" w:hanging="720"/>
        <w:rPr>
          <w:rFonts w:ascii="Times New Roman" w:eastAsia="Aptos" w:hAnsi="Times New Roman"/>
          <w:kern w:val="2"/>
          <w:szCs w:val="24"/>
          <w14:ligatures w14:val="standardContextual"/>
        </w:rPr>
      </w:pPr>
      <w:r w:rsidRPr="00A32C1C">
        <w:rPr>
          <w:rFonts w:ascii="Times New Roman" w:eastAsia="Aptos" w:hAnsi="Times New Roman"/>
          <w:kern w:val="2"/>
          <w:szCs w:val="24"/>
          <w14:ligatures w14:val="standardContextual"/>
        </w:rPr>
        <w:t xml:space="preserve">Bigham, T., Nair, S., Soral, S., Tua, A., Gallo, V., Lee, M., Mews, T., Fouché, M. (2018). AI and Risk Management—Innovating with Confidence. Deloitte. </w:t>
      </w:r>
      <w:hyperlink r:id="rId20" w:history="1">
        <w:r w:rsidRPr="00A32C1C">
          <w:rPr>
            <w:rFonts w:ascii="Times New Roman" w:eastAsia="Aptos" w:hAnsi="Times New Roman"/>
            <w:color w:val="467886"/>
            <w:kern w:val="2"/>
            <w:szCs w:val="24"/>
            <w:u w:val="single"/>
            <w14:ligatures w14:val="standardContextual"/>
          </w:rPr>
          <w:t>https://www2.deloitte.com/content/dam/Deloitte/nl/Documents/innovatie/deloitte-nl-innovate-lu-ai-and-risk-management.pdf</w:t>
        </w:r>
      </w:hyperlink>
    </w:p>
    <w:p w14:paraId="5E3F25A9" w14:textId="77777777" w:rsidR="00A32C1C" w:rsidRPr="00A32C1C" w:rsidRDefault="00A32C1C" w:rsidP="00A32C1C">
      <w:pPr>
        <w:spacing w:after="160" w:line="480" w:lineRule="auto"/>
        <w:rPr>
          <w:rFonts w:ascii="Times New Roman" w:eastAsia="Calibri" w:hAnsi="Times New Roman"/>
          <w:kern w:val="2"/>
          <w:szCs w:val="24"/>
          <w14:ligatures w14:val="standardContextual"/>
        </w:rPr>
      </w:pPr>
    </w:p>
    <w:p w14:paraId="6C552890" w14:textId="77777777" w:rsidR="00A32C1C" w:rsidRPr="00A32C1C" w:rsidRDefault="00A32C1C" w:rsidP="00A32C1C">
      <w:pPr>
        <w:spacing w:after="160" w:line="480" w:lineRule="auto"/>
        <w:rPr>
          <w:rFonts w:ascii="Times New Roman" w:eastAsia="Calibri" w:hAnsi="Times New Roman"/>
          <w:kern w:val="2"/>
          <w:szCs w:val="24"/>
          <w14:ligatures w14:val="standardContextual"/>
        </w:rPr>
      </w:pPr>
    </w:p>
    <w:bookmarkEnd w:id="1"/>
    <w:p w14:paraId="4F85A777" w14:textId="77777777" w:rsidR="00A32C1C" w:rsidRDefault="00A32C1C" w:rsidP="00E479DD">
      <w:pPr>
        <w:spacing w:after="160" w:line="480" w:lineRule="auto"/>
        <w:rPr>
          <w:rFonts w:ascii="Times New Roman" w:eastAsia="Calibri" w:hAnsi="Times New Roman"/>
          <w:b/>
          <w:bCs/>
          <w:kern w:val="2"/>
          <w:szCs w:val="24"/>
          <w14:ligatures w14:val="standardContextual"/>
        </w:rPr>
      </w:pPr>
    </w:p>
    <w:p w14:paraId="39B4C757" w14:textId="77777777" w:rsidR="00A32C1C" w:rsidRDefault="00A32C1C" w:rsidP="00E479DD">
      <w:pPr>
        <w:spacing w:after="160" w:line="480" w:lineRule="auto"/>
        <w:rPr>
          <w:rFonts w:ascii="Times New Roman" w:eastAsia="Calibri" w:hAnsi="Times New Roman"/>
          <w:b/>
          <w:bCs/>
          <w:kern w:val="2"/>
          <w:szCs w:val="24"/>
          <w14:ligatures w14:val="standardContextual"/>
        </w:rPr>
      </w:pPr>
    </w:p>
    <w:p w14:paraId="07F91546" w14:textId="77777777" w:rsidR="00A32C1C" w:rsidRDefault="00A32C1C" w:rsidP="00E479DD">
      <w:pPr>
        <w:spacing w:after="160" w:line="480" w:lineRule="auto"/>
        <w:rPr>
          <w:rFonts w:ascii="Times New Roman" w:eastAsia="Calibri" w:hAnsi="Times New Roman"/>
          <w:b/>
          <w:bCs/>
          <w:kern w:val="2"/>
          <w:szCs w:val="24"/>
          <w14:ligatures w14:val="standardContextual"/>
        </w:rPr>
      </w:pPr>
    </w:p>
    <w:p w14:paraId="363E9DE9" w14:textId="77777777" w:rsidR="00A32C1C" w:rsidRDefault="00A32C1C" w:rsidP="00E479DD">
      <w:pPr>
        <w:spacing w:after="160" w:line="480" w:lineRule="auto"/>
        <w:rPr>
          <w:rFonts w:ascii="Times New Roman" w:eastAsia="Calibri" w:hAnsi="Times New Roman"/>
          <w:b/>
          <w:bCs/>
          <w:kern w:val="2"/>
          <w:szCs w:val="24"/>
          <w14:ligatures w14:val="standardContextual"/>
        </w:rPr>
      </w:pPr>
    </w:p>
    <w:p w14:paraId="057EACEA" w14:textId="77777777" w:rsidR="00A32C1C" w:rsidRDefault="00A32C1C" w:rsidP="00E479DD">
      <w:pPr>
        <w:spacing w:after="160" w:line="480" w:lineRule="auto"/>
        <w:rPr>
          <w:rFonts w:ascii="Times New Roman" w:eastAsia="Calibri" w:hAnsi="Times New Roman"/>
          <w:b/>
          <w:bCs/>
          <w:kern w:val="2"/>
          <w:szCs w:val="24"/>
          <w14:ligatures w14:val="standardContextual"/>
        </w:rPr>
      </w:pPr>
    </w:p>
    <w:p w14:paraId="3BB22A57" w14:textId="77777777" w:rsidR="00A32C1C" w:rsidRDefault="00A32C1C" w:rsidP="00E479DD">
      <w:pPr>
        <w:spacing w:after="160" w:line="480" w:lineRule="auto"/>
        <w:rPr>
          <w:rFonts w:ascii="Times New Roman" w:eastAsia="Calibri" w:hAnsi="Times New Roman"/>
          <w:b/>
          <w:bCs/>
          <w:kern w:val="2"/>
          <w:szCs w:val="24"/>
          <w14:ligatures w14:val="standardContextual"/>
        </w:rPr>
      </w:pPr>
    </w:p>
    <w:p w14:paraId="09169859" w14:textId="77777777" w:rsidR="00A32C1C" w:rsidRDefault="00A32C1C" w:rsidP="00E479DD">
      <w:pPr>
        <w:spacing w:after="160" w:line="480" w:lineRule="auto"/>
        <w:rPr>
          <w:rFonts w:ascii="Times New Roman" w:eastAsia="Calibri" w:hAnsi="Times New Roman"/>
          <w:b/>
          <w:bCs/>
          <w:kern w:val="2"/>
          <w:szCs w:val="24"/>
          <w14:ligatures w14:val="standardContextual"/>
        </w:rPr>
      </w:pPr>
    </w:p>
    <w:p w14:paraId="0B17666D" w14:textId="77777777" w:rsidR="00A32C1C" w:rsidRDefault="00A32C1C" w:rsidP="00E479DD">
      <w:pPr>
        <w:spacing w:after="160" w:line="480" w:lineRule="auto"/>
        <w:rPr>
          <w:rFonts w:ascii="Times New Roman" w:eastAsia="Calibri" w:hAnsi="Times New Roman"/>
          <w:b/>
          <w:bCs/>
          <w:kern w:val="2"/>
          <w:szCs w:val="24"/>
          <w14:ligatures w14:val="standardContextual"/>
        </w:rPr>
      </w:pPr>
    </w:p>
    <w:p w14:paraId="5890D1BB" w14:textId="77777777" w:rsidR="00A32C1C" w:rsidRDefault="00A32C1C" w:rsidP="00E479DD">
      <w:pPr>
        <w:spacing w:after="160" w:line="480" w:lineRule="auto"/>
        <w:rPr>
          <w:rFonts w:ascii="Times New Roman" w:eastAsia="Calibri" w:hAnsi="Times New Roman"/>
          <w:b/>
          <w:bCs/>
          <w:kern w:val="2"/>
          <w:szCs w:val="24"/>
          <w14:ligatures w14:val="standardContextual"/>
        </w:rPr>
      </w:pPr>
    </w:p>
    <w:sectPr w:rsidR="00A32C1C" w:rsidSect="007F1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C2660" w14:textId="77777777" w:rsidR="000D2D02" w:rsidRDefault="000D2D02">
      <w:r>
        <w:separator/>
      </w:r>
    </w:p>
  </w:endnote>
  <w:endnote w:type="continuationSeparator" w:id="0">
    <w:p w14:paraId="1220F4D9" w14:textId="77777777" w:rsidR="000D2D02" w:rsidRDefault="000D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2F74E" w14:textId="77777777" w:rsidR="00A063AE" w:rsidRDefault="00A06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595A4" w14:textId="77777777" w:rsidR="00A063AE" w:rsidRDefault="00A063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A4F53" w14:textId="77777777" w:rsidR="00A063AE" w:rsidRDefault="00A06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E211D" w14:textId="77777777" w:rsidR="000D2D02" w:rsidRDefault="000D2D02">
      <w:r>
        <w:separator/>
      </w:r>
    </w:p>
  </w:footnote>
  <w:footnote w:type="continuationSeparator" w:id="0">
    <w:p w14:paraId="2E37CA31" w14:textId="77777777" w:rsidR="000D2D02" w:rsidRDefault="000D2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72EE" w14:textId="77777777" w:rsidR="00C57C3A" w:rsidRDefault="00C57C3A"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B72EF" w14:textId="77777777" w:rsidR="00C57C3A" w:rsidRDefault="00C57C3A"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72F0"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1</w:t>
    </w:r>
    <w:r>
      <w:rPr>
        <w:rStyle w:val="PageNumber"/>
        <w:rFonts w:ascii="Times New Roman" w:hAnsi="Times New Roman"/>
      </w:rPr>
      <w:fldChar w:fldCharType="end"/>
    </w:r>
  </w:p>
  <w:p w14:paraId="695B72F1" w14:textId="52C2C115"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72F2" w14:textId="77777777" w:rsidR="00C57C3A" w:rsidRDefault="00C57C3A"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D38"/>
    <w:multiLevelType w:val="hybridMultilevel"/>
    <w:tmpl w:val="3236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5496"/>
    <w:multiLevelType w:val="hybridMultilevel"/>
    <w:tmpl w:val="E3A25A08"/>
    <w:lvl w:ilvl="0" w:tplc="FFFFFFF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2F5BDD"/>
    <w:multiLevelType w:val="multilevel"/>
    <w:tmpl w:val="CCBE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114F6"/>
    <w:multiLevelType w:val="hybridMultilevel"/>
    <w:tmpl w:val="2BDCF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F64A5"/>
    <w:multiLevelType w:val="multilevel"/>
    <w:tmpl w:val="BA38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56CF3"/>
    <w:multiLevelType w:val="hybridMultilevel"/>
    <w:tmpl w:val="4B7423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A502477"/>
    <w:multiLevelType w:val="hybridMultilevel"/>
    <w:tmpl w:val="A264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C3195B"/>
    <w:multiLevelType w:val="hybridMultilevel"/>
    <w:tmpl w:val="58CCE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849ED"/>
    <w:multiLevelType w:val="hybridMultilevel"/>
    <w:tmpl w:val="6AC0A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5C6A91"/>
    <w:multiLevelType w:val="hybridMultilevel"/>
    <w:tmpl w:val="7A28C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704619"/>
    <w:multiLevelType w:val="hybridMultilevel"/>
    <w:tmpl w:val="C9DC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013FC"/>
    <w:multiLevelType w:val="hybridMultilevel"/>
    <w:tmpl w:val="68BA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F3517"/>
    <w:multiLevelType w:val="hybridMultilevel"/>
    <w:tmpl w:val="1756B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13478D"/>
    <w:multiLevelType w:val="hybridMultilevel"/>
    <w:tmpl w:val="17F69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C366D"/>
    <w:multiLevelType w:val="hybridMultilevel"/>
    <w:tmpl w:val="4E98A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E7A"/>
    <w:multiLevelType w:val="multilevel"/>
    <w:tmpl w:val="D5A2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D1F97"/>
    <w:multiLevelType w:val="hybridMultilevel"/>
    <w:tmpl w:val="80E8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E2EEE"/>
    <w:multiLevelType w:val="hybridMultilevel"/>
    <w:tmpl w:val="D63C7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8829CC"/>
    <w:multiLevelType w:val="hybridMultilevel"/>
    <w:tmpl w:val="D2943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E76BB4"/>
    <w:multiLevelType w:val="hybridMultilevel"/>
    <w:tmpl w:val="1D9425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278359D"/>
    <w:multiLevelType w:val="hybridMultilevel"/>
    <w:tmpl w:val="B4828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6B240F"/>
    <w:multiLevelType w:val="hybridMultilevel"/>
    <w:tmpl w:val="91888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C02FA0"/>
    <w:multiLevelType w:val="hybridMultilevel"/>
    <w:tmpl w:val="59DA9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F05A48"/>
    <w:multiLevelType w:val="hybridMultilevel"/>
    <w:tmpl w:val="16F059A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88068E3"/>
    <w:multiLevelType w:val="hybridMultilevel"/>
    <w:tmpl w:val="B54EF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C6772"/>
    <w:multiLevelType w:val="hybridMultilevel"/>
    <w:tmpl w:val="EEEC7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B4608"/>
    <w:multiLevelType w:val="hybridMultilevel"/>
    <w:tmpl w:val="F00C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9F78E1"/>
    <w:multiLevelType w:val="hybridMultilevel"/>
    <w:tmpl w:val="D63C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13EA5"/>
    <w:multiLevelType w:val="hybridMultilevel"/>
    <w:tmpl w:val="6B0C4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8F610D"/>
    <w:multiLevelType w:val="hybridMultilevel"/>
    <w:tmpl w:val="CC208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6B0A63"/>
    <w:multiLevelType w:val="hybridMultilevel"/>
    <w:tmpl w:val="7DEC2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7875DF"/>
    <w:multiLevelType w:val="hybridMultilevel"/>
    <w:tmpl w:val="7DEE7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864899"/>
    <w:multiLevelType w:val="hybridMultilevel"/>
    <w:tmpl w:val="FD1A6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E451BB"/>
    <w:multiLevelType w:val="multilevel"/>
    <w:tmpl w:val="7D3E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80691"/>
    <w:multiLevelType w:val="hybridMultilevel"/>
    <w:tmpl w:val="A46E7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160A63"/>
    <w:multiLevelType w:val="hybridMultilevel"/>
    <w:tmpl w:val="06A07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6E16F6A"/>
    <w:multiLevelType w:val="hybridMultilevel"/>
    <w:tmpl w:val="1B48E89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A412A6"/>
    <w:multiLevelType w:val="hybridMultilevel"/>
    <w:tmpl w:val="2446E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5260C5"/>
    <w:multiLevelType w:val="hybridMultilevel"/>
    <w:tmpl w:val="655E1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8F4F14"/>
    <w:multiLevelType w:val="hybridMultilevel"/>
    <w:tmpl w:val="11AA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599417">
    <w:abstractNumId w:val="15"/>
  </w:num>
  <w:num w:numId="2" w16cid:durableId="1814758665">
    <w:abstractNumId w:val="33"/>
  </w:num>
  <w:num w:numId="3" w16cid:durableId="1513640616">
    <w:abstractNumId w:val="2"/>
  </w:num>
  <w:num w:numId="4" w16cid:durableId="169565769">
    <w:abstractNumId w:val="5"/>
  </w:num>
  <w:num w:numId="5" w16cid:durableId="1671786281">
    <w:abstractNumId w:val="20"/>
  </w:num>
  <w:num w:numId="6" w16cid:durableId="1768505500">
    <w:abstractNumId w:val="28"/>
  </w:num>
  <w:num w:numId="7" w16cid:durableId="832260239">
    <w:abstractNumId w:val="29"/>
  </w:num>
  <w:num w:numId="8" w16cid:durableId="31349211">
    <w:abstractNumId w:val="32"/>
  </w:num>
  <w:num w:numId="9" w16cid:durableId="1450737506">
    <w:abstractNumId w:val="13"/>
  </w:num>
  <w:num w:numId="10" w16cid:durableId="1070805822">
    <w:abstractNumId w:val="6"/>
  </w:num>
  <w:num w:numId="11" w16cid:durableId="764224943">
    <w:abstractNumId w:val="30"/>
  </w:num>
  <w:num w:numId="12" w16cid:durableId="889002549">
    <w:abstractNumId w:val="3"/>
  </w:num>
  <w:num w:numId="13" w16cid:durableId="779490369">
    <w:abstractNumId w:val="17"/>
  </w:num>
  <w:num w:numId="14" w16cid:durableId="960577000">
    <w:abstractNumId w:val="9"/>
  </w:num>
  <w:num w:numId="15" w16cid:durableId="594283894">
    <w:abstractNumId w:val="12"/>
  </w:num>
  <w:num w:numId="16" w16cid:durableId="746610436">
    <w:abstractNumId w:val="38"/>
  </w:num>
  <w:num w:numId="17" w16cid:durableId="1915814534">
    <w:abstractNumId w:val="34"/>
  </w:num>
  <w:num w:numId="18" w16cid:durableId="58944792">
    <w:abstractNumId w:val="36"/>
  </w:num>
  <w:num w:numId="19" w16cid:durableId="1208758526">
    <w:abstractNumId w:val="4"/>
  </w:num>
  <w:num w:numId="20" w16cid:durableId="680550363">
    <w:abstractNumId w:val="7"/>
  </w:num>
  <w:num w:numId="21" w16cid:durableId="1379547093">
    <w:abstractNumId w:val="8"/>
  </w:num>
  <w:num w:numId="22" w16cid:durableId="1099063110">
    <w:abstractNumId w:val="18"/>
  </w:num>
  <w:num w:numId="23" w16cid:durableId="1659379926">
    <w:abstractNumId w:val="37"/>
  </w:num>
  <w:num w:numId="24" w16cid:durableId="671491914">
    <w:abstractNumId w:val="35"/>
  </w:num>
  <w:num w:numId="25" w16cid:durableId="1503663832">
    <w:abstractNumId w:val="10"/>
  </w:num>
  <w:num w:numId="26" w16cid:durableId="849686818">
    <w:abstractNumId w:val="11"/>
  </w:num>
  <w:num w:numId="27" w16cid:durableId="1478449263">
    <w:abstractNumId w:val="23"/>
  </w:num>
  <w:num w:numId="28" w16cid:durableId="1645617496">
    <w:abstractNumId w:val="26"/>
  </w:num>
  <w:num w:numId="29" w16cid:durableId="78989235">
    <w:abstractNumId w:val="25"/>
  </w:num>
  <w:num w:numId="30" w16cid:durableId="1888713841">
    <w:abstractNumId w:val="21"/>
  </w:num>
  <w:num w:numId="31" w16cid:durableId="630481026">
    <w:abstractNumId w:val="19"/>
  </w:num>
  <w:num w:numId="32" w16cid:durableId="11954349">
    <w:abstractNumId w:val="1"/>
  </w:num>
  <w:num w:numId="33" w16cid:durableId="758870859">
    <w:abstractNumId w:val="31"/>
  </w:num>
  <w:num w:numId="34" w16cid:durableId="133061015">
    <w:abstractNumId w:val="16"/>
  </w:num>
  <w:num w:numId="35" w16cid:durableId="1644312795">
    <w:abstractNumId w:val="27"/>
  </w:num>
  <w:num w:numId="36" w16cid:durableId="2130583723">
    <w:abstractNumId w:val="0"/>
  </w:num>
  <w:num w:numId="37" w16cid:durableId="2103184230">
    <w:abstractNumId w:val="39"/>
  </w:num>
  <w:num w:numId="38" w16cid:durableId="1325628572">
    <w:abstractNumId w:val="14"/>
  </w:num>
  <w:num w:numId="39" w16cid:durableId="207838426">
    <w:abstractNumId w:val="22"/>
  </w:num>
  <w:num w:numId="40" w16cid:durableId="18605869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3MjQ0MjA1NbU0NTFS0lEKTi0uzszPAykwtqwFAB9agHMtAAAA"/>
  </w:docVars>
  <w:rsids>
    <w:rsidRoot w:val="005B3002"/>
    <w:rsid w:val="000152A1"/>
    <w:rsid w:val="00032BCC"/>
    <w:rsid w:val="00047B56"/>
    <w:rsid w:val="00050408"/>
    <w:rsid w:val="0005756E"/>
    <w:rsid w:val="000606D9"/>
    <w:rsid w:val="0006376C"/>
    <w:rsid w:val="00064166"/>
    <w:rsid w:val="00076542"/>
    <w:rsid w:val="000954E7"/>
    <w:rsid w:val="00097A52"/>
    <w:rsid w:val="000A6A8B"/>
    <w:rsid w:val="000B108C"/>
    <w:rsid w:val="000C23AE"/>
    <w:rsid w:val="000D06D9"/>
    <w:rsid w:val="000D2D02"/>
    <w:rsid w:val="000F2668"/>
    <w:rsid w:val="000F54CA"/>
    <w:rsid w:val="0010148A"/>
    <w:rsid w:val="00112BD4"/>
    <w:rsid w:val="00114729"/>
    <w:rsid w:val="00130E17"/>
    <w:rsid w:val="001362F8"/>
    <w:rsid w:val="00143DA7"/>
    <w:rsid w:val="00145462"/>
    <w:rsid w:val="0014613A"/>
    <w:rsid w:val="00162E95"/>
    <w:rsid w:val="001A00F2"/>
    <w:rsid w:val="001D23DF"/>
    <w:rsid w:val="001D4DBE"/>
    <w:rsid w:val="001F000D"/>
    <w:rsid w:val="0020156B"/>
    <w:rsid w:val="002051B3"/>
    <w:rsid w:val="00224ED4"/>
    <w:rsid w:val="002255C3"/>
    <w:rsid w:val="00231824"/>
    <w:rsid w:val="00234456"/>
    <w:rsid w:val="00240D3B"/>
    <w:rsid w:val="00242A6F"/>
    <w:rsid w:val="0028189D"/>
    <w:rsid w:val="00290F40"/>
    <w:rsid w:val="002A44EE"/>
    <w:rsid w:val="002A6A48"/>
    <w:rsid w:val="002C11C2"/>
    <w:rsid w:val="002D08B1"/>
    <w:rsid w:val="002D30A6"/>
    <w:rsid w:val="002D6409"/>
    <w:rsid w:val="002D765A"/>
    <w:rsid w:val="003002D0"/>
    <w:rsid w:val="00311BDA"/>
    <w:rsid w:val="003160BD"/>
    <w:rsid w:val="0032177F"/>
    <w:rsid w:val="00336486"/>
    <w:rsid w:val="00337D20"/>
    <w:rsid w:val="0035053D"/>
    <w:rsid w:val="003A76E3"/>
    <w:rsid w:val="003C4AD3"/>
    <w:rsid w:val="003D3F7D"/>
    <w:rsid w:val="003E3598"/>
    <w:rsid w:val="003F67C6"/>
    <w:rsid w:val="004005C5"/>
    <w:rsid w:val="00401289"/>
    <w:rsid w:val="004077E6"/>
    <w:rsid w:val="00416260"/>
    <w:rsid w:val="0041720D"/>
    <w:rsid w:val="00417C4D"/>
    <w:rsid w:val="004378AB"/>
    <w:rsid w:val="004572D9"/>
    <w:rsid w:val="00495209"/>
    <w:rsid w:val="004D0267"/>
    <w:rsid w:val="004D0435"/>
    <w:rsid w:val="004D3041"/>
    <w:rsid w:val="004E0BD4"/>
    <w:rsid w:val="004E4C23"/>
    <w:rsid w:val="004F1451"/>
    <w:rsid w:val="004F22BF"/>
    <w:rsid w:val="005178AC"/>
    <w:rsid w:val="00534B8D"/>
    <w:rsid w:val="00562B97"/>
    <w:rsid w:val="00570DE2"/>
    <w:rsid w:val="005856D1"/>
    <w:rsid w:val="005A0EBF"/>
    <w:rsid w:val="005B3002"/>
    <w:rsid w:val="005C34D0"/>
    <w:rsid w:val="005D1B22"/>
    <w:rsid w:val="005E7040"/>
    <w:rsid w:val="005F06DB"/>
    <w:rsid w:val="005F3ECB"/>
    <w:rsid w:val="005F5586"/>
    <w:rsid w:val="00600D6B"/>
    <w:rsid w:val="00602338"/>
    <w:rsid w:val="00605CA5"/>
    <w:rsid w:val="00610801"/>
    <w:rsid w:val="00646006"/>
    <w:rsid w:val="0066210B"/>
    <w:rsid w:val="00662A6E"/>
    <w:rsid w:val="00663134"/>
    <w:rsid w:val="00666166"/>
    <w:rsid w:val="006679B9"/>
    <w:rsid w:val="006807E1"/>
    <w:rsid w:val="0069549C"/>
    <w:rsid w:val="006B717D"/>
    <w:rsid w:val="006D118B"/>
    <w:rsid w:val="006D6DE2"/>
    <w:rsid w:val="00701D51"/>
    <w:rsid w:val="0070774F"/>
    <w:rsid w:val="00746016"/>
    <w:rsid w:val="007502AA"/>
    <w:rsid w:val="00752F3B"/>
    <w:rsid w:val="00780D21"/>
    <w:rsid w:val="00793E9E"/>
    <w:rsid w:val="00794CA9"/>
    <w:rsid w:val="007A25F0"/>
    <w:rsid w:val="007B4C1F"/>
    <w:rsid w:val="007B72E0"/>
    <w:rsid w:val="007C0C0A"/>
    <w:rsid w:val="007E20F7"/>
    <w:rsid w:val="007E537D"/>
    <w:rsid w:val="007F1E8B"/>
    <w:rsid w:val="008033CB"/>
    <w:rsid w:val="00803406"/>
    <w:rsid w:val="00803D13"/>
    <w:rsid w:val="00815BE9"/>
    <w:rsid w:val="00824DD6"/>
    <w:rsid w:val="0083741B"/>
    <w:rsid w:val="008449CA"/>
    <w:rsid w:val="00845784"/>
    <w:rsid w:val="008714D9"/>
    <w:rsid w:val="00880EFA"/>
    <w:rsid w:val="00881D66"/>
    <w:rsid w:val="008A0746"/>
    <w:rsid w:val="008B163F"/>
    <w:rsid w:val="008B7231"/>
    <w:rsid w:val="008C0CC6"/>
    <w:rsid w:val="008D5028"/>
    <w:rsid w:val="008D73F2"/>
    <w:rsid w:val="0091456A"/>
    <w:rsid w:val="009215C4"/>
    <w:rsid w:val="00927B32"/>
    <w:rsid w:val="009556D7"/>
    <w:rsid w:val="0095725F"/>
    <w:rsid w:val="00975A9A"/>
    <w:rsid w:val="0098272E"/>
    <w:rsid w:val="00992755"/>
    <w:rsid w:val="00996D8B"/>
    <w:rsid w:val="009A4431"/>
    <w:rsid w:val="009A7176"/>
    <w:rsid w:val="009C1DB6"/>
    <w:rsid w:val="009D29EB"/>
    <w:rsid w:val="009D62D3"/>
    <w:rsid w:val="009E5873"/>
    <w:rsid w:val="009F4405"/>
    <w:rsid w:val="009F6542"/>
    <w:rsid w:val="009F6B51"/>
    <w:rsid w:val="00A063AE"/>
    <w:rsid w:val="00A32C1C"/>
    <w:rsid w:val="00A47A94"/>
    <w:rsid w:val="00A56762"/>
    <w:rsid w:val="00A603EF"/>
    <w:rsid w:val="00A64093"/>
    <w:rsid w:val="00A8109D"/>
    <w:rsid w:val="00A858F1"/>
    <w:rsid w:val="00A944F0"/>
    <w:rsid w:val="00A96AC1"/>
    <w:rsid w:val="00AA292A"/>
    <w:rsid w:val="00AA2964"/>
    <w:rsid w:val="00AB3149"/>
    <w:rsid w:val="00AC3D12"/>
    <w:rsid w:val="00AC3E3B"/>
    <w:rsid w:val="00AD11D9"/>
    <w:rsid w:val="00AD69F6"/>
    <w:rsid w:val="00AE3766"/>
    <w:rsid w:val="00AE3AFA"/>
    <w:rsid w:val="00B053D6"/>
    <w:rsid w:val="00B24085"/>
    <w:rsid w:val="00B33670"/>
    <w:rsid w:val="00B42581"/>
    <w:rsid w:val="00B762B7"/>
    <w:rsid w:val="00B77704"/>
    <w:rsid w:val="00B83275"/>
    <w:rsid w:val="00B83813"/>
    <w:rsid w:val="00B83D9D"/>
    <w:rsid w:val="00B9240C"/>
    <w:rsid w:val="00BB54B8"/>
    <w:rsid w:val="00BB6A25"/>
    <w:rsid w:val="00BB7F50"/>
    <w:rsid w:val="00BD39AD"/>
    <w:rsid w:val="00BD40B5"/>
    <w:rsid w:val="00BD7DED"/>
    <w:rsid w:val="00BE2BC2"/>
    <w:rsid w:val="00BE52E1"/>
    <w:rsid w:val="00BE74A7"/>
    <w:rsid w:val="00BF1C50"/>
    <w:rsid w:val="00C0158D"/>
    <w:rsid w:val="00C01CE2"/>
    <w:rsid w:val="00C11EB3"/>
    <w:rsid w:val="00C40592"/>
    <w:rsid w:val="00C43FEC"/>
    <w:rsid w:val="00C50C36"/>
    <w:rsid w:val="00C5278C"/>
    <w:rsid w:val="00C57C3A"/>
    <w:rsid w:val="00C62697"/>
    <w:rsid w:val="00C65EDD"/>
    <w:rsid w:val="00C807CB"/>
    <w:rsid w:val="00C92978"/>
    <w:rsid w:val="00C9345B"/>
    <w:rsid w:val="00C9541A"/>
    <w:rsid w:val="00C95490"/>
    <w:rsid w:val="00CA0556"/>
    <w:rsid w:val="00CF7642"/>
    <w:rsid w:val="00D06927"/>
    <w:rsid w:val="00D12630"/>
    <w:rsid w:val="00D1551D"/>
    <w:rsid w:val="00D169CE"/>
    <w:rsid w:val="00D1758F"/>
    <w:rsid w:val="00D67352"/>
    <w:rsid w:val="00D7232F"/>
    <w:rsid w:val="00D85319"/>
    <w:rsid w:val="00D900D6"/>
    <w:rsid w:val="00D9041D"/>
    <w:rsid w:val="00DA127F"/>
    <w:rsid w:val="00DA2EC5"/>
    <w:rsid w:val="00DC3C69"/>
    <w:rsid w:val="00DD7D92"/>
    <w:rsid w:val="00DF098F"/>
    <w:rsid w:val="00DF12D2"/>
    <w:rsid w:val="00DF7354"/>
    <w:rsid w:val="00E03171"/>
    <w:rsid w:val="00E075E9"/>
    <w:rsid w:val="00E11C49"/>
    <w:rsid w:val="00E34F78"/>
    <w:rsid w:val="00E42125"/>
    <w:rsid w:val="00E479DD"/>
    <w:rsid w:val="00E50224"/>
    <w:rsid w:val="00E51265"/>
    <w:rsid w:val="00E62503"/>
    <w:rsid w:val="00E709EB"/>
    <w:rsid w:val="00E84CF4"/>
    <w:rsid w:val="00E853F5"/>
    <w:rsid w:val="00E905BE"/>
    <w:rsid w:val="00E91D07"/>
    <w:rsid w:val="00E9627D"/>
    <w:rsid w:val="00EA64F0"/>
    <w:rsid w:val="00EA66CD"/>
    <w:rsid w:val="00EC0BE3"/>
    <w:rsid w:val="00EC6A47"/>
    <w:rsid w:val="00EE6EE0"/>
    <w:rsid w:val="00EF16D2"/>
    <w:rsid w:val="00F00330"/>
    <w:rsid w:val="00F20232"/>
    <w:rsid w:val="00F260E2"/>
    <w:rsid w:val="00F3328C"/>
    <w:rsid w:val="00F62A00"/>
    <w:rsid w:val="00F63882"/>
    <w:rsid w:val="00F67EBA"/>
    <w:rsid w:val="00F9222E"/>
    <w:rsid w:val="00F95CDC"/>
    <w:rsid w:val="00FA4389"/>
    <w:rsid w:val="00FA5690"/>
    <w:rsid w:val="00FB13CF"/>
    <w:rsid w:val="00FB7CFE"/>
    <w:rsid w:val="00FD18E5"/>
    <w:rsid w:val="00F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B72CB"/>
  <w15:chartTrackingRefBased/>
  <w15:docId w15:val="{DADFCB91-7DB9-4914-B5E8-B2C36F9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paragraph" w:styleId="Heading3">
    <w:name w:val="heading 3"/>
    <w:basedOn w:val="Normal"/>
    <w:next w:val="Normal"/>
    <w:link w:val="Heading3Char"/>
    <w:semiHidden/>
    <w:unhideWhenUsed/>
    <w:qFormat/>
    <w:rsid w:val="00C6269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link w:val="Heading5Char"/>
    <w:uiPriority w:val="9"/>
    <w:qFormat/>
    <w:rsid w:val="00A063AE"/>
    <w:pPr>
      <w:spacing w:before="100" w:beforeAutospacing="1" w:after="100" w:afterAutospacing="1"/>
      <w:outlineLvl w:val="4"/>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162E95"/>
    <w:pPr>
      <w:widowControl w:val="0"/>
      <w:spacing w:line="480" w:lineRule="auto"/>
      <w:ind w:left="720" w:hanging="720"/>
    </w:pPr>
    <w:rPr>
      <w:rFonts w:ascii="Times New Roman" w:hAnsi="Times New Roman" w:cs="Lucida Sans Unicode"/>
      <w:bCs/>
      <w:kern w:val="32"/>
      <w:szCs w:val="24"/>
    </w:rPr>
  </w:style>
  <w:style w:type="character" w:styleId="Hyperlink">
    <w:name w:val="Hyperlink"/>
    <w:uiPriority w:val="99"/>
    <w:rsid w:val="00B83D9D"/>
    <w:rPr>
      <w:color w:val="0000FF"/>
      <w:u w:val="single"/>
    </w:rPr>
  </w:style>
  <w:style w:type="paragraph" w:styleId="BalloonText">
    <w:name w:val="Balloon Text"/>
    <w:basedOn w:val="Normal"/>
    <w:link w:val="BalloonTextChar"/>
    <w:rsid w:val="0035053D"/>
    <w:rPr>
      <w:rFonts w:ascii="Segoe UI" w:hAnsi="Segoe UI" w:cs="Segoe UI"/>
      <w:sz w:val="18"/>
      <w:szCs w:val="18"/>
    </w:rPr>
  </w:style>
  <w:style w:type="character" w:customStyle="1" w:styleId="BalloonTextChar">
    <w:name w:val="Balloon Text Char"/>
    <w:basedOn w:val="DefaultParagraphFont"/>
    <w:link w:val="BalloonText"/>
    <w:rsid w:val="0035053D"/>
    <w:rPr>
      <w:rFonts w:ascii="Segoe UI" w:hAnsi="Segoe UI" w:cs="Segoe UI"/>
      <w:sz w:val="18"/>
      <w:szCs w:val="18"/>
    </w:rPr>
  </w:style>
  <w:style w:type="character" w:styleId="CommentReference">
    <w:name w:val="annotation reference"/>
    <w:basedOn w:val="DefaultParagraphFont"/>
    <w:rsid w:val="00311BDA"/>
    <w:rPr>
      <w:sz w:val="16"/>
      <w:szCs w:val="16"/>
    </w:rPr>
  </w:style>
  <w:style w:type="paragraph" w:styleId="CommentText">
    <w:name w:val="annotation text"/>
    <w:basedOn w:val="Normal"/>
    <w:link w:val="CommentTextChar"/>
    <w:rsid w:val="00311BDA"/>
    <w:rPr>
      <w:sz w:val="20"/>
    </w:rPr>
  </w:style>
  <w:style w:type="character" w:customStyle="1" w:styleId="CommentTextChar">
    <w:name w:val="Comment Text Char"/>
    <w:basedOn w:val="DefaultParagraphFont"/>
    <w:link w:val="CommentText"/>
    <w:rsid w:val="00311BDA"/>
    <w:rPr>
      <w:rFonts w:ascii="Arial" w:hAnsi="Arial"/>
    </w:rPr>
  </w:style>
  <w:style w:type="paragraph" w:styleId="CommentSubject">
    <w:name w:val="annotation subject"/>
    <w:basedOn w:val="CommentText"/>
    <w:next w:val="CommentText"/>
    <w:link w:val="CommentSubjectChar"/>
    <w:rsid w:val="00311BDA"/>
    <w:rPr>
      <w:b/>
      <w:bCs/>
    </w:rPr>
  </w:style>
  <w:style w:type="character" w:customStyle="1" w:styleId="CommentSubjectChar">
    <w:name w:val="Comment Subject Char"/>
    <w:basedOn w:val="CommentTextChar"/>
    <w:link w:val="CommentSubject"/>
    <w:rsid w:val="00311BDA"/>
    <w:rPr>
      <w:rFonts w:ascii="Arial" w:hAnsi="Arial"/>
      <w:b/>
      <w:bCs/>
    </w:rPr>
  </w:style>
  <w:style w:type="character" w:customStyle="1" w:styleId="jss663">
    <w:name w:val="jss663"/>
    <w:basedOn w:val="DefaultParagraphFont"/>
    <w:rsid w:val="00231824"/>
  </w:style>
  <w:style w:type="character" w:customStyle="1" w:styleId="jss666">
    <w:name w:val="jss666"/>
    <w:basedOn w:val="DefaultParagraphFont"/>
    <w:rsid w:val="00231824"/>
  </w:style>
  <w:style w:type="character" w:customStyle="1" w:styleId="Heading5Char">
    <w:name w:val="Heading 5 Char"/>
    <w:basedOn w:val="DefaultParagraphFont"/>
    <w:link w:val="Heading5"/>
    <w:uiPriority w:val="9"/>
    <w:rsid w:val="00A063AE"/>
    <w:rPr>
      <w:b/>
      <w:bCs/>
    </w:rPr>
  </w:style>
  <w:style w:type="character" w:styleId="UnresolvedMention">
    <w:name w:val="Unresolved Mention"/>
    <w:basedOn w:val="DefaultParagraphFont"/>
    <w:uiPriority w:val="99"/>
    <w:semiHidden/>
    <w:unhideWhenUsed/>
    <w:rsid w:val="00A063AE"/>
    <w:rPr>
      <w:color w:val="605E5C"/>
      <w:shd w:val="clear" w:color="auto" w:fill="E1DFDD"/>
    </w:rPr>
  </w:style>
  <w:style w:type="table" w:styleId="TableGrid">
    <w:name w:val="Table Grid"/>
    <w:basedOn w:val="TableNormal"/>
    <w:uiPriority w:val="39"/>
    <w:rsid w:val="00C50C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0C36"/>
    <w:pPr>
      <w:spacing w:before="100" w:beforeAutospacing="1" w:after="100" w:afterAutospacing="1"/>
    </w:pPr>
    <w:rPr>
      <w:rFonts w:ascii="Times New Roman" w:hAnsi="Times New Roman"/>
      <w:szCs w:val="24"/>
    </w:rPr>
  </w:style>
  <w:style w:type="character" w:styleId="FollowedHyperlink">
    <w:name w:val="FollowedHyperlink"/>
    <w:basedOn w:val="DefaultParagraphFont"/>
    <w:rsid w:val="00416260"/>
    <w:rPr>
      <w:color w:val="954F72" w:themeColor="followedHyperlink"/>
      <w:u w:val="single"/>
    </w:rPr>
  </w:style>
  <w:style w:type="character" w:customStyle="1" w:styleId="Heading3Char">
    <w:name w:val="Heading 3 Char"/>
    <w:basedOn w:val="DefaultParagraphFont"/>
    <w:link w:val="Heading3"/>
    <w:semiHidden/>
    <w:rsid w:val="00C626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3267">
      <w:bodyDiv w:val="1"/>
      <w:marLeft w:val="0"/>
      <w:marRight w:val="0"/>
      <w:marTop w:val="0"/>
      <w:marBottom w:val="0"/>
      <w:divBdr>
        <w:top w:val="none" w:sz="0" w:space="0" w:color="auto"/>
        <w:left w:val="none" w:sz="0" w:space="0" w:color="auto"/>
        <w:bottom w:val="none" w:sz="0" w:space="0" w:color="auto"/>
        <w:right w:val="none" w:sz="0" w:space="0" w:color="auto"/>
      </w:divBdr>
      <w:divsChild>
        <w:div w:id="132139193">
          <w:marLeft w:val="0"/>
          <w:marRight w:val="0"/>
          <w:marTop w:val="0"/>
          <w:marBottom w:val="0"/>
          <w:divBdr>
            <w:top w:val="none" w:sz="0" w:space="0" w:color="auto"/>
            <w:left w:val="none" w:sz="0" w:space="0" w:color="auto"/>
            <w:bottom w:val="none" w:sz="0" w:space="0" w:color="auto"/>
            <w:right w:val="none" w:sz="0" w:space="0" w:color="auto"/>
          </w:divBdr>
        </w:div>
        <w:div w:id="2008365150">
          <w:marLeft w:val="0"/>
          <w:marRight w:val="0"/>
          <w:marTop w:val="0"/>
          <w:marBottom w:val="0"/>
          <w:divBdr>
            <w:top w:val="none" w:sz="0" w:space="0" w:color="auto"/>
            <w:left w:val="none" w:sz="0" w:space="0" w:color="auto"/>
            <w:bottom w:val="none" w:sz="0" w:space="0" w:color="auto"/>
            <w:right w:val="none" w:sz="0" w:space="0" w:color="auto"/>
          </w:divBdr>
        </w:div>
      </w:divsChild>
    </w:div>
    <w:div w:id="603613931">
      <w:bodyDiv w:val="1"/>
      <w:marLeft w:val="0"/>
      <w:marRight w:val="0"/>
      <w:marTop w:val="0"/>
      <w:marBottom w:val="0"/>
      <w:divBdr>
        <w:top w:val="none" w:sz="0" w:space="0" w:color="auto"/>
        <w:left w:val="none" w:sz="0" w:space="0" w:color="auto"/>
        <w:bottom w:val="none" w:sz="0" w:space="0" w:color="auto"/>
        <w:right w:val="none" w:sz="0" w:space="0" w:color="auto"/>
      </w:divBdr>
    </w:div>
    <w:div w:id="674069344">
      <w:bodyDiv w:val="1"/>
      <w:marLeft w:val="0"/>
      <w:marRight w:val="0"/>
      <w:marTop w:val="0"/>
      <w:marBottom w:val="0"/>
      <w:divBdr>
        <w:top w:val="none" w:sz="0" w:space="0" w:color="auto"/>
        <w:left w:val="none" w:sz="0" w:space="0" w:color="auto"/>
        <w:bottom w:val="none" w:sz="0" w:space="0" w:color="auto"/>
        <w:right w:val="none" w:sz="0" w:space="0" w:color="auto"/>
      </w:divBdr>
    </w:div>
    <w:div w:id="681588194">
      <w:bodyDiv w:val="1"/>
      <w:marLeft w:val="0"/>
      <w:marRight w:val="0"/>
      <w:marTop w:val="0"/>
      <w:marBottom w:val="0"/>
      <w:divBdr>
        <w:top w:val="none" w:sz="0" w:space="0" w:color="auto"/>
        <w:left w:val="none" w:sz="0" w:space="0" w:color="auto"/>
        <w:bottom w:val="none" w:sz="0" w:space="0" w:color="auto"/>
        <w:right w:val="none" w:sz="0" w:space="0" w:color="auto"/>
      </w:divBdr>
      <w:divsChild>
        <w:div w:id="1043867067">
          <w:marLeft w:val="0"/>
          <w:marRight w:val="0"/>
          <w:marTop w:val="0"/>
          <w:marBottom w:val="0"/>
          <w:divBdr>
            <w:top w:val="single" w:sz="2" w:space="0" w:color="auto"/>
            <w:left w:val="single" w:sz="2" w:space="0" w:color="auto"/>
            <w:bottom w:val="single" w:sz="2" w:space="0" w:color="auto"/>
            <w:right w:val="single" w:sz="2" w:space="0" w:color="auto"/>
          </w:divBdr>
        </w:div>
        <w:div w:id="115409818">
          <w:marLeft w:val="0"/>
          <w:marRight w:val="0"/>
          <w:marTop w:val="0"/>
          <w:marBottom w:val="0"/>
          <w:divBdr>
            <w:top w:val="single" w:sz="2" w:space="0" w:color="auto"/>
            <w:left w:val="single" w:sz="2" w:space="0" w:color="auto"/>
            <w:bottom w:val="single" w:sz="2" w:space="0" w:color="auto"/>
            <w:right w:val="single" w:sz="2" w:space="0" w:color="auto"/>
          </w:divBdr>
        </w:div>
        <w:div w:id="1088111790">
          <w:marLeft w:val="0"/>
          <w:marRight w:val="0"/>
          <w:marTop w:val="0"/>
          <w:marBottom w:val="0"/>
          <w:divBdr>
            <w:top w:val="single" w:sz="2" w:space="0" w:color="auto"/>
            <w:left w:val="single" w:sz="2" w:space="0" w:color="auto"/>
            <w:bottom w:val="single" w:sz="2" w:space="0" w:color="auto"/>
            <w:right w:val="single" w:sz="2" w:space="0" w:color="auto"/>
          </w:divBdr>
        </w:div>
        <w:div w:id="1690178786">
          <w:marLeft w:val="0"/>
          <w:marRight w:val="0"/>
          <w:marTop w:val="0"/>
          <w:marBottom w:val="0"/>
          <w:divBdr>
            <w:top w:val="single" w:sz="2" w:space="0" w:color="auto"/>
            <w:left w:val="single" w:sz="2" w:space="0" w:color="auto"/>
            <w:bottom w:val="single" w:sz="2" w:space="0" w:color="auto"/>
            <w:right w:val="single" w:sz="2" w:space="0" w:color="auto"/>
          </w:divBdr>
        </w:div>
      </w:divsChild>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665745693">
      <w:bodyDiv w:val="1"/>
      <w:marLeft w:val="0"/>
      <w:marRight w:val="0"/>
      <w:marTop w:val="0"/>
      <w:marBottom w:val="0"/>
      <w:divBdr>
        <w:top w:val="none" w:sz="0" w:space="0" w:color="auto"/>
        <w:left w:val="none" w:sz="0" w:space="0" w:color="auto"/>
        <w:bottom w:val="none" w:sz="0" w:space="0" w:color="auto"/>
        <w:right w:val="none" w:sz="0" w:space="0" w:color="auto"/>
      </w:divBdr>
    </w:div>
    <w:div w:id="1674331627">
      <w:bodyDiv w:val="1"/>
      <w:marLeft w:val="0"/>
      <w:marRight w:val="0"/>
      <w:marTop w:val="0"/>
      <w:marBottom w:val="0"/>
      <w:divBdr>
        <w:top w:val="none" w:sz="0" w:space="0" w:color="auto"/>
        <w:left w:val="none" w:sz="0" w:space="0" w:color="auto"/>
        <w:bottom w:val="none" w:sz="0" w:space="0" w:color="auto"/>
        <w:right w:val="none" w:sz="0" w:space="0" w:color="auto"/>
      </w:divBdr>
    </w:div>
    <w:div w:id="1760757959">
      <w:bodyDiv w:val="1"/>
      <w:marLeft w:val="0"/>
      <w:marRight w:val="0"/>
      <w:marTop w:val="0"/>
      <w:marBottom w:val="0"/>
      <w:divBdr>
        <w:top w:val="none" w:sz="0" w:space="0" w:color="auto"/>
        <w:left w:val="none" w:sz="0" w:space="0" w:color="auto"/>
        <w:bottom w:val="none" w:sz="0" w:space="0" w:color="auto"/>
        <w:right w:val="none" w:sz="0" w:space="0" w:color="auto"/>
      </w:divBdr>
      <w:divsChild>
        <w:div w:id="563368959">
          <w:marLeft w:val="0"/>
          <w:marRight w:val="0"/>
          <w:marTop w:val="0"/>
          <w:marBottom w:val="0"/>
          <w:divBdr>
            <w:top w:val="none" w:sz="0" w:space="0" w:color="auto"/>
            <w:left w:val="none" w:sz="0" w:space="0" w:color="auto"/>
            <w:bottom w:val="none" w:sz="0" w:space="0" w:color="auto"/>
            <w:right w:val="none" w:sz="0" w:space="0" w:color="auto"/>
          </w:divBdr>
        </w:div>
        <w:div w:id="17513158">
          <w:marLeft w:val="0"/>
          <w:marRight w:val="0"/>
          <w:marTop w:val="0"/>
          <w:marBottom w:val="0"/>
          <w:divBdr>
            <w:top w:val="none" w:sz="0" w:space="0" w:color="auto"/>
            <w:left w:val="none" w:sz="0" w:space="0" w:color="auto"/>
            <w:bottom w:val="none" w:sz="0" w:space="0" w:color="auto"/>
            <w:right w:val="none" w:sz="0" w:space="0" w:color="auto"/>
          </w:divBdr>
        </w:div>
      </w:divsChild>
    </w:div>
    <w:div w:id="1993675013">
      <w:bodyDiv w:val="1"/>
      <w:marLeft w:val="0"/>
      <w:marRight w:val="0"/>
      <w:marTop w:val="0"/>
      <w:marBottom w:val="0"/>
      <w:divBdr>
        <w:top w:val="none" w:sz="0" w:space="0" w:color="auto"/>
        <w:left w:val="none" w:sz="0" w:space="0" w:color="auto"/>
        <w:bottom w:val="none" w:sz="0" w:space="0" w:color="auto"/>
        <w:right w:val="none" w:sz="0" w:space="0" w:color="auto"/>
      </w:divBdr>
    </w:div>
    <w:div w:id="200181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2.deloitte.com/content/dam/Deloitte/nl/Documents/innovatie/deloitte-nl-innovate-lu-ai-and-risk-management.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www.eciia.eu/wp-content/uploads/2019/11/FERMA-AI-applied-to-RM-FINAL.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ocumentComments xmlns="http://schemas.microsoft.com/sharepoint/v3" xsi:nil="true"/>
    <TaxKeywordTaxHTField xmlns="458f3126-62e3-4757-938f-c105dc721ec7">
      <Terms xmlns="http://schemas.microsoft.com/office/infopath/2007/PartnerControls"/>
    </TaxKeywordTaxHTField>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TaxCatchAll xmlns="458f3126-62e3-4757-938f-c105dc721ec7">
      <Value>3</Value>
      <Value>2</Value>
      <Value>42</Value>
    </TaxCatchAll>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customXsn xmlns="http://schemas.microsoft.com/office/2006/metadata/customXsn">
  <xsnLocation/>
  <cached>True</cached>
  <openByDefault>False</openByDefault>
  <xsnScope>/sites/cdd/editing/Shared Documents</xsnScope>
</customXsn>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DDE5D3-3AB3-4F32-9F59-98AB338D82B5}">
  <ds:schemaRefs>
    <ds:schemaRef ds:uri="http://schemas.microsoft.com/sharepoint/events"/>
  </ds:schemaRefs>
</ds:datastoreItem>
</file>

<file path=customXml/itemProps2.xml><?xml version="1.0" encoding="utf-8"?>
<ds:datastoreItem xmlns:ds="http://schemas.openxmlformats.org/officeDocument/2006/customXml" ds:itemID="{86473A9B-E84B-4EC3-90F0-AC7E53BD5F7E}">
  <ds:schemaRefs>
    <ds:schemaRef ds:uri="http://schemas.microsoft.com/office/2006/metadata/properties"/>
    <ds:schemaRef ds:uri="http://schemas.microsoft.com/office/infopath/2007/PartnerControls"/>
    <ds:schemaRef ds:uri="458f3126-62e3-4757-938f-c105dc721ec7"/>
    <ds:schemaRef ds:uri="http://schemas.microsoft.com/sharepoint/v3"/>
  </ds:schemaRefs>
</ds:datastoreItem>
</file>

<file path=customXml/itemProps3.xml><?xml version="1.0" encoding="utf-8"?>
<ds:datastoreItem xmlns:ds="http://schemas.openxmlformats.org/officeDocument/2006/customXml" ds:itemID="{B5798299-2C03-45E5-84E1-42E7500E10E2}">
  <ds:schemaRefs>
    <ds:schemaRef ds:uri="http://schemas.microsoft.com/sharepoint/v3/contenttype/forms"/>
  </ds:schemaRefs>
</ds:datastoreItem>
</file>

<file path=customXml/itemProps4.xml><?xml version="1.0" encoding="utf-8"?>
<ds:datastoreItem xmlns:ds="http://schemas.openxmlformats.org/officeDocument/2006/customXml" ds:itemID="{52B0F4B4-902C-45E9-A479-33557ECD42D2}">
  <ds:schemaRefs>
    <ds:schemaRef ds:uri="http://schemas.openxmlformats.org/officeDocument/2006/bibliography"/>
  </ds:schemaRefs>
</ds:datastoreItem>
</file>

<file path=customXml/itemProps5.xml><?xml version="1.0" encoding="utf-8"?>
<ds:datastoreItem xmlns:ds="http://schemas.openxmlformats.org/officeDocument/2006/customXml" ds:itemID="{10962880-309F-434F-839A-1AEFF69A2FB4}">
  <ds:schemaRefs>
    <ds:schemaRef ds:uri="http://schemas.microsoft.com/office/2006/metadata/customXsn"/>
  </ds:schemaRefs>
</ds:datastoreItem>
</file>

<file path=customXml/itemProps6.xml><?xml version="1.0" encoding="utf-8"?>
<ds:datastoreItem xmlns:ds="http://schemas.openxmlformats.org/officeDocument/2006/customXml" ds:itemID="{D9051B41-B23F-48C1-84FB-39A77002E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APA TYPING TEMPLATE without Abstract</vt:lpstr>
    </vt:vector>
  </TitlesOfParts>
  <Company>Grand Canyon University</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TYPING TEMPLATE without Abstract</dc:title>
  <dc:subject/>
  <dc:creator>Windows User</dc:creator>
  <cp:keywords/>
  <cp:lastModifiedBy>hubert omo</cp:lastModifiedBy>
  <cp:revision>5</cp:revision>
  <dcterms:created xsi:type="dcterms:W3CDTF">2024-06-15T12:52:00Z</dcterms:created>
  <dcterms:modified xsi:type="dcterms:W3CDTF">2024-06-15T12:58:00Z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ies>
</file>