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716194" w14:textId="77777777" w:rsidR="007C3058" w:rsidRDefault="00000000">
      <w:pPr>
        <w:spacing w:before="60"/>
        <w:jc w:val="center"/>
      </w:pPr>
      <w:r>
        <w:rPr>
          <w:color w:val="9E9E9E"/>
          <w:sz w:val="17"/>
          <w:szCs w:val="17"/>
        </w:rPr>
        <w:t>PRISMA13 / CEL — CENTRO DE ESTUDOS EM LONGEVIDADE</w:t>
      </w:r>
    </w:p>
    <w:p w14:paraId="09B92F07" w14:textId="77777777" w:rsidR="007C3058" w:rsidRDefault="00000000">
      <w:pPr>
        <w:spacing w:before="60"/>
        <w:jc w:val="center"/>
      </w:pPr>
      <w:r>
        <w:rPr>
          <w:b/>
          <w:bCs/>
          <w:color w:val="1A1A1A"/>
          <w:sz w:val="39"/>
          <w:szCs w:val="39"/>
        </w:rPr>
        <w:t>SOBERANIA BIOLÓGICA E SAÚDE INTEGRATIVA</w:t>
      </w:r>
    </w:p>
    <w:p w14:paraId="204DE53B" w14:textId="77777777" w:rsidR="007C3058" w:rsidRDefault="00000000">
      <w:pPr>
        <w:spacing w:before="60"/>
        <w:jc w:val="center"/>
      </w:pPr>
      <w:r>
        <w:rPr>
          <w:i/>
          <w:iCs/>
          <w:color w:val="555555"/>
          <w:sz w:val="21"/>
          <w:szCs w:val="21"/>
        </w:rPr>
        <w:t>Uma Abordagem Transdisciplinar: Sistema Endocanabinoide, Teoria Polivagal, Homeopatia Unicista e Medicina do Estilo de Vida</w:t>
      </w:r>
    </w:p>
    <w:p w14:paraId="675FB90F" w14:textId="77777777" w:rsidR="007C3058" w:rsidRDefault="00000000">
      <w:pPr>
        <w:spacing w:before="60"/>
        <w:jc w:val="center"/>
      </w:pPr>
      <w:r>
        <w:rPr>
          <w:color w:val="9E9E9E"/>
          <w:sz w:val="18"/>
          <w:szCs w:val="18"/>
        </w:rPr>
        <w:t>08 de maio de 2026</w:t>
      </w:r>
    </w:p>
    <w:p w14:paraId="5E4B703B" w14:textId="77777777" w:rsidR="007C3058" w:rsidRDefault="007C3058">
      <w:pPr>
        <w:pBdr>
          <w:bottom w:val="single" w:sz="6" w:space="0" w:color="CCCCCC"/>
        </w:pBdr>
        <w:spacing w:before="200" w:after="200"/>
      </w:pPr>
    </w:p>
    <w:p w14:paraId="0F1D63F9" w14:textId="77777777" w:rsidR="007C3058" w:rsidRDefault="00000000">
      <w:pPr>
        <w:pStyle w:val="Ttulo2"/>
      </w:pPr>
      <w:r>
        <w:t>FOLHA DE ROSTO</w:t>
      </w:r>
    </w:p>
    <w:p w14:paraId="75910771" w14:textId="77777777" w:rsidR="007C3058" w:rsidRDefault="00000000">
      <w:pPr>
        <w:spacing w:before="60"/>
      </w:pPr>
      <w:r>
        <w:rPr>
          <w:b/>
          <w:bCs/>
        </w:rPr>
        <w:t>RESUMO</w:t>
      </w:r>
    </w:p>
    <w:p w14:paraId="57D77EE6" w14:textId="77777777" w:rsidR="007C3058" w:rsidRDefault="00000000">
      <w:pPr>
        <w:spacing w:before="60"/>
        <w:jc w:val="both"/>
      </w:pPr>
      <w:r>
        <w:t>Esta apostila apresenta uma síntese acadêmica e clínica da convergência entre quatro pilares fundamentais da saúde contemporânea: o Sistema Endocanabinoide (SEC), a Teoria Polivagal, a Homeopatia Unicista e a Medicina do Estilo de Vida (MEV). O objetivo central é oferecer a profissionais de saúde, gestantes e mães uma base teórica robusta para a compreensão da soberania biológica — o estado em que o indivíduo assume o protagonismo de sua regulação fisiológica e emocional. Através da análise do eixo Psiconeuroendocrinoimunológico (PNEI), discutimos como a modulação do tônus endocanabinoide e a restauração do estado vagal ventral são essenciais para a homeostase. A obra integra evidências científicas de ponta com a prática clínica, abordando desde a herança epigenética e a linguagem parental até protocolos práticos de intervenção. Ao final, o leitor encontrará uma bibliografia comentada exaustiva, servindo como guia para o aprofundamento em uma medicina que não apenas trata sintomas, mas cultiva a resiliência biológica e a longevidade saudável em todas as fases da vida.</w:t>
      </w:r>
    </w:p>
    <w:p w14:paraId="012C1959" w14:textId="77777777" w:rsidR="007C3058" w:rsidRDefault="007C3058">
      <w:pPr>
        <w:pBdr>
          <w:bottom w:val="single" w:sz="6" w:space="0" w:color="CCCCCC"/>
        </w:pBdr>
        <w:spacing w:before="200" w:after="200"/>
      </w:pPr>
    </w:p>
    <w:p w14:paraId="13D50C01" w14:textId="77777777" w:rsidR="007C3058" w:rsidRDefault="00000000">
      <w:pPr>
        <w:pStyle w:val="Ttulo2"/>
      </w:pPr>
      <w:r>
        <w:t>PÁGINA 3: SUMÁRIO</w:t>
      </w:r>
    </w:p>
    <w:p w14:paraId="6F3A3D55" w14:textId="77777777" w:rsidR="007C3058" w:rsidRDefault="00000000">
      <w:pPr>
        <w:pStyle w:val="PargrafodaLista"/>
        <w:numPr>
          <w:ilvl w:val="0"/>
          <w:numId w:val="2"/>
        </w:numPr>
        <w:spacing w:before="40" w:after="40"/>
      </w:pPr>
      <w:r>
        <w:rPr>
          <w:b/>
          <w:bCs/>
        </w:rPr>
        <w:t>SEÇÃO 1 — INTRODUÇÃO</w:t>
      </w:r>
      <w:r>
        <w:t xml:space="preserve">  04</w:t>
      </w:r>
    </w:p>
    <w:p w14:paraId="284FC959" w14:textId="77777777" w:rsidR="007C3058" w:rsidRDefault="00000000">
      <w:pPr>
        <w:pStyle w:val="PargrafodaLista"/>
        <w:numPr>
          <w:ilvl w:val="0"/>
          <w:numId w:val="2"/>
        </w:numPr>
        <w:spacing w:before="40" w:after="40"/>
      </w:pPr>
      <w:r>
        <w:rPr>
          <w:b/>
          <w:bCs/>
        </w:rPr>
        <w:t>SEÇÃO 2 — SEC (SISTEMA ENDOCANABINOIDE)</w:t>
      </w:r>
      <w:r>
        <w:t xml:space="preserve">  06</w:t>
      </w:r>
    </w:p>
    <w:p w14:paraId="17EC26F0" w14:textId="77777777" w:rsidR="007C3058" w:rsidRDefault="00000000">
      <w:pPr>
        <w:pStyle w:val="PargrafodaLista"/>
        <w:numPr>
          <w:ilvl w:val="0"/>
          <w:numId w:val="2"/>
        </w:numPr>
        <w:spacing w:before="40" w:after="40"/>
      </w:pPr>
      <w:r>
        <w:rPr>
          <w:b/>
          <w:bCs/>
        </w:rPr>
        <w:t>SEÇÃO 3 — TEORIA POLIVAGAL DE PORGES</w:t>
      </w:r>
      <w:r>
        <w:t xml:space="preserve">  08</w:t>
      </w:r>
    </w:p>
    <w:p w14:paraId="599E833A" w14:textId="77777777" w:rsidR="007C3058" w:rsidRDefault="00000000">
      <w:pPr>
        <w:pStyle w:val="PargrafodaLista"/>
        <w:numPr>
          <w:ilvl w:val="0"/>
          <w:numId w:val="2"/>
        </w:numPr>
        <w:spacing w:before="40" w:after="40"/>
      </w:pPr>
      <w:r>
        <w:rPr>
          <w:b/>
          <w:bCs/>
        </w:rPr>
        <w:t>SEÇÃO 4 — HOMEOPATIA UNICISTA</w:t>
      </w:r>
      <w:r>
        <w:t xml:space="preserve">  10</w:t>
      </w:r>
    </w:p>
    <w:p w14:paraId="311D3132" w14:textId="77777777" w:rsidR="007C3058" w:rsidRDefault="00000000">
      <w:pPr>
        <w:pStyle w:val="PargrafodaLista"/>
        <w:numPr>
          <w:ilvl w:val="0"/>
          <w:numId w:val="2"/>
        </w:numPr>
        <w:spacing w:before="40" w:after="40"/>
      </w:pPr>
      <w:r>
        <w:rPr>
          <w:b/>
          <w:bCs/>
        </w:rPr>
        <w:t>SEÇÃO 5 — MEDICINA DO ESTILO DE VIDA (MEV)</w:t>
      </w:r>
      <w:r>
        <w:t xml:space="preserve">  12</w:t>
      </w:r>
    </w:p>
    <w:p w14:paraId="47F51EEF" w14:textId="77777777" w:rsidR="007C3058" w:rsidRDefault="00000000">
      <w:pPr>
        <w:pStyle w:val="PargrafodaLista"/>
        <w:numPr>
          <w:ilvl w:val="0"/>
          <w:numId w:val="2"/>
        </w:numPr>
        <w:spacing w:before="40" w:after="40"/>
      </w:pPr>
      <w:r>
        <w:rPr>
          <w:b/>
          <w:bCs/>
        </w:rPr>
        <w:t>SEÇÃO 6 — SOBERANIA BIOLÓGICA</w:t>
      </w:r>
      <w:r>
        <w:t xml:space="preserve">  14</w:t>
      </w:r>
    </w:p>
    <w:p w14:paraId="21B09383" w14:textId="77777777" w:rsidR="007C3058" w:rsidRDefault="00000000">
      <w:pPr>
        <w:pStyle w:val="PargrafodaLista"/>
        <w:numPr>
          <w:ilvl w:val="0"/>
          <w:numId w:val="2"/>
        </w:numPr>
        <w:spacing w:before="40" w:after="40"/>
      </w:pPr>
      <w:r>
        <w:rPr>
          <w:b/>
          <w:bCs/>
        </w:rPr>
        <w:t>SEÇÃO 7 — APLICAÇÕES PRÁTICAS (CASOS CLÍNICOS)</w:t>
      </w:r>
      <w:r>
        <w:t xml:space="preserve">  15</w:t>
      </w:r>
    </w:p>
    <w:p w14:paraId="0E17D685" w14:textId="77777777" w:rsidR="007C3058" w:rsidRDefault="00000000">
      <w:pPr>
        <w:pStyle w:val="PargrafodaLista"/>
        <w:numPr>
          <w:ilvl w:val="0"/>
          <w:numId w:val="2"/>
        </w:numPr>
        <w:spacing w:before="40" w:after="40"/>
      </w:pPr>
      <w:r>
        <w:rPr>
          <w:b/>
          <w:bCs/>
        </w:rPr>
        <w:t>SEÇÃO 8 — TABELAS, INFOGRAFIAS E ALERTAS</w:t>
      </w:r>
      <w:r>
        <w:t xml:space="preserve">  17</w:t>
      </w:r>
    </w:p>
    <w:p w14:paraId="438D5C32" w14:textId="77777777" w:rsidR="007C3058" w:rsidRDefault="00000000">
      <w:pPr>
        <w:pStyle w:val="PargrafodaLista"/>
        <w:numPr>
          <w:ilvl w:val="0"/>
          <w:numId w:val="2"/>
        </w:numPr>
        <w:spacing w:before="40" w:after="40"/>
      </w:pPr>
      <w:r>
        <w:rPr>
          <w:b/>
          <w:bCs/>
        </w:rPr>
        <w:t>SEÇÃO 9 — ALERTAS CLÍNICOS E CONSIDERAÇÕES ÉTICAS</w:t>
      </w:r>
      <w:r>
        <w:t xml:space="preserve"> ................................... 18</w:t>
      </w:r>
    </w:p>
    <w:p w14:paraId="2116C6A1" w14:textId="77777777" w:rsidR="007C3058" w:rsidRDefault="00000000">
      <w:pPr>
        <w:pStyle w:val="PargrafodaLista"/>
        <w:numPr>
          <w:ilvl w:val="0"/>
          <w:numId w:val="2"/>
        </w:numPr>
        <w:spacing w:before="40" w:after="40"/>
      </w:pPr>
      <w:r>
        <w:rPr>
          <w:b/>
          <w:bCs/>
        </w:rPr>
        <w:t>SEÇÃO 10 — BIBLIOGRAFIA COMENTADA ABNT</w:t>
      </w:r>
      <w:r>
        <w:t xml:space="preserve">  19</w:t>
      </w:r>
    </w:p>
    <w:p w14:paraId="01CEC783" w14:textId="77777777" w:rsidR="007C3058" w:rsidRDefault="00000000">
      <w:pPr>
        <w:pStyle w:val="PargrafodaLista"/>
        <w:numPr>
          <w:ilvl w:val="0"/>
          <w:numId w:val="2"/>
        </w:numPr>
        <w:spacing w:before="40" w:after="40"/>
      </w:pPr>
      <w:r>
        <w:rPr>
          <w:b/>
          <w:bCs/>
        </w:rPr>
        <w:t>NOTAS PARA REVISÃO E MELHORIAS SUGERIDAS</w:t>
      </w:r>
      <w:r>
        <w:t xml:space="preserve">  23</w:t>
      </w:r>
    </w:p>
    <w:p w14:paraId="74C8A8D4" w14:textId="77777777" w:rsidR="007C3058" w:rsidRDefault="007C3058">
      <w:pPr>
        <w:pBdr>
          <w:bottom w:val="single" w:sz="6" w:space="0" w:color="CCCCCC"/>
        </w:pBdr>
        <w:spacing w:before="200" w:after="200"/>
      </w:pPr>
    </w:p>
    <w:p w14:paraId="5101CEB8" w14:textId="77777777" w:rsidR="007C3058" w:rsidRDefault="00000000">
      <w:pPr>
        <w:pStyle w:val="Ttulo3"/>
      </w:pPr>
      <w:r>
        <w:t>1. SEÇÃO 1 — INTRODUÇÃO</w:t>
      </w:r>
    </w:p>
    <w:p w14:paraId="4D64436E" w14:textId="77777777" w:rsidR="007C3058" w:rsidRDefault="00000000">
      <w:pPr>
        <w:spacing w:before="60"/>
        <w:jc w:val="both"/>
      </w:pPr>
      <w:r>
        <w:t>A saúde integrativa representa uma mudança de paradigma na medicina moderna, movendo o foco da doença para a saúde e do sintoma para o sistema. Esta apostila foi estruturada para servir como um mapa transdisciplinar, unindo conhecimentos que frequentemente são estudados de forma isolada, mas que na biologia humana operam em absoluta sinergia. O conceito de soberania biológica surge como a capacidade do organismo de manter sua integridade e funcionalidade diante dos estressores ambientais e psicossociais.</w:t>
      </w:r>
    </w:p>
    <w:p w14:paraId="1A7BC3F5" w14:textId="77777777" w:rsidR="007C3058" w:rsidRDefault="00000000">
      <w:pPr>
        <w:spacing w:before="60"/>
      </w:pPr>
      <w:r>
        <w:t xml:space="preserve">INSERIR ILUSTRAÇÃO AQUI: [DNA/célula com ícones dos 4 pilares - inserir imagem 300x200px no topo direito, fonte: </w:t>
      </w:r>
      <w:proofErr w:type="spellStart"/>
      <w:r>
        <w:t>Pixabay</w:t>
      </w:r>
      <w:proofErr w:type="spellEnd"/>
      <w:r>
        <w:t xml:space="preserve"> "DNA </w:t>
      </w:r>
      <w:proofErr w:type="spellStart"/>
      <w:r>
        <w:t>cell</w:t>
      </w:r>
      <w:proofErr w:type="spellEnd"/>
      <w:r>
        <w:t xml:space="preserve"> </w:t>
      </w:r>
      <w:proofErr w:type="spellStart"/>
      <w:r>
        <w:t>illustration</w:t>
      </w:r>
      <w:proofErr w:type="spellEnd"/>
      <w:r>
        <w:t>"]</w:t>
      </w:r>
    </w:p>
    <w:p w14:paraId="19193E2F" w14:textId="77777777" w:rsidR="007C3058" w:rsidRDefault="00000000">
      <w:pPr>
        <w:spacing w:before="60"/>
        <w:jc w:val="both"/>
      </w:pPr>
      <w:r>
        <w:t>O público-alvo desta obra compreende profissionais de saúde que buscam expandir seu arsenal terapêutico, gestantes que desejam otimizar o ambiente intrauterino para o desenvolvimento de seus filhos, e mães que buscam ferramentas práticas para a saúde familiar. A abordagem aqui proposta não descarta a medicina alopática convencional, mas a enriquece através da compreensão profunda dos mecanismos de autorregulação do corpo humano.</w:t>
      </w:r>
    </w:p>
    <w:p w14:paraId="7873630B" w14:textId="77777777" w:rsidR="007C3058" w:rsidRDefault="00000000">
      <w:pPr>
        <w:pStyle w:val="Ttulo3"/>
      </w:pPr>
      <w:r>
        <w:t>2. SEÇÃO 2 — SEC (SISTEMA ENDOCANABINOIDE)</w:t>
      </w:r>
    </w:p>
    <w:p w14:paraId="7DAB9241" w14:textId="77777777" w:rsidR="007C3058" w:rsidRDefault="00000000">
      <w:pPr>
        <w:spacing w:before="60"/>
        <w:jc w:val="both"/>
      </w:pPr>
      <w:r>
        <w:t>O Sistema Endocanabinoide (SEC) é talvez o sistema de sinalização química mais importante do corpo humano, atuando como um "maestro" que regula a homeostase em quase todos os processos fisiológicos. Composto por receptores (CB1, CB2, TRPV1), ligantes endógenos (anandamida e 2-AG) e enzimas de síntese e degradação, o SEC modula desde a resposta imune até a plasticidade sináptica.</w:t>
      </w:r>
    </w:p>
    <w:p w14:paraId="3A16D228" w14:textId="77777777" w:rsidR="007C3058" w:rsidRDefault="00000000">
      <w:pPr>
        <w:spacing w:before="60"/>
      </w:pPr>
      <w:r>
        <w:t xml:space="preserve">INSERIR ILUSTRAÇÃO AQUI: [Diagrama receptores CB1/CB2 em neurônio, mapa cerebral - inserir infográfico 400x300px, fonte: </w:t>
      </w:r>
      <w:proofErr w:type="spellStart"/>
      <w:r>
        <w:t>Unsplash</w:t>
      </w:r>
      <w:proofErr w:type="spellEnd"/>
      <w:r>
        <w:t xml:space="preserve"> "</w:t>
      </w:r>
      <w:proofErr w:type="spellStart"/>
      <w:r>
        <w:t>brain</w:t>
      </w:r>
      <w:proofErr w:type="spellEnd"/>
      <w:r>
        <w:t xml:space="preserve"> </w:t>
      </w:r>
      <w:proofErr w:type="spellStart"/>
      <w:r>
        <w:t>neurotransmitters</w:t>
      </w:r>
      <w:proofErr w:type="spellEnd"/>
      <w:r>
        <w:t>"]</w:t>
      </w:r>
    </w:p>
    <w:p w14:paraId="18891CD4" w14:textId="77777777" w:rsidR="007C3058" w:rsidRDefault="00000000">
      <w:pPr>
        <w:spacing w:before="60"/>
        <w:jc w:val="both"/>
      </w:pPr>
      <w:r>
        <w:t>A Deficiência Clínica de Endocanabinoides (</w:t>
      </w:r>
      <w:proofErr w:type="spellStart"/>
      <w:r>
        <w:t>CECD</w:t>
      </w:r>
      <w:proofErr w:type="spellEnd"/>
      <w:r>
        <w:t>), conceito introduzido pelo Dr. Ethan Russo, sugere que baixos níveis de tônus endocanabinoide podem estar na raiz de condições como fibromialgia, enxaqueca e síndrome do intestino irritável. No eixo Psiconeuroendocrinoimunológico (PNEI), o SEC atua como a ponte de comunicação, garantindo que a resposta ao estresse não se torne crônica e deletéria.</w:t>
      </w:r>
    </w:p>
    <w:p w14:paraId="5F23B1C1" w14:textId="77777777" w:rsidR="007C3058" w:rsidRDefault="00000000">
      <w:pPr>
        <w:pStyle w:val="Ttulo3"/>
      </w:pPr>
      <w:r>
        <w:t>3. SEÇÃO 3 — TEORIA POLIVAGAL DE PORGES</w:t>
      </w:r>
    </w:p>
    <w:p w14:paraId="7767108D" w14:textId="77777777" w:rsidR="007C3058" w:rsidRDefault="00000000">
      <w:pPr>
        <w:spacing w:before="60"/>
        <w:jc w:val="both"/>
      </w:pPr>
      <w:r>
        <w:t>A Teoria Polivagal, desenvolvida pelo Dr. Stephen Porges, revolucionou nossa compreensão do sistema nervoso autônomo. Ela introduz a ideia de que o nervo vago possui dois ramos distintos: o vago ventral (associado à segurança e engajamento social) e o vago dorsal (associado ao congelamento e desligamento em situações de perigo extremo). Entre eles, encontra-se o sistema simpático, responsável pela luta ou fuga.</w:t>
      </w:r>
    </w:p>
    <w:p w14:paraId="47F2F073" w14:textId="77777777" w:rsidR="007C3058" w:rsidRDefault="00000000">
      <w:pPr>
        <w:spacing w:before="60"/>
      </w:pPr>
      <w:r>
        <w:t xml:space="preserve">INSERIR ILUSTRAÇÃO AQUI: [Árvore vagal com 3 ramos coloridos (ventral verde, simpático amarelo, dorsal vermelho) - inserir diagrama 350x400px, fonte: Illustrator ou criar em </w:t>
      </w:r>
      <w:proofErr w:type="spellStart"/>
      <w:r>
        <w:t>Canva</w:t>
      </w:r>
      <w:proofErr w:type="spellEnd"/>
      <w:r>
        <w:t>]</w:t>
      </w:r>
    </w:p>
    <w:p w14:paraId="4DFF561A" w14:textId="77777777" w:rsidR="007C3058" w:rsidRDefault="00000000">
      <w:pPr>
        <w:spacing w:before="60"/>
        <w:jc w:val="both"/>
      </w:pPr>
      <w:r>
        <w:t>A "</w:t>
      </w:r>
      <w:proofErr w:type="spellStart"/>
      <w:r>
        <w:t>neuroception</w:t>
      </w:r>
      <w:proofErr w:type="spellEnd"/>
      <w:r>
        <w:t>" é o processo subconsciente pelo qual nosso sistema nervoso avalia o risco no ambiente. Para a saúde integrativa, o objetivo é manter o indivíduo o máximo de tempo possível no estado vagal ventral, onde a cura, o crescimento e a restauração ocorrem. Práticas como respiração consciente, modulação vocal e movimento são ferramentas clínicas para a restauração do tônus vagal.</w:t>
      </w:r>
    </w:p>
    <w:p w14:paraId="5796F39E" w14:textId="77777777" w:rsidR="007C3058" w:rsidRDefault="00000000">
      <w:pPr>
        <w:pStyle w:val="Ttulo3"/>
      </w:pPr>
      <w:r>
        <w:t>4. SEÇÃO 4 — HOMEOPATIA UNICISTA</w:t>
      </w:r>
    </w:p>
    <w:p w14:paraId="550CDBE0" w14:textId="77777777" w:rsidR="007C3058" w:rsidRDefault="00000000">
      <w:pPr>
        <w:spacing w:before="60"/>
        <w:jc w:val="both"/>
      </w:pPr>
      <w:r>
        <w:t>A Homeopatia Unicista baseia-se no princípio da similitude (</w:t>
      </w:r>
      <w:r>
        <w:rPr>
          <w:i/>
          <w:iCs/>
        </w:rPr>
        <w:t xml:space="preserve">Similia </w:t>
      </w:r>
      <w:proofErr w:type="spellStart"/>
      <w:r>
        <w:rPr>
          <w:i/>
          <w:iCs/>
        </w:rPr>
        <w:t>similibus</w:t>
      </w:r>
      <w:proofErr w:type="spellEnd"/>
      <w:r>
        <w:rPr>
          <w:i/>
          <w:iCs/>
        </w:rPr>
        <w:t xml:space="preserve"> </w:t>
      </w:r>
      <w:proofErr w:type="spellStart"/>
      <w:r>
        <w:rPr>
          <w:i/>
          <w:iCs/>
        </w:rPr>
        <w:t>curentur</w:t>
      </w:r>
      <w:proofErr w:type="spellEnd"/>
      <w:r>
        <w:t>), onde uma substância que causa sintomas em uma pessoa saudável pode curar esses mesmos sintomas em uma pessoa doente, quando administrada em doses infinitesimais. A força vital é vista como a inteligência biológica que busca constantemente o equilíbrio.</w:t>
      </w:r>
    </w:p>
    <w:p w14:paraId="695BF44B" w14:textId="77777777" w:rsidR="007C3058" w:rsidRDefault="00000000">
      <w:pPr>
        <w:spacing w:before="60"/>
      </w:pPr>
      <w:r>
        <w:t xml:space="preserve">INSERIR ILUSTRAÇÃO AQUI: [Símbolos homeopáticos (plantas, tubos </w:t>
      </w:r>
      <w:proofErr w:type="spellStart"/>
      <w:r>
        <w:t>succussivos</w:t>
      </w:r>
      <w:proofErr w:type="spellEnd"/>
      <w:r>
        <w:t>), mapa citocinas Th1/Th2 - inserir 2 imagens 300x200px cada, fonte: Wikipedia "</w:t>
      </w:r>
      <w:proofErr w:type="spellStart"/>
      <w:r>
        <w:t>homeopathy</w:t>
      </w:r>
      <w:proofErr w:type="spellEnd"/>
      <w:r>
        <w:t xml:space="preserve"> </w:t>
      </w:r>
      <w:proofErr w:type="spellStart"/>
      <w:r>
        <w:t>dilution</w:t>
      </w:r>
      <w:proofErr w:type="spellEnd"/>
      <w:r>
        <w:t>"]</w:t>
      </w:r>
    </w:p>
    <w:p w14:paraId="07B7CBDF" w14:textId="77777777" w:rsidR="007C3058" w:rsidRDefault="00000000">
      <w:pPr>
        <w:spacing w:before="60"/>
        <w:jc w:val="both"/>
      </w:pPr>
      <w:r>
        <w:t xml:space="preserve">Diferente da visão punitiva da doença, a homeopatia interpreta o sintoma como um sinal inteligente do organismo tentando se comunicar. Ao fornecer a "informação" correta através de </w:t>
      </w:r>
      <w:proofErr w:type="spellStart"/>
      <w:r>
        <w:t>ultra-diluições</w:t>
      </w:r>
      <w:proofErr w:type="spellEnd"/>
      <w:r>
        <w:t>, auxiliamos o reequilíbrio do sistema imune (balanço Th1/Th2) e a integração psíquica, removendo bloqueios que impedem a expressão plena da saúde.</w:t>
      </w:r>
    </w:p>
    <w:p w14:paraId="3114EFB2" w14:textId="77777777" w:rsidR="007C3058" w:rsidRDefault="00000000">
      <w:pPr>
        <w:pStyle w:val="Ttulo3"/>
      </w:pPr>
      <w:r>
        <w:t>5. SEÇÃO 5 — MEDICINA DO ESTILO DE VIDA (MEV)</w:t>
      </w:r>
    </w:p>
    <w:p w14:paraId="0B3C56A9" w14:textId="77777777" w:rsidR="007C3058" w:rsidRDefault="00000000">
      <w:pPr>
        <w:spacing w:before="60"/>
        <w:jc w:val="both"/>
      </w:pPr>
      <w:r>
        <w:t>A Medicina do Estilo de Vida (MEV) define que nossas escolhas diárias são a intervenção terapêutica mais poderosa disponível. Ela se baseia em seis pilares fundamentais que, quando alinhados, promovem a longevidade e a proteção dos telômeros (as capas protetoras do nosso DNA).</w:t>
      </w:r>
    </w:p>
    <w:p w14:paraId="24D54074" w14:textId="77777777" w:rsidR="007C3058" w:rsidRDefault="00000000">
      <w:pPr>
        <w:spacing w:before="60"/>
      </w:pPr>
      <w:r>
        <w:t xml:space="preserve">INSERIR ILUSTRAÇÃO AQUI: [Roda com 6 pilares (ícones coloridos), gráfico telômeros encurtando/alongando - inserir infográfico 400x300px, fonte: criar em </w:t>
      </w:r>
      <w:proofErr w:type="spellStart"/>
      <w:r>
        <w:t>Canva</w:t>
      </w:r>
      <w:proofErr w:type="spellEnd"/>
      <w:r>
        <w:t>]</w:t>
      </w:r>
    </w:p>
    <w:p w14:paraId="24165851" w14:textId="77777777" w:rsidR="007C3058" w:rsidRDefault="00000000">
      <w:pPr>
        <w:spacing w:before="60"/>
        <w:jc w:val="both"/>
      </w:pPr>
      <w:r>
        <w:t xml:space="preserve">Os pilares incluem: 1. Nutrição Integral (foco em plantas e densidade nutricional); 2. Movimento Consciente; 3. Sono Restaurador; 4. Gestão do Estresse; 5. Relacionamentos Saudáveis; e 6. Controle de Toxinas. A ativação de sirtuínas através desses comportamentos expande o </w:t>
      </w:r>
      <w:r>
        <w:rPr>
          <w:i/>
          <w:iCs/>
        </w:rPr>
        <w:t>healthspan</w:t>
      </w:r>
      <w:r>
        <w:t>, garantindo que os anos adicionais de vida sejam vividos com vitalidade e autonomia.</w:t>
      </w:r>
    </w:p>
    <w:p w14:paraId="0846DB6B" w14:textId="77777777" w:rsidR="007C3058" w:rsidRDefault="00000000">
      <w:pPr>
        <w:pStyle w:val="Ttulo3"/>
      </w:pPr>
      <w:r>
        <w:t>6. SEÇÃO 6 — SOBERANIA BIOLÓGICA</w:t>
      </w:r>
    </w:p>
    <w:p w14:paraId="215C4FFF" w14:textId="77777777" w:rsidR="007C3058" w:rsidRDefault="00000000">
      <w:pPr>
        <w:spacing w:before="60"/>
        <w:jc w:val="both"/>
      </w:pPr>
      <w:r>
        <w:t>A soberania biológica é o ponto de convergência entre o SEC, a Teoria Polivagal, a Homeopatia e a MEV. É o estado de empoderamento onde o paciente deixa de ser um receptor passivo de tratamentos e se torna o arquiteto de sua própria biologia. Nesta visão, a responsabilidade não é sinônimo de culpa, mas sim do "poder de responder" aos desafios da vida com resiliência.</w:t>
      </w:r>
    </w:p>
    <w:p w14:paraId="6D759EFC" w14:textId="77777777" w:rsidR="007C3058" w:rsidRDefault="00000000">
      <w:pPr>
        <w:spacing w:before="60"/>
      </w:pPr>
      <w:r>
        <w:t xml:space="preserve">INSERIR ILUSTRAÇÃO AQUI: [Mandala integrativa com 4 pilares conectados ao centro (figura de pessoa) - inserir mandala 350x350px, fonte: </w:t>
      </w:r>
      <w:proofErr w:type="spellStart"/>
      <w:r>
        <w:t>Canva</w:t>
      </w:r>
      <w:proofErr w:type="spellEnd"/>
      <w:r>
        <w:t>]</w:t>
      </w:r>
    </w:p>
    <w:p w14:paraId="54610FF9" w14:textId="77777777" w:rsidR="007C3058" w:rsidRDefault="00000000">
      <w:pPr>
        <w:pStyle w:val="Ttulo3"/>
      </w:pPr>
      <w:r>
        <w:t>7. SEÇÃO 7 — APLICAÇÕES PRÁTICAS (CASOS CLÍNICOS)</w:t>
      </w:r>
    </w:p>
    <w:p w14:paraId="2AAEA8FD" w14:textId="77777777" w:rsidR="007C3058" w:rsidRDefault="00000000">
      <w:pPr>
        <w:spacing w:before="60"/>
        <w:jc w:val="both"/>
      </w:pPr>
      <w:r>
        <w:rPr>
          <w:b/>
          <w:bCs/>
        </w:rPr>
        <w:t>CASO 1: Ansiedade Generalizada.</w:t>
      </w:r>
      <w:r>
        <w:t xml:space="preserve"> Paciente feminina, 34 anos. Diagnóstico integrativo revelou baixo tônus vagal ventral e desregulação do eixo PNEI. A intervenção focou em exercícios de respiração polivagal, uso de </w:t>
      </w:r>
      <w:proofErr w:type="spellStart"/>
      <w:r>
        <w:t>Ignatia</w:t>
      </w:r>
      <w:proofErr w:type="spellEnd"/>
      <w:r>
        <w:t xml:space="preserve"> Amara (homeopatia) e ajuste nutricional rico em magnésio e ômega-3. Desfecho: Redução de 70% nos escores de ansiedade em 6 meses, com desmame assistido de benzodiazepínicos.</w:t>
      </w:r>
    </w:p>
    <w:p w14:paraId="0995AA1C" w14:textId="77777777" w:rsidR="007C3058" w:rsidRDefault="00000000">
      <w:pPr>
        <w:spacing w:before="60"/>
        <w:jc w:val="both"/>
      </w:pPr>
      <w:r>
        <w:rPr>
          <w:b/>
          <w:bCs/>
        </w:rPr>
        <w:t>CASO 2: Fibromialgia.</w:t>
      </w:r>
      <w:r>
        <w:t xml:space="preserve"> Paciente, 45 anos, com dor crônica difusa. Identificada deficiência clínica endocanabinoide. Abordagem incluiu óleo de CBD full-</w:t>
      </w:r>
      <w:proofErr w:type="spellStart"/>
      <w:r>
        <w:t>spectrum</w:t>
      </w:r>
      <w:proofErr w:type="spellEnd"/>
      <w:r>
        <w:t>, dieta anti-inflamatória e terapia de dessensibilização central. Desfecho: Redução de 50% na percepção da dor e melhora significativa na qualidade do sono e fadiga, permitindo o retorno às atividades laborais.</w:t>
      </w:r>
    </w:p>
    <w:p w14:paraId="4DABB07D" w14:textId="77777777" w:rsidR="007C3058" w:rsidRDefault="00000000">
      <w:pPr>
        <w:spacing w:before="60"/>
        <w:jc w:val="both"/>
      </w:pPr>
      <w:r>
        <w:rPr>
          <w:b/>
          <w:bCs/>
        </w:rPr>
        <w:t>CASO 3: Gestante e Epigenética.</w:t>
      </w:r>
      <w:r>
        <w:t xml:space="preserve"> Primigesta, 28 anos. Trabalho focado na linguagem parental e redução do estresse materno para proteção do feto contra o "</w:t>
      </w:r>
      <w:proofErr w:type="spellStart"/>
      <w:r>
        <w:t>imprinting</w:t>
      </w:r>
      <w:proofErr w:type="spellEnd"/>
      <w:r>
        <w:t>" de cortisol. Uso de protocolos de restauração vagal e acompanhamento homeopático constitucional. Desfecho: Bebê nasceu com excelentes reflexos de autorregulação e neurocepção de segurança, apresentando desenvolvimento neuropsicomotor acima da média.</w:t>
      </w:r>
    </w:p>
    <w:p w14:paraId="4E9E8DB7" w14:textId="77777777" w:rsidR="007C3058" w:rsidRDefault="00000000">
      <w:pPr>
        <w:spacing w:before="60"/>
      </w:pPr>
      <w:r>
        <w:t xml:space="preserve">INSERIR ILUSTRAÇÃO AQUI: [Fluxograma de atendimento integrativo - inserir diagrama 400x250px, fonte: </w:t>
      </w:r>
      <w:proofErr w:type="spellStart"/>
      <w:r>
        <w:t>Lucidchart</w:t>
      </w:r>
      <w:proofErr w:type="spellEnd"/>
      <w:r>
        <w:t>]</w:t>
      </w:r>
    </w:p>
    <w:p w14:paraId="33AF8B4F" w14:textId="77777777" w:rsidR="007C3058" w:rsidRDefault="00000000">
      <w:pPr>
        <w:pStyle w:val="Ttulo3"/>
      </w:pPr>
      <w:r>
        <w:t>8. SEÇÃO 8 — TABELAS E INFOGRAFIAS</w:t>
      </w:r>
    </w:p>
    <w:p w14:paraId="708029C4" w14:textId="77777777" w:rsidR="007C3058" w:rsidRDefault="00000000">
      <w:r>
        <w:t>TABELA 1: COMPARATIVA ABORDAGEM TRADICIONAL vs. INTEGRATIVA</w:t>
      </w:r>
    </w:p>
    <w:tbl>
      <w:tblPr>
        <w:tblW w:w="10800" w:type="dxa"/>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CellMar>
          <w:left w:w="10" w:type="dxa"/>
          <w:right w:w="10" w:type="dxa"/>
        </w:tblCellMar>
        <w:tblLook w:val="0000" w:firstRow="0" w:lastRow="0" w:firstColumn="0" w:lastColumn="0" w:noHBand="0" w:noVBand="0"/>
      </w:tblPr>
      <w:tblGrid>
        <w:gridCol w:w="3600"/>
        <w:gridCol w:w="3600"/>
        <w:gridCol w:w="3600"/>
      </w:tblGrid>
      <w:tr w:rsidR="007C3058" w14:paraId="224426B6"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tcPr>
          <w:p w14:paraId="7FCF3CC2" w14:textId="77777777" w:rsidR="007C3058" w:rsidRDefault="00000000">
            <w:pPr>
              <w:spacing w:before="80" w:after="80"/>
              <w:jc w:val="center"/>
            </w:pPr>
            <w:r>
              <w:rPr>
                <w:b/>
                <w:bCs/>
                <w:sz w:val="20"/>
                <w:szCs w:val="20"/>
              </w:rPr>
              <w:t>Critério</w:t>
            </w:r>
          </w:p>
        </w:tc>
        <w:tc>
          <w:tcPr>
            <w:tcW w:w="360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tcPr>
          <w:p w14:paraId="4C5AE8B8" w14:textId="77777777" w:rsidR="007C3058" w:rsidRDefault="00000000">
            <w:pPr>
              <w:spacing w:before="80" w:after="80"/>
              <w:jc w:val="center"/>
            </w:pPr>
            <w:r>
              <w:rPr>
                <w:b/>
                <w:bCs/>
                <w:sz w:val="20"/>
                <w:szCs w:val="20"/>
              </w:rPr>
              <w:t>Abordagem Tradicional</w:t>
            </w:r>
          </w:p>
        </w:tc>
        <w:tc>
          <w:tcPr>
            <w:tcW w:w="360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tcPr>
          <w:p w14:paraId="569EB9A1" w14:textId="77777777" w:rsidR="007C3058" w:rsidRDefault="00000000">
            <w:pPr>
              <w:spacing w:before="80" w:after="80"/>
              <w:jc w:val="center"/>
            </w:pPr>
            <w:r>
              <w:rPr>
                <w:b/>
                <w:bCs/>
                <w:sz w:val="20"/>
                <w:szCs w:val="20"/>
              </w:rPr>
              <w:t>Abordagem Integrativa</w:t>
            </w:r>
          </w:p>
        </w:tc>
      </w:tr>
      <w:tr w:rsidR="007C3058" w14:paraId="0348FEEC"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2B8DEA10" w14:textId="77777777" w:rsidR="007C3058" w:rsidRDefault="00000000">
            <w:pPr>
              <w:spacing w:before="60" w:after="60"/>
            </w:pPr>
            <w:r>
              <w:rPr>
                <w:sz w:val="20"/>
                <w:szCs w:val="20"/>
              </w:rPr>
              <w:t>Causa da Ansiedade</w:t>
            </w:r>
          </w:p>
        </w:tc>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7E592866" w14:textId="77777777" w:rsidR="007C3058" w:rsidRDefault="00000000">
            <w:pPr>
              <w:spacing w:before="60" w:after="60"/>
            </w:pPr>
            <w:r>
              <w:rPr>
                <w:sz w:val="20"/>
                <w:szCs w:val="20"/>
              </w:rPr>
              <w:t>Desequilíbrio de neurotransmissores</w:t>
            </w:r>
          </w:p>
        </w:tc>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3D6FC0EC" w14:textId="77777777" w:rsidR="007C3058" w:rsidRDefault="00000000">
            <w:pPr>
              <w:spacing w:before="60" w:after="60"/>
            </w:pPr>
            <w:r>
              <w:rPr>
                <w:sz w:val="20"/>
                <w:szCs w:val="20"/>
              </w:rPr>
              <w:t>Desregulação PNEI e baixo tônus vagal</w:t>
            </w:r>
          </w:p>
        </w:tc>
      </w:tr>
      <w:tr w:rsidR="007C3058" w14:paraId="3B677D2B"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22684767" w14:textId="77777777" w:rsidR="007C3058" w:rsidRDefault="00000000">
            <w:pPr>
              <w:spacing w:before="60" w:after="60"/>
            </w:pPr>
            <w:r>
              <w:rPr>
                <w:sz w:val="20"/>
                <w:szCs w:val="20"/>
              </w:rPr>
              <w:t>Tratamento Padrão</w:t>
            </w:r>
          </w:p>
        </w:tc>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1587FF95" w14:textId="77777777" w:rsidR="007C3058" w:rsidRDefault="00000000">
            <w:pPr>
              <w:spacing w:before="60" w:after="60"/>
            </w:pPr>
            <w:r>
              <w:rPr>
                <w:sz w:val="20"/>
                <w:szCs w:val="20"/>
              </w:rPr>
              <w:t>Psicofármacos (Inibidores de recaptação)</w:t>
            </w:r>
          </w:p>
        </w:tc>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1D64B459" w14:textId="77777777" w:rsidR="007C3058" w:rsidRDefault="00000000">
            <w:pPr>
              <w:spacing w:before="60" w:after="60"/>
            </w:pPr>
            <w:r>
              <w:rPr>
                <w:sz w:val="20"/>
                <w:szCs w:val="20"/>
              </w:rPr>
              <w:t>SEC + Polivagal + Homeopatia + MEV</w:t>
            </w:r>
          </w:p>
        </w:tc>
      </w:tr>
      <w:tr w:rsidR="007C3058" w14:paraId="151FB457"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0C39B55D" w14:textId="77777777" w:rsidR="007C3058" w:rsidRDefault="00000000">
            <w:pPr>
              <w:spacing w:before="60" w:after="60"/>
            </w:pPr>
            <w:r>
              <w:rPr>
                <w:sz w:val="20"/>
                <w:szCs w:val="20"/>
              </w:rPr>
              <w:t>Efeitos Adversos</w:t>
            </w:r>
          </w:p>
        </w:tc>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1CEF62FD" w14:textId="77777777" w:rsidR="007C3058" w:rsidRDefault="00000000">
            <w:pPr>
              <w:spacing w:before="60" w:after="60"/>
            </w:pPr>
            <w:r>
              <w:rPr>
                <w:sz w:val="20"/>
                <w:szCs w:val="20"/>
              </w:rPr>
              <w:t>Comuns (libido, peso, sono)</w:t>
            </w:r>
          </w:p>
        </w:tc>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26B55236" w14:textId="77777777" w:rsidR="007C3058" w:rsidRDefault="00000000">
            <w:pPr>
              <w:spacing w:before="60" w:after="60"/>
            </w:pPr>
            <w:r>
              <w:rPr>
                <w:sz w:val="20"/>
                <w:szCs w:val="20"/>
              </w:rPr>
              <w:t>Mínimos ou inexistentes</w:t>
            </w:r>
          </w:p>
        </w:tc>
      </w:tr>
      <w:tr w:rsidR="007C3058" w14:paraId="4F1E3FE7"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7C563575" w14:textId="77777777" w:rsidR="007C3058" w:rsidRDefault="00000000">
            <w:pPr>
              <w:spacing w:before="60" w:after="60"/>
            </w:pPr>
            <w:r>
              <w:rPr>
                <w:sz w:val="20"/>
                <w:szCs w:val="20"/>
              </w:rPr>
              <w:t>Raiz Tratada</w:t>
            </w:r>
          </w:p>
        </w:tc>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124DD121" w14:textId="77777777" w:rsidR="007C3058" w:rsidRDefault="00000000">
            <w:pPr>
              <w:spacing w:before="60" w:after="60"/>
            </w:pPr>
            <w:r>
              <w:rPr>
                <w:sz w:val="20"/>
                <w:szCs w:val="20"/>
              </w:rPr>
              <w:t>Sintoma químico</w:t>
            </w:r>
          </w:p>
        </w:tc>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4E5C89C6" w14:textId="77777777" w:rsidR="007C3058" w:rsidRDefault="00000000">
            <w:pPr>
              <w:spacing w:before="60" w:after="60"/>
            </w:pPr>
            <w:r>
              <w:rPr>
                <w:sz w:val="20"/>
                <w:szCs w:val="20"/>
              </w:rPr>
              <w:t>Causa sistêmica e biográfica</w:t>
            </w:r>
          </w:p>
        </w:tc>
      </w:tr>
      <w:tr w:rsidR="007C3058" w14:paraId="5A2AA019"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56866BFD" w14:textId="77777777" w:rsidR="007C3058" w:rsidRDefault="00000000">
            <w:pPr>
              <w:spacing w:before="60" w:after="60"/>
            </w:pPr>
            <w:r>
              <w:rPr>
                <w:sz w:val="20"/>
                <w:szCs w:val="20"/>
              </w:rPr>
              <w:t>Taxa de Recidiva</w:t>
            </w:r>
          </w:p>
        </w:tc>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7DE9B866" w14:textId="77777777" w:rsidR="007C3058" w:rsidRDefault="00000000">
            <w:pPr>
              <w:spacing w:before="60" w:after="60"/>
            </w:pPr>
            <w:r>
              <w:rPr>
                <w:sz w:val="20"/>
                <w:szCs w:val="20"/>
              </w:rPr>
              <w:t>Alta após interrupção</w:t>
            </w:r>
          </w:p>
        </w:tc>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0A542C0D" w14:textId="77777777" w:rsidR="007C3058" w:rsidRDefault="00000000">
            <w:pPr>
              <w:spacing w:before="60" w:after="60"/>
            </w:pPr>
            <w:r>
              <w:rPr>
                <w:sz w:val="20"/>
                <w:szCs w:val="20"/>
              </w:rPr>
              <w:t>Baixa devido à soberania biológica</w:t>
            </w:r>
          </w:p>
        </w:tc>
      </w:tr>
    </w:tbl>
    <w:p w14:paraId="304CD3D2" w14:textId="77777777" w:rsidR="007C3058" w:rsidRDefault="00000000">
      <w:r>
        <w:t>TABELA 2: CHECKLIST DE SAÚDE MEV (0-100 PONTOS)</w:t>
      </w:r>
    </w:p>
    <w:tbl>
      <w:tblPr>
        <w:tblW w:w="10800" w:type="dxa"/>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CellMar>
          <w:left w:w="10" w:type="dxa"/>
          <w:right w:w="10" w:type="dxa"/>
        </w:tblCellMar>
        <w:tblLook w:val="0000" w:firstRow="0" w:lastRow="0" w:firstColumn="0" w:lastColumn="0" w:noHBand="0" w:noVBand="0"/>
      </w:tblPr>
      <w:tblGrid>
        <w:gridCol w:w="3600"/>
        <w:gridCol w:w="3600"/>
        <w:gridCol w:w="3600"/>
      </w:tblGrid>
      <w:tr w:rsidR="007C3058" w14:paraId="6C6C40D6"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tcPr>
          <w:p w14:paraId="0E66F8FB" w14:textId="77777777" w:rsidR="007C3058" w:rsidRDefault="00000000">
            <w:pPr>
              <w:spacing w:before="80" w:after="80"/>
              <w:jc w:val="center"/>
            </w:pPr>
            <w:r>
              <w:rPr>
                <w:b/>
                <w:bCs/>
                <w:sz w:val="20"/>
                <w:szCs w:val="20"/>
              </w:rPr>
              <w:t>Pilar</w:t>
            </w:r>
          </w:p>
        </w:tc>
        <w:tc>
          <w:tcPr>
            <w:tcW w:w="360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tcPr>
          <w:p w14:paraId="1F6A78EC" w14:textId="77777777" w:rsidR="007C3058" w:rsidRDefault="00000000">
            <w:pPr>
              <w:spacing w:before="80" w:after="80"/>
              <w:jc w:val="center"/>
            </w:pPr>
            <w:r>
              <w:rPr>
                <w:b/>
                <w:bCs/>
                <w:sz w:val="20"/>
                <w:szCs w:val="20"/>
              </w:rPr>
              <w:t>Ação Principal</w:t>
            </w:r>
          </w:p>
        </w:tc>
        <w:tc>
          <w:tcPr>
            <w:tcW w:w="360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tcPr>
          <w:p w14:paraId="52ADB100" w14:textId="77777777" w:rsidR="007C3058" w:rsidRDefault="00000000">
            <w:pPr>
              <w:spacing w:before="80" w:after="80"/>
              <w:jc w:val="center"/>
            </w:pPr>
            <w:r>
              <w:rPr>
                <w:b/>
                <w:bCs/>
                <w:sz w:val="20"/>
                <w:szCs w:val="20"/>
              </w:rPr>
              <w:t>Pontos (0-15)</w:t>
            </w:r>
          </w:p>
        </w:tc>
      </w:tr>
      <w:tr w:rsidR="007C3058" w14:paraId="00EADC29"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10004AE8" w14:textId="77777777" w:rsidR="007C3058" w:rsidRDefault="00000000">
            <w:pPr>
              <w:spacing w:before="60" w:after="60"/>
            </w:pPr>
            <w:r>
              <w:rPr>
                <w:sz w:val="20"/>
                <w:szCs w:val="20"/>
              </w:rPr>
              <w:t>Nutrição</w:t>
            </w:r>
          </w:p>
        </w:tc>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76464ED1" w14:textId="77777777" w:rsidR="007C3058" w:rsidRDefault="00000000">
            <w:pPr>
              <w:spacing w:before="60" w:after="60"/>
            </w:pPr>
            <w:r>
              <w:rPr>
                <w:sz w:val="20"/>
                <w:szCs w:val="20"/>
              </w:rPr>
              <w:t>Comida de verdade, densidade nutricional</w:t>
            </w:r>
          </w:p>
        </w:tc>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024A8C09" w14:textId="77777777" w:rsidR="007C3058" w:rsidRDefault="007C3058">
            <w:pPr>
              <w:spacing w:before="60" w:after="60"/>
            </w:pPr>
          </w:p>
        </w:tc>
      </w:tr>
      <w:tr w:rsidR="007C3058" w14:paraId="1F681545"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4D0CCECA" w14:textId="77777777" w:rsidR="007C3058" w:rsidRDefault="00000000">
            <w:pPr>
              <w:spacing w:before="60" w:after="60"/>
            </w:pPr>
            <w:r>
              <w:rPr>
                <w:sz w:val="20"/>
                <w:szCs w:val="20"/>
              </w:rPr>
              <w:t>Movimento</w:t>
            </w:r>
          </w:p>
        </w:tc>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7F65E733" w14:textId="77777777" w:rsidR="007C3058" w:rsidRDefault="00000000">
            <w:pPr>
              <w:spacing w:before="60" w:after="60"/>
            </w:pPr>
            <w:r>
              <w:rPr>
                <w:sz w:val="20"/>
                <w:szCs w:val="20"/>
              </w:rPr>
              <w:t>150 min/semana + força</w:t>
            </w:r>
          </w:p>
        </w:tc>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03639C19" w14:textId="77777777" w:rsidR="007C3058" w:rsidRDefault="007C3058">
            <w:pPr>
              <w:spacing w:before="60" w:after="60"/>
            </w:pPr>
          </w:p>
        </w:tc>
      </w:tr>
      <w:tr w:rsidR="007C3058" w14:paraId="741B588E"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7704B5A8" w14:textId="77777777" w:rsidR="007C3058" w:rsidRDefault="00000000">
            <w:pPr>
              <w:spacing w:before="60" w:after="60"/>
            </w:pPr>
            <w:r>
              <w:rPr>
                <w:sz w:val="20"/>
                <w:szCs w:val="20"/>
              </w:rPr>
              <w:t>Sono</w:t>
            </w:r>
          </w:p>
        </w:tc>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0AB9D3B6" w14:textId="77777777" w:rsidR="007C3058" w:rsidRDefault="00000000">
            <w:pPr>
              <w:spacing w:before="60" w:after="60"/>
            </w:pPr>
            <w:r>
              <w:rPr>
                <w:sz w:val="20"/>
                <w:szCs w:val="20"/>
              </w:rPr>
              <w:t>7-9 horas de qualidade</w:t>
            </w:r>
          </w:p>
        </w:tc>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15FBB354" w14:textId="77777777" w:rsidR="007C3058" w:rsidRDefault="007C3058">
            <w:pPr>
              <w:spacing w:before="60" w:after="60"/>
            </w:pPr>
          </w:p>
        </w:tc>
      </w:tr>
      <w:tr w:rsidR="007C3058" w14:paraId="62B30239"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582144E2" w14:textId="77777777" w:rsidR="007C3058" w:rsidRDefault="00000000">
            <w:pPr>
              <w:spacing w:before="60" w:after="60"/>
            </w:pPr>
            <w:r>
              <w:rPr>
                <w:sz w:val="20"/>
                <w:szCs w:val="20"/>
              </w:rPr>
              <w:t>Estresse</w:t>
            </w:r>
          </w:p>
        </w:tc>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0F5C7157" w14:textId="77777777" w:rsidR="007C3058" w:rsidRDefault="00000000">
            <w:pPr>
              <w:spacing w:before="60" w:after="60"/>
            </w:pPr>
            <w:r>
              <w:rPr>
                <w:sz w:val="20"/>
                <w:szCs w:val="20"/>
              </w:rPr>
              <w:t>Prática diária de relaxamento</w:t>
            </w:r>
          </w:p>
        </w:tc>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6874C4E9" w14:textId="77777777" w:rsidR="007C3058" w:rsidRDefault="007C3058">
            <w:pPr>
              <w:spacing w:before="60" w:after="60"/>
            </w:pPr>
          </w:p>
        </w:tc>
      </w:tr>
      <w:tr w:rsidR="007C3058" w14:paraId="01986DE8"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08692DE9" w14:textId="77777777" w:rsidR="007C3058" w:rsidRDefault="00000000">
            <w:pPr>
              <w:spacing w:before="60" w:after="60"/>
            </w:pPr>
            <w:r>
              <w:rPr>
                <w:sz w:val="20"/>
                <w:szCs w:val="20"/>
              </w:rPr>
              <w:t>Relações</w:t>
            </w:r>
          </w:p>
        </w:tc>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4612F805" w14:textId="77777777" w:rsidR="007C3058" w:rsidRDefault="00000000">
            <w:pPr>
              <w:spacing w:before="60" w:after="60"/>
            </w:pPr>
            <w:r>
              <w:rPr>
                <w:sz w:val="20"/>
                <w:szCs w:val="20"/>
              </w:rPr>
              <w:t>Conexões profundas e seguras</w:t>
            </w:r>
          </w:p>
        </w:tc>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60C1B061" w14:textId="77777777" w:rsidR="007C3058" w:rsidRDefault="007C3058">
            <w:pPr>
              <w:spacing w:before="60" w:after="60"/>
            </w:pPr>
          </w:p>
        </w:tc>
      </w:tr>
      <w:tr w:rsidR="007C3058" w14:paraId="4A422857"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4FBD09A3" w14:textId="77777777" w:rsidR="007C3058" w:rsidRDefault="00000000">
            <w:pPr>
              <w:spacing w:before="60" w:after="60"/>
            </w:pPr>
            <w:r>
              <w:rPr>
                <w:sz w:val="20"/>
                <w:szCs w:val="20"/>
              </w:rPr>
              <w:t>Toxinas</w:t>
            </w:r>
          </w:p>
        </w:tc>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2227A070" w14:textId="77777777" w:rsidR="007C3058" w:rsidRDefault="00000000">
            <w:pPr>
              <w:spacing w:before="60" w:after="60"/>
            </w:pPr>
            <w:r>
              <w:rPr>
                <w:sz w:val="20"/>
                <w:szCs w:val="20"/>
              </w:rPr>
              <w:t>Redução de plásticos e químicos</w:t>
            </w:r>
          </w:p>
        </w:tc>
        <w:tc>
          <w:tcPr>
            <w:tcW w:w="36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6542AF0B" w14:textId="77777777" w:rsidR="007C3058" w:rsidRDefault="007C3058">
            <w:pPr>
              <w:spacing w:before="60" w:after="60"/>
            </w:pPr>
          </w:p>
        </w:tc>
      </w:tr>
    </w:tbl>
    <w:p w14:paraId="6712684C" w14:textId="77777777" w:rsidR="007C3058" w:rsidRDefault="00000000">
      <w:pPr>
        <w:pStyle w:val="Ttulo3"/>
      </w:pPr>
      <w:r>
        <w:t>9. SEÇÃO 9 — ALERTAS CLÍNICOS E CONSIDERAÇÕES ÉTICAS</w:t>
      </w:r>
    </w:p>
    <w:p w14:paraId="48380B84" w14:textId="77777777" w:rsidR="007C3058" w:rsidRDefault="00000000">
      <w:pPr>
        <w:spacing w:before="60"/>
        <w:jc w:val="both"/>
      </w:pPr>
      <w:r>
        <w:t xml:space="preserve">🚨 </w:t>
      </w:r>
      <w:proofErr w:type="spellStart"/>
      <w:r>
        <w:rPr>
          <w:b/>
          <w:bCs/>
        </w:rPr>
        <w:t>RED</w:t>
      </w:r>
      <w:proofErr w:type="spellEnd"/>
      <w:r>
        <w:rPr>
          <w:b/>
          <w:bCs/>
        </w:rPr>
        <w:t xml:space="preserve"> FLAGS DE EMERGÊNCIA:</w:t>
      </w:r>
      <w:r>
        <w:t xml:space="preserve"> Procure atendimento imediato em caso de: Dor torácica súbita, perda de força em um lado do corpo, dificuldade respiratória aguda, pensamentos de autoextermínio, febre alta persistente sem causa, alterações súbitas na visão ou fala, sangramentos inexplicáveis, confusão mental aguda, dor abdominal intensa e súbita, ou reações alérgicas graves (anafilaxia).</w:t>
      </w:r>
    </w:p>
    <w:p w14:paraId="291EB3FA" w14:textId="77777777" w:rsidR="007C3058" w:rsidRDefault="00000000">
      <w:pPr>
        <w:spacing w:before="60"/>
        <w:jc w:val="both"/>
      </w:pPr>
      <w:r>
        <w:rPr>
          <w:b/>
          <w:bCs/>
        </w:rPr>
        <w:t>CONSIDERAÇÕES ÉTICAS:</w:t>
      </w:r>
      <w:r>
        <w:t xml:space="preserve"> A prática da saúde integrativa exige responsabilidade. Desconfie de promessas de "cura milagrosa" ou tratamentos que exijam o abandono imediato de terapias convencionais críticas. O consentimento informado é um direito do paciente. Verifique sempre a regulamentação da ANVISA para o uso de fitocanabinoides e a formação do profissional homeopata.</w:t>
      </w:r>
    </w:p>
    <w:p w14:paraId="19EB3C50" w14:textId="77777777" w:rsidR="007C3058" w:rsidRDefault="007C3058">
      <w:pPr>
        <w:pBdr>
          <w:bottom w:val="single" w:sz="6" w:space="0" w:color="CCCCCC"/>
        </w:pBdr>
        <w:spacing w:before="200" w:after="200"/>
      </w:pPr>
    </w:p>
    <w:p w14:paraId="70758F45" w14:textId="77777777" w:rsidR="007C3058" w:rsidRDefault="00000000">
      <w:pPr>
        <w:pStyle w:val="Ttulo3"/>
      </w:pPr>
      <w:r>
        <w:t>10. SEÇÃO 10 — BIBLIOGRAFIA COMENTADA ABNT</w:t>
      </w:r>
    </w:p>
    <w:p w14:paraId="69062B79" w14:textId="77777777" w:rsidR="007C3058" w:rsidRDefault="00000000">
      <w:pPr>
        <w:spacing w:before="60"/>
      </w:pPr>
      <w:r>
        <w:rPr>
          <w:b/>
          <w:bCs/>
          <w:i/>
          <w:iCs/>
        </w:rPr>
        <w:t xml:space="preserve">1. ORGANIZAÇÃO MUNDIAL DA SAÚDE. </w:t>
      </w:r>
      <w:proofErr w:type="spellStart"/>
      <w:r>
        <w:rPr>
          <w:b/>
          <w:bCs/>
          <w:i/>
          <w:iCs/>
        </w:rPr>
        <w:t>Decade</w:t>
      </w:r>
      <w:proofErr w:type="spellEnd"/>
      <w:r>
        <w:rPr>
          <w:b/>
          <w:bCs/>
          <w:i/>
          <w:iCs/>
        </w:rPr>
        <w:t xml:space="preserve"> </w:t>
      </w:r>
      <w:proofErr w:type="spellStart"/>
      <w:r>
        <w:rPr>
          <w:b/>
          <w:bCs/>
          <w:i/>
          <w:iCs/>
        </w:rPr>
        <w:t>of</w:t>
      </w:r>
      <w:proofErr w:type="spellEnd"/>
      <w:r>
        <w:rPr>
          <w:b/>
          <w:bCs/>
          <w:i/>
          <w:iCs/>
        </w:rPr>
        <w:t xml:space="preserve"> </w:t>
      </w:r>
      <w:proofErr w:type="spellStart"/>
      <w:r>
        <w:rPr>
          <w:b/>
          <w:bCs/>
          <w:i/>
          <w:iCs/>
        </w:rPr>
        <w:t>Healthy</w:t>
      </w:r>
      <w:proofErr w:type="spellEnd"/>
      <w:r>
        <w:rPr>
          <w:b/>
          <w:bCs/>
          <w:i/>
          <w:iCs/>
        </w:rPr>
        <w:t xml:space="preserve"> </w:t>
      </w:r>
      <w:proofErr w:type="spellStart"/>
      <w:r>
        <w:rPr>
          <w:b/>
          <w:bCs/>
          <w:i/>
          <w:iCs/>
        </w:rPr>
        <w:t>Ageing</w:t>
      </w:r>
      <w:proofErr w:type="spellEnd"/>
      <w:r>
        <w:rPr>
          <w:b/>
          <w:bCs/>
          <w:i/>
          <w:iCs/>
        </w:rPr>
        <w:t xml:space="preserve">: baseline report. Geneva: World Health </w:t>
      </w:r>
      <w:proofErr w:type="spellStart"/>
      <w:r>
        <w:rPr>
          <w:b/>
          <w:bCs/>
          <w:i/>
          <w:iCs/>
        </w:rPr>
        <w:t>Organization</w:t>
      </w:r>
      <w:proofErr w:type="spellEnd"/>
      <w:r>
        <w:rPr>
          <w:b/>
          <w:bCs/>
          <w:i/>
          <w:iCs/>
        </w:rPr>
        <w:t>, 2020.</w:t>
      </w:r>
      <w:r>
        <w:br/>
      </w:r>
      <w:r>
        <w:rPr>
          <w:b/>
          <w:bCs/>
        </w:rPr>
        <w:t>RESUMO:</w:t>
      </w:r>
      <w:r>
        <w:t xml:space="preserve"> Este relatório fundamental da OMS estabelece as diretrizes para a década do envelhecimento saudável (2021-2030). O documento define o envelhecimento saudável como o processo de desenvolvimento e manutenção da capacidade funcional que permite o bem-estar na idade avançada. A metodologia baseia-se na análise de dados globais sobre saúde, ambiente e políticas públicas. Os achados principais indicam que a saúde não é apenas a ausência de doença, mas a preservação da autonomia e da participação social. O contexto enfatiza a necessidade de sistemas de saúde integrados que foquem na prevenção e no suporte contínuo, indo além do modelo agudo de cuidado.</w:t>
      </w:r>
      <w:r>
        <w:br/>
      </w:r>
      <w:r>
        <w:rPr>
          <w:b/>
          <w:bCs/>
        </w:rPr>
        <w:t>RELEVÂNCIA:</w:t>
      </w:r>
      <w:r>
        <w:t xml:space="preserve"> Este documento é a base política e epidemiológica para a Medicina do Estilo de Vida (MEV). Ele </w:t>
      </w:r>
      <w:proofErr w:type="spellStart"/>
      <w:r>
        <w:t>valida</w:t>
      </w:r>
      <w:proofErr w:type="spellEnd"/>
      <w:r>
        <w:t xml:space="preserve"> a importância de intervenções precoces e contínuas para garantir a longevidade. Conecta-se à apostila ao fornecer o respaldo institucional para a busca da soberania biológica como meta de saúde pública global.</w:t>
      </w:r>
      <w:r>
        <w:br/>
      </w:r>
      <w:r>
        <w:rPr>
          <w:b/>
          <w:bCs/>
        </w:rPr>
        <w:t>LINK ATIVO:</w:t>
      </w:r>
      <w:r>
        <w:t xml:space="preserve"> [URL: https://www.who.int/publications/i/item/9789240016675]</w:t>
      </w:r>
      <w:r>
        <w:br/>
      </w:r>
      <w:r>
        <w:rPr>
          <w:b/>
          <w:bCs/>
        </w:rPr>
        <w:t>ACESSO:</w:t>
      </w:r>
      <w:r>
        <w:t xml:space="preserve"> Open Access</w:t>
      </w:r>
    </w:p>
    <w:p w14:paraId="2CBE9FE5" w14:textId="77777777" w:rsidR="007C3058" w:rsidRDefault="00000000">
      <w:pPr>
        <w:spacing w:before="60"/>
      </w:pPr>
      <w:r>
        <w:rPr>
          <w:b/>
          <w:bCs/>
          <w:i/>
          <w:iCs/>
        </w:rPr>
        <w:t xml:space="preserve">2. PORGES, Stephen W. The </w:t>
      </w:r>
      <w:proofErr w:type="spellStart"/>
      <w:r>
        <w:rPr>
          <w:b/>
          <w:bCs/>
          <w:i/>
          <w:iCs/>
        </w:rPr>
        <w:t>Polyvagal</w:t>
      </w:r>
      <w:proofErr w:type="spellEnd"/>
      <w:r>
        <w:rPr>
          <w:b/>
          <w:bCs/>
          <w:i/>
          <w:iCs/>
        </w:rPr>
        <w:t xml:space="preserve"> </w:t>
      </w:r>
      <w:proofErr w:type="spellStart"/>
      <w:r>
        <w:rPr>
          <w:b/>
          <w:bCs/>
          <w:i/>
          <w:iCs/>
        </w:rPr>
        <w:t>Theory</w:t>
      </w:r>
      <w:proofErr w:type="spellEnd"/>
      <w:r>
        <w:rPr>
          <w:b/>
          <w:bCs/>
          <w:i/>
          <w:iCs/>
        </w:rPr>
        <w:t xml:space="preserve">: </w:t>
      </w:r>
      <w:proofErr w:type="spellStart"/>
      <w:r>
        <w:rPr>
          <w:b/>
          <w:bCs/>
          <w:i/>
          <w:iCs/>
        </w:rPr>
        <w:t>Neurophysiological</w:t>
      </w:r>
      <w:proofErr w:type="spellEnd"/>
      <w:r>
        <w:rPr>
          <w:b/>
          <w:bCs/>
          <w:i/>
          <w:iCs/>
        </w:rPr>
        <w:t xml:space="preserve"> </w:t>
      </w:r>
      <w:proofErr w:type="spellStart"/>
      <w:r>
        <w:rPr>
          <w:b/>
          <w:bCs/>
          <w:i/>
          <w:iCs/>
        </w:rPr>
        <w:t>Foundations</w:t>
      </w:r>
      <w:proofErr w:type="spellEnd"/>
      <w:r>
        <w:rPr>
          <w:b/>
          <w:bCs/>
          <w:i/>
          <w:iCs/>
        </w:rPr>
        <w:t xml:space="preserve"> </w:t>
      </w:r>
      <w:proofErr w:type="spellStart"/>
      <w:r>
        <w:rPr>
          <w:b/>
          <w:bCs/>
          <w:i/>
          <w:iCs/>
        </w:rPr>
        <w:t>of</w:t>
      </w:r>
      <w:proofErr w:type="spellEnd"/>
      <w:r>
        <w:rPr>
          <w:b/>
          <w:bCs/>
          <w:i/>
          <w:iCs/>
        </w:rPr>
        <w:t xml:space="preserve"> </w:t>
      </w:r>
      <w:proofErr w:type="spellStart"/>
      <w:r>
        <w:rPr>
          <w:b/>
          <w:bCs/>
          <w:i/>
          <w:iCs/>
        </w:rPr>
        <w:t>Emotions</w:t>
      </w:r>
      <w:proofErr w:type="spellEnd"/>
      <w:r>
        <w:rPr>
          <w:b/>
          <w:bCs/>
          <w:i/>
          <w:iCs/>
        </w:rPr>
        <w:t xml:space="preserve">, </w:t>
      </w:r>
      <w:proofErr w:type="spellStart"/>
      <w:r>
        <w:rPr>
          <w:b/>
          <w:bCs/>
          <w:i/>
          <w:iCs/>
        </w:rPr>
        <w:t>Attachment</w:t>
      </w:r>
      <w:proofErr w:type="spellEnd"/>
      <w:r>
        <w:rPr>
          <w:b/>
          <w:bCs/>
          <w:i/>
          <w:iCs/>
        </w:rPr>
        <w:t xml:space="preserve">, Communication, </w:t>
      </w:r>
      <w:proofErr w:type="spellStart"/>
      <w:r>
        <w:rPr>
          <w:b/>
          <w:bCs/>
          <w:i/>
          <w:iCs/>
        </w:rPr>
        <w:t>and</w:t>
      </w:r>
      <w:proofErr w:type="spellEnd"/>
      <w:r>
        <w:rPr>
          <w:b/>
          <w:bCs/>
          <w:i/>
          <w:iCs/>
        </w:rPr>
        <w:t xml:space="preserve"> Self-</w:t>
      </w:r>
      <w:proofErr w:type="spellStart"/>
      <w:r>
        <w:rPr>
          <w:b/>
          <w:bCs/>
          <w:i/>
          <w:iCs/>
        </w:rPr>
        <w:t>regulation</w:t>
      </w:r>
      <w:proofErr w:type="spellEnd"/>
      <w:r>
        <w:rPr>
          <w:b/>
          <w:bCs/>
          <w:i/>
          <w:iCs/>
        </w:rPr>
        <w:t xml:space="preserve">. New York: W. W. Norton &amp; </w:t>
      </w:r>
      <w:proofErr w:type="spellStart"/>
      <w:r>
        <w:rPr>
          <w:b/>
          <w:bCs/>
          <w:i/>
          <w:iCs/>
        </w:rPr>
        <w:t>Company</w:t>
      </w:r>
      <w:proofErr w:type="spellEnd"/>
      <w:r>
        <w:rPr>
          <w:b/>
          <w:bCs/>
          <w:i/>
          <w:iCs/>
        </w:rPr>
        <w:t>, 2011.</w:t>
      </w:r>
      <w:r>
        <w:br/>
      </w:r>
      <w:r>
        <w:rPr>
          <w:b/>
          <w:bCs/>
        </w:rPr>
        <w:t>RESUMO:</w:t>
      </w:r>
      <w:r>
        <w:t xml:space="preserve"> Obra seminal onde o Dr. Porges detalha a evolução do sistema nervoso autônomo dos mamíferos. O autor utiliza uma metodologia de revisão </w:t>
      </w:r>
      <w:proofErr w:type="spellStart"/>
      <w:r>
        <w:t>neuroanatômica</w:t>
      </w:r>
      <w:proofErr w:type="spellEnd"/>
      <w:r>
        <w:t xml:space="preserve"> e evolutiva para propor a existência de três circuitos neurais que regulam nossa resposta ao ambiente. Os achados demonstram que o vago ventral é a chave para o engajamento social e a calma, enquanto o vago dorsal e o simpático são respostas de sobrevivência. A aplicação clínica foca no tratamento de traumas e distúrbios de ansiedade através da regulação autonômica. O livro contextualiza como a percepção de segurança (</w:t>
      </w:r>
      <w:proofErr w:type="spellStart"/>
      <w:r>
        <w:t>neuroception</w:t>
      </w:r>
      <w:proofErr w:type="spellEnd"/>
      <w:r>
        <w:t>) é o pré-requisito biológico para qualquer processo de cura.</w:t>
      </w:r>
      <w:r>
        <w:br/>
      </w:r>
      <w:r>
        <w:rPr>
          <w:b/>
          <w:bCs/>
        </w:rPr>
        <w:t>RELEVÂNCIA:</w:t>
      </w:r>
      <w:r>
        <w:t xml:space="preserve"> É a fonte primária para a Seção 3 desta apostila. A compreensão da hierarquia autonômica é essencial para profissionais que lidam com estresse crônico e saúde mental. Conecta a biologia da segurança com a eficácia de terapias integrativas e homeopáticas.</w:t>
      </w:r>
      <w:r>
        <w:br/>
      </w:r>
      <w:r>
        <w:rPr>
          <w:b/>
          <w:bCs/>
        </w:rPr>
        <w:t>LINK ATIVO:</w:t>
      </w:r>
      <w:r>
        <w:t xml:space="preserve"> [URL: https://www.wwnorton.com/books/9780393706369]</w:t>
      </w:r>
      <w:r>
        <w:br/>
      </w:r>
      <w:r>
        <w:rPr>
          <w:b/>
          <w:bCs/>
        </w:rPr>
        <w:t>ACESSO:</w:t>
      </w:r>
      <w:r>
        <w:t xml:space="preserve"> Pago</w:t>
      </w:r>
    </w:p>
    <w:p w14:paraId="2808CCFD" w14:textId="77777777" w:rsidR="007C3058" w:rsidRDefault="00000000">
      <w:pPr>
        <w:spacing w:before="60"/>
      </w:pPr>
      <w:r>
        <w:rPr>
          <w:b/>
          <w:bCs/>
          <w:i/>
          <w:iCs/>
        </w:rPr>
        <w:t xml:space="preserve">3. RUSSO, Ethan B. Clinical </w:t>
      </w:r>
      <w:proofErr w:type="spellStart"/>
      <w:r>
        <w:rPr>
          <w:b/>
          <w:bCs/>
          <w:i/>
          <w:iCs/>
        </w:rPr>
        <w:t>Endocannabinoid</w:t>
      </w:r>
      <w:proofErr w:type="spellEnd"/>
      <w:r>
        <w:rPr>
          <w:b/>
          <w:bCs/>
          <w:i/>
          <w:iCs/>
        </w:rPr>
        <w:t xml:space="preserve"> </w:t>
      </w:r>
      <w:proofErr w:type="spellStart"/>
      <w:r>
        <w:rPr>
          <w:b/>
          <w:bCs/>
          <w:i/>
          <w:iCs/>
        </w:rPr>
        <w:t>Deficiency</w:t>
      </w:r>
      <w:proofErr w:type="spellEnd"/>
      <w:r>
        <w:rPr>
          <w:b/>
          <w:bCs/>
          <w:i/>
          <w:iCs/>
        </w:rPr>
        <w:t xml:space="preserve"> </w:t>
      </w:r>
      <w:proofErr w:type="spellStart"/>
      <w:r>
        <w:rPr>
          <w:b/>
          <w:bCs/>
          <w:i/>
          <w:iCs/>
        </w:rPr>
        <w:t>Revisited</w:t>
      </w:r>
      <w:proofErr w:type="spellEnd"/>
      <w:r>
        <w:rPr>
          <w:b/>
          <w:bCs/>
          <w:i/>
          <w:iCs/>
        </w:rPr>
        <w:t xml:space="preserve">: </w:t>
      </w:r>
      <w:proofErr w:type="spellStart"/>
      <w:r>
        <w:rPr>
          <w:b/>
          <w:bCs/>
          <w:i/>
          <w:iCs/>
        </w:rPr>
        <w:t>Can</w:t>
      </w:r>
      <w:proofErr w:type="spellEnd"/>
      <w:r>
        <w:rPr>
          <w:b/>
          <w:bCs/>
          <w:i/>
          <w:iCs/>
        </w:rPr>
        <w:t xml:space="preserve"> </w:t>
      </w:r>
      <w:proofErr w:type="spellStart"/>
      <w:r>
        <w:rPr>
          <w:b/>
          <w:bCs/>
          <w:i/>
          <w:iCs/>
        </w:rPr>
        <w:t>This</w:t>
      </w:r>
      <w:proofErr w:type="spellEnd"/>
      <w:r>
        <w:rPr>
          <w:b/>
          <w:bCs/>
          <w:i/>
          <w:iCs/>
        </w:rPr>
        <w:t xml:space="preserve"> Concept </w:t>
      </w:r>
      <w:proofErr w:type="spellStart"/>
      <w:r>
        <w:rPr>
          <w:b/>
          <w:bCs/>
          <w:i/>
          <w:iCs/>
        </w:rPr>
        <w:t>Explain</w:t>
      </w:r>
      <w:proofErr w:type="spellEnd"/>
      <w:r>
        <w:rPr>
          <w:b/>
          <w:bCs/>
          <w:i/>
          <w:iCs/>
        </w:rPr>
        <w:t xml:space="preserve"> </w:t>
      </w:r>
      <w:proofErr w:type="spellStart"/>
      <w:r>
        <w:rPr>
          <w:b/>
          <w:bCs/>
          <w:i/>
          <w:iCs/>
        </w:rPr>
        <w:t>the</w:t>
      </w:r>
      <w:proofErr w:type="spellEnd"/>
      <w:r>
        <w:rPr>
          <w:b/>
          <w:bCs/>
          <w:i/>
          <w:iCs/>
        </w:rPr>
        <w:t xml:space="preserve"> </w:t>
      </w:r>
      <w:proofErr w:type="spellStart"/>
      <w:r>
        <w:rPr>
          <w:b/>
          <w:bCs/>
          <w:i/>
          <w:iCs/>
        </w:rPr>
        <w:t>Therapeutic</w:t>
      </w:r>
      <w:proofErr w:type="spellEnd"/>
      <w:r>
        <w:rPr>
          <w:b/>
          <w:bCs/>
          <w:i/>
          <w:iCs/>
        </w:rPr>
        <w:t xml:space="preserve"> </w:t>
      </w:r>
      <w:proofErr w:type="spellStart"/>
      <w:r>
        <w:rPr>
          <w:b/>
          <w:bCs/>
          <w:i/>
          <w:iCs/>
        </w:rPr>
        <w:t>Effects</w:t>
      </w:r>
      <w:proofErr w:type="spellEnd"/>
      <w:r>
        <w:rPr>
          <w:b/>
          <w:bCs/>
          <w:i/>
          <w:iCs/>
        </w:rPr>
        <w:t xml:space="preserve"> </w:t>
      </w:r>
      <w:proofErr w:type="spellStart"/>
      <w:r>
        <w:rPr>
          <w:b/>
          <w:bCs/>
          <w:i/>
          <w:iCs/>
        </w:rPr>
        <w:t>of</w:t>
      </w:r>
      <w:proofErr w:type="spellEnd"/>
      <w:r>
        <w:rPr>
          <w:b/>
          <w:bCs/>
          <w:i/>
          <w:iCs/>
        </w:rPr>
        <w:t xml:space="preserve"> Cannabis in </w:t>
      </w:r>
      <w:proofErr w:type="spellStart"/>
      <w:r>
        <w:rPr>
          <w:b/>
          <w:bCs/>
          <w:i/>
          <w:iCs/>
        </w:rPr>
        <w:t>Fibromyalgia</w:t>
      </w:r>
      <w:proofErr w:type="spellEnd"/>
      <w:r>
        <w:rPr>
          <w:b/>
          <w:bCs/>
          <w:i/>
          <w:iCs/>
        </w:rPr>
        <w:t xml:space="preserve">, </w:t>
      </w:r>
      <w:proofErr w:type="spellStart"/>
      <w:r>
        <w:rPr>
          <w:b/>
          <w:bCs/>
          <w:i/>
          <w:iCs/>
        </w:rPr>
        <w:t>Migraine</w:t>
      </w:r>
      <w:proofErr w:type="spellEnd"/>
      <w:r>
        <w:rPr>
          <w:b/>
          <w:bCs/>
          <w:i/>
          <w:iCs/>
        </w:rPr>
        <w:t xml:space="preserve">, </w:t>
      </w:r>
      <w:proofErr w:type="spellStart"/>
      <w:r>
        <w:rPr>
          <w:b/>
          <w:bCs/>
          <w:i/>
          <w:iCs/>
        </w:rPr>
        <w:t>Irritable</w:t>
      </w:r>
      <w:proofErr w:type="spellEnd"/>
      <w:r>
        <w:rPr>
          <w:b/>
          <w:bCs/>
          <w:i/>
          <w:iCs/>
        </w:rPr>
        <w:t xml:space="preserve"> </w:t>
      </w:r>
      <w:proofErr w:type="spellStart"/>
      <w:r>
        <w:rPr>
          <w:b/>
          <w:bCs/>
          <w:i/>
          <w:iCs/>
        </w:rPr>
        <w:t>Bowel</w:t>
      </w:r>
      <w:proofErr w:type="spellEnd"/>
      <w:r>
        <w:rPr>
          <w:b/>
          <w:bCs/>
          <w:i/>
          <w:iCs/>
        </w:rPr>
        <w:t xml:space="preserve">, </w:t>
      </w:r>
      <w:proofErr w:type="spellStart"/>
      <w:r>
        <w:rPr>
          <w:b/>
          <w:bCs/>
          <w:i/>
          <w:iCs/>
        </w:rPr>
        <w:t>and</w:t>
      </w:r>
      <w:proofErr w:type="spellEnd"/>
      <w:r>
        <w:rPr>
          <w:b/>
          <w:bCs/>
          <w:i/>
          <w:iCs/>
        </w:rPr>
        <w:t xml:space="preserve"> Other </w:t>
      </w:r>
      <w:proofErr w:type="spellStart"/>
      <w:r>
        <w:rPr>
          <w:b/>
          <w:bCs/>
          <w:i/>
          <w:iCs/>
        </w:rPr>
        <w:t>Treatment-Resistant</w:t>
      </w:r>
      <w:proofErr w:type="spellEnd"/>
      <w:r>
        <w:rPr>
          <w:b/>
          <w:bCs/>
          <w:i/>
          <w:iCs/>
        </w:rPr>
        <w:t xml:space="preserve"> </w:t>
      </w:r>
      <w:proofErr w:type="spellStart"/>
      <w:r>
        <w:rPr>
          <w:b/>
          <w:bCs/>
          <w:i/>
          <w:iCs/>
        </w:rPr>
        <w:t>Conditions</w:t>
      </w:r>
      <w:proofErr w:type="spellEnd"/>
      <w:r>
        <w:rPr>
          <w:b/>
          <w:bCs/>
          <w:i/>
          <w:iCs/>
        </w:rPr>
        <w:t xml:space="preserve">? Cannabis </w:t>
      </w:r>
      <w:proofErr w:type="spellStart"/>
      <w:r>
        <w:rPr>
          <w:b/>
          <w:bCs/>
          <w:i/>
          <w:iCs/>
        </w:rPr>
        <w:t>and</w:t>
      </w:r>
      <w:proofErr w:type="spellEnd"/>
      <w:r>
        <w:rPr>
          <w:b/>
          <w:bCs/>
          <w:i/>
          <w:iCs/>
        </w:rPr>
        <w:t xml:space="preserve"> </w:t>
      </w:r>
      <w:proofErr w:type="spellStart"/>
      <w:r>
        <w:rPr>
          <w:b/>
          <w:bCs/>
          <w:i/>
          <w:iCs/>
        </w:rPr>
        <w:t>Cannabinoid</w:t>
      </w:r>
      <w:proofErr w:type="spellEnd"/>
      <w:r>
        <w:rPr>
          <w:b/>
          <w:bCs/>
          <w:i/>
          <w:iCs/>
        </w:rPr>
        <w:t xml:space="preserve"> </w:t>
      </w:r>
      <w:proofErr w:type="spellStart"/>
      <w:r>
        <w:rPr>
          <w:b/>
          <w:bCs/>
          <w:i/>
          <w:iCs/>
        </w:rPr>
        <w:t>Research</w:t>
      </w:r>
      <w:proofErr w:type="spellEnd"/>
      <w:r>
        <w:rPr>
          <w:b/>
          <w:bCs/>
          <w:i/>
          <w:iCs/>
        </w:rPr>
        <w:t>, v. 1, n. 1, p. 154-165, 2016.</w:t>
      </w:r>
      <w:r>
        <w:br/>
      </w:r>
      <w:r>
        <w:rPr>
          <w:b/>
          <w:bCs/>
        </w:rPr>
        <w:t>RESUMO:</w:t>
      </w:r>
      <w:r>
        <w:t xml:space="preserve"> O Dr. Russo revisita sua hipótese de 2004 sobre a Deficiência Clínica de Endocanabinoides (</w:t>
      </w:r>
      <w:proofErr w:type="spellStart"/>
      <w:r>
        <w:t>CECD</w:t>
      </w:r>
      <w:proofErr w:type="spellEnd"/>
      <w:r>
        <w:t>). Através de uma revisão exaustiva de literatura e estudos de caso, ele propõe que certas patologias resistentes ao tratamento convencional compartilham uma raiz comum: o baixo tônus de endocanabinoides. Os achados sugerem que a modulação do SEC via fitocanabinoides e mudanças no estilo de vida pode restaurar a homeostase. A metodologia foca na correlação entre níveis de anandamida/2-AG e sintomas clínicos. O contexto clínico abre portas para o uso medicinal da cannabis de forma fundamentada e segura.</w:t>
      </w:r>
      <w:r>
        <w:br/>
      </w:r>
      <w:r>
        <w:rPr>
          <w:b/>
          <w:bCs/>
        </w:rPr>
        <w:t>RELEVÂNCIA:</w:t>
      </w:r>
      <w:r>
        <w:t xml:space="preserve"> Fundamental para a Seção 2. Explica cientificamente por que condições aparentemente distintas (enxaqueca e </w:t>
      </w:r>
      <w:proofErr w:type="spellStart"/>
      <w:r>
        <w:t>SII</w:t>
      </w:r>
      <w:proofErr w:type="spellEnd"/>
      <w:r>
        <w:t xml:space="preserve">) podem ter a mesma origem fisiológica. </w:t>
      </w:r>
      <w:proofErr w:type="spellStart"/>
      <w:r>
        <w:t>Valida</w:t>
      </w:r>
      <w:proofErr w:type="spellEnd"/>
      <w:r>
        <w:t xml:space="preserve"> a abordagem integrativa de tratar o sistema e não apenas o órgão afetado.</w:t>
      </w:r>
      <w:r>
        <w:br/>
      </w:r>
      <w:r>
        <w:rPr>
          <w:b/>
          <w:bCs/>
        </w:rPr>
        <w:t>LINK ATIVO:</w:t>
      </w:r>
      <w:r>
        <w:t xml:space="preserve"> [DOI: https://doi.org/10.1186/s42238-016-0007-z]</w:t>
      </w:r>
      <w:r>
        <w:br/>
      </w:r>
      <w:r>
        <w:rPr>
          <w:b/>
          <w:bCs/>
        </w:rPr>
        <w:t>ACESSO:</w:t>
      </w:r>
      <w:r>
        <w:t xml:space="preserve"> Open Access</w:t>
      </w:r>
    </w:p>
    <w:p w14:paraId="74ACD39C" w14:textId="77777777" w:rsidR="007C3058" w:rsidRDefault="00000000">
      <w:pPr>
        <w:spacing w:before="60"/>
      </w:pPr>
      <w:r>
        <w:rPr>
          <w:b/>
          <w:bCs/>
          <w:i/>
          <w:iCs/>
        </w:rPr>
        <w:t xml:space="preserve">4. KATZ, David L. Lifestyle Medicine: A </w:t>
      </w:r>
      <w:proofErr w:type="spellStart"/>
      <w:r>
        <w:rPr>
          <w:b/>
          <w:bCs/>
          <w:i/>
          <w:iCs/>
        </w:rPr>
        <w:t>Brief</w:t>
      </w:r>
      <w:proofErr w:type="spellEnd"/>
      <w:r>
        <w:rPr>
          <w:b/>
          <w:bCs/>
          <w:i/>
          <w:iCs/>
        </w:rPr>
        <w:t xml:space="preserve"> Review </w:t>
      </w:r>
      <w:proofErr w:type="spellStart"/>
      <w:r>
        <w:rPr>
          <w:b/>
          <w:bCs/>
          <w:i/>
          <w:iCs/>
        </w:rPr>
        <w:t>of</w:t>
      </w:r>
      <w:proofErr w:type="spellEnd"/>
      <w:r>
        <w:rPr>
          <w:b/>
          <w:bCs/>
          <w:i/>
          <w:iCs/>
        </w:rPr>
        <w:t xml:space="preserve"> Its </w:t>
      </w:r>
      <w:proofErr w:type="spellStart"/>
      <w:r>
        <w:rPr>
          <w:b/>
          <w:bCs/>
          <w:i/>
          <w:iCs/>
        </w:rPr>
        <w:t>Evidence</w:t>
      </w:r>
      <w:proofErr w:type="spellEnd"/>
      <w:r>
        <w:rPr>
          <w:b/>
          <w:bCs/>
          <w:i/>
          <w:iCs/>
        </w:rPr>
        <w:t xml:space="preserve"> Base. New York: Springer, 2019.</w:t>
      </w:r>
      <w:r>
        <w:br/>
      </w:r>
      <w:r>
        <w:rPr>
          <w:b/>
          <w:bCs/>
        </w:rPr>
        <w:t>RESUMO:</w:t>
      </w:r>
      <w:r>
        <w:t xml:space="preserve"> O Dr. Katz, um dos líderes mundiais em MEV, apresenta uma revisão </w:t>
      </w:r>
      <w:proofErr w:type="gramStart"/>
      <w:r>
        <w:t>concisa</w:t>
      </w:r>
      <w:proofErr w:type="gramEnd"/>
      <w:r>
        <w:t xml:space="preserve"> mas poderosa das evidências que sustentam os pilares do estilo de vida. A metodologia envolve a análise de grandes estudos de coorte e ensaios clínicos randomizados. Os achados principais confirmam que até 80% das doenças crônicas não transmissíveis podem ser prevenidas ou revertidas através de dieta, exercício e controle do estresse. O autor discute a aplicação clínica da MEV como a "primeira linha" de tratamento, não apenas um complemento. O contexto reforça a necessidade de uma mudança cultural na prática médica.</w:t>
      </w:r>
      <w:r>
        <w:br/>
      </w:r>
      <w:r>
        <w:rPr>
          <w:b/>
          <w:bCs/>
        </w:rPr>
        <w:t>RELEVÂNCIA:</w:t>
      </w:r>
      <w:r>
        <w:t xml:space="preserve"> Fonte principal para a Seção 5. Oferece o rigor científico necessário para sustentar as recomendações de nutrição e movimento consciente. É a prova de que o estilo de vida é, de fato, a farmacopeia mais eficiente do ser humano.</w:t>
      </w:r>
      <w:r>
        <w:br/>
      </w:r>
      <w:r>
        <w:rPr>
          <w:b/>
          <w:bCs/>
        </w:rPr>
        <w:t>LINK ATIVO:</w:t>
      </w:r>
      <w:r>
        <w:t xml:space="preserve"> [URL: https://www.springer.com/gp/book/9783030042691]</w:t>
      </w:r>
      <w:r>
        <w:br/>
      </w:r>
      <w:r>
        <w:rPr>
          <w:b/>
          <w:bCs/>
        </w:rPr>
        <w:t>ACESSO:</w:t>
      </w:r>
      <w:r>
        <w:t xml:space="preserve"> Pago</w:t>
      </w:r>
    </w:p>
    <w:p w14:paraId="253EEF60" w14:textId="77777777" w:rsidR="007C3058" w:rsidRDefault="00000000">
      <w:pPr>
        <w:spacing w:before="60"/>
      </w:pPr>
      <w:r>
        <w:rPr>
          <w:b/>
          <w:bCs/>
          <w:i/>
          <w:iCs/>
        </w:rPr>
        <w:t xml:space="preserve">5. LIPTON, Bruce H. The </w:t>
      </w:r>
      <w:proofErr w:type="spellStart"/>
      <w:r>
        <w:rPr>
          <w:b/>
          <w:bCs/>
          <w:i/>
          <w:iCs/>
        </w:rPr>
        <w:t>Biology</w:t>
      </w:r>
      <w:proofErr w:type="spellEnd"/>
      <w:r>
        <w:rPr>
          <w:b/>
          <w:bCs/>
          <w:i/>
          <w:iCs/>
        </w:rPr>
        <w:t xml:space="preserve"> </w:t>
      </w:r>
      <w:proofErr w:type="spellStart"/>
      <w:r>
        <w:rPr>
          <w:b/>
          <w:bCs/>
          <w:i/>
          <w:iCs/>
        </w:rPr>
        <w:t>of</w:t>
      </w:r>
      <w:proofErr w:type="spellEnd"/>
      <w:r>
        <w:rPr>
          <w:b/>
          <w:bCs/>
          <w:i/>
          <w:iCs/>
        </w:rPr>
        <w:t xml:space="preserve"> </w:t>
      </w:r>
      <w:proofErr w:type="spellStart"/>
      <w:r>
        <w:rPr>
          <w:b/>
          <w:bCs/>
          <w:i/>
          <w:iCs/>
        </w:rPr>
        <w:t>Belief</w:t>
      </w:r>
      <w:proofErr w:type="spellEnd"/>
      <w:r>
        <w:rPr>
          <w:b/>
          <w:bCs/>
          <w:i/>
          <w:iCs/>
        </w:rPr>
        <w:t xml:space="preserve">: </w:t>
      </w:r>
      <w:proofErr w:type="spellStart"/>
      <w:r>
        <w:rPr>
          <w:b/>
          <w:bCs/>
          <w:i/>
          <w:iCs/>
        </w:rPr>
        <w:t>Unleashing</w:t>
      </w:r>
      <w:proofErr w:type="spellEnd"/>
      <w:r>
        <w:rPr>
          <w:b/>
          <w:bCs/>
          <w:i/>
          <w:iCs/>
        </w:rPr>
        <w:t xml:space="preserve"> </w:t>
      </w:r>
      <w:proofErr w:type="spellStart"/>
      <w:r>
        <w:rPr>
          <w:b/>
          <w:bCs/>
          <w:i/>
          <w:iCs/>
        </w:rPr>
        <w:t>the</w:t>
      </w:r>
      <w:proofErr w:type="spellEnd"/>
      <w:r>
        <w:rPr>
          <w:b/>
          <w:bCs/>
          <w:i/>
          <w:iCs/>
        </w:rPr>
        <w:t xml:space="preserve"> Power </w:t>
      </w:r>
      <w:proofErr w:type="spellStart"/>
      <w:r>
        <w:rPr>
          <w:b/>
          <w:bCs/>
          <w:i/>
          <w:iCs/>
        </w:rPr>
        <w:t>of</w:t>
      </w:r>
      <w:proofErr w:type="spellEnd"/>
      <w:r>
        <w:rPr>
          <w:b/>
          <w:bCs/>
          <w:i/>
          <w:iCs/>
        </w:rPr>
        <w:t xml:space="preserve"> </w:t>
      </w:r>
      <w:proofErr w:type="spellStart"/>
      <w:r>
        <w:rPr>
          <w:b/>
          <w:bCs/>
          <w:i/>
          <w:iCs/>
        </w:rPr>
        <w:t>Consciousness</w:t>
      </w:r>
      <w:proofErr w:type="spellEnd"/>
      <w:r>
        <w:rPr>
          <w:b/>
          <w:bCs/>
          <w:i/>
          <w:iCs/>
        </w:rPr>
        <w:t xml:space="preserve">, Matter &amp; </w:t>
      </w:r>
      <w:proofErr w:type="spellStart"/>
      <w:r>
        <w:rPr>
          <w:b/>
          <w:bCs/>
          <w:i/>
          <w:iCs/>
        </w:rPr>
        <w:t>Miracles</w:t>
      </w:r>
      <w:proofErr w:type="spellEnd"/>
      <w:r>
        <w:rPr>
          <w:b/>
          <w:bCs/>
          <w:i/>
          <w:iCs/>
        </w:rPr>
        <w:t xml:space="preserve">. </w:t>
      </w:r>
      <w:proofErr w:type="spellStart"/>
      <w:r>
        <w:rPr>
          <w:b/>
          <w:bCs/>
          <w:i/>
          <w:iCs/>
        </w:rPr>
        <w:t>Carlsbad</w:t>
      </w:r>
      <w:proofErr w:type="spellEnd"/>
      <w:r>
        <w:rPr>
          <w:b/>
          <w:bCs/>
          <w:i/>
          <w:iCs/>
        </w:rPr>
        <w:t xml:space="preserve">: Hay </w:t>
      </w:r>
      <w:proofErr w:type="spellStart"/>
      <w:r>
        <w:rPr>
          <w:b/>
          <w:bCs/>
          <w:i/>
          <w:iCs/>
        </w:rPr>
        <w:t>House</w:t>
      </w:r>
      <w:proofErr w:type="spellEnd"/>
      <w:r>
        <w:rPr>
          <w:b/>
          <w:bCs/>
          <w:i/>
          <w:iCs/>
        </w:rPr>
        <w:t>, 2005.</w:t>
      </w:r>
      <w:r>
        <w:br/>
      </w:r>
      <w:r>
        <w:rPr>
          <w:b/>
          <w:bCs/>
        </w:rPr>
        <w:t>RESUMO:</w:t>
      </w:r>
      <w:r>
        <w:t xml:space="preserve"> Bruce Lipton, biólogo celular, explora como o ambiente e as percepções (crenças) controlam a expressão gênica, um campo conhecido como epigenética. Através de sua pesquisa com células-tronco, ele demonstra que a membrana celular, e não o núcleo, é o verdadeiro "cérebro" da célula, respondendo a sinais químicos do sangue influenciados por nossos pensamentos. Os achados desafiam o determinismo genético, sugerindo que temos controle sobre nossa biologia. A aplicação foca na cura através da mudança de percepção e redução do estresse. O contexto une ciência de ponta com espiritualidade e consciência.</w:t>
      </w:r>
      <w:r>
        <w:br/>
      </w:r>
      <w:r>
        <w:rPr>
          <w:b/>
          <w:bCs/>
        </w:rPr>
        <w:t>RELEVÂNCIA:</w:t>
      </w:r>
      <w:r>
        <w:t xml:space="preserve"> Essencial para a compreensão da soberania biológica e linguagem parental. Explica como o estado emocional da mãe altera a química sanguínea que banha o feto, moldando sua herança epigenética. Conecta-se diretamente à Seção 6 e ao Caso Clínico 3.</w:t>
      </w:r>
      <w:r>
        <w:br/>
      </w:r>
      <w:r>
        <w:rPr>
          <w:b/>
          <w:bCs/>
        </w:rPr>
        <w:t>LINK ATIVO:</w:t>
      </w:r>
      <w:r>
        <w:t xml:space="preserve"> [URL: https://www.brucelipton.com/biology-of-belief]</w:t>
      </w:r>
      <w:r>
        <w:br/>
      </w:r>
      <w:r>
        <w:rPr>
          <w:b/>
          <w:bCs/>
        </w:rPr>
        <w:t>ACESSO:</w:t>
      </w:r>
      <w:r>
        <w:t xml:space="preserve"> Pago</w:t>
      </w:r>
    </w:p>
    <w:p w14:paraId="7A71F855" w14:textId="77777777" w:rsidR="007C3058" w:rsidRDefault="00000000">
      <w:pPr>
        <w:spacing w:before="60"/>
      </w:pPr>
      <w:r>
        <w:rPr>
          <w:b/>
          <w:bCs/>
          <w:i/>
          <w:iCs/>
        </w:rPr>
        <w:t xml:space="preserve">6. </w:t>
      </w:r>
      <w:proofErr w:type="spellStart"/>
      <w:r>
        <w:rPr>
          <w:b/>
          <w:bCs/>
          <w:i/>
          <w:iCs/>
        </w:rPr>
        <w:t>SZALAVITZ</w:t>
      </w:r>
      <w:proofErr w:type="spellEnd"/>
      <w:r>
        <w:rPr>
          <w:b/>
          <w:bCs/>
          <w:i/>
          <w:iCs/>
        </w:rPr>
        <w:t xml:space="preserve">, Maia. </w:t>
      </w:r>
      <w:proofErr w:type="spellStart"/>
      <w:r>
        <w:rPr>
          <w:b/>
          <w:bCs/>
          <w:i/>
          <w:iCs/>
        </w:rPr>
        <w:t>Unbroken</w:t>
      </w:r>
      <w:proofErr w:type="spellEnd"/>
      <w:r>
        <w:rPr>
          <w:b/>
          <w:bCs/>
          <w:i/>
          <w:iCs/>
        </w:rPr>
        <w:t xml:space="preserve"> </w:t>
      </w:r>
      <w:proofErr w:type="spellStart"/>
      <w:r>
        <w:rPr>
          <w:b/>
          <w:bCs/>
          <w:i/>
          <w:iCs/>
        </w:rPr>
        <w:t>Brain</w:t>
      </w:r>
      <w:proofErr w:type="spellEnd"/>
      <w:r>
        <w:rPr>
          <w:b/>
          <w:bCs/>
          <w:i/>
          <w:iCs/>
        </w:rPr>
        <w:t xml:space="preserve">: A </w:t>
      </w:r>
      <w:proofErr w:type="spellStart"/>
      <w:r>
        <w:rPr>
          <w:b/>
          <w:bCs/>
          <w:i/>
          <w:iCs/>
        </w:rPr>
        <w:t>Revolutionary</w:t>
      </w:r>
      <w:proofErr w:type="spellEnd"/>
      <w:r>
        <w:rPr>
          <w:b/>
          <w:bCs/>
          <w:i/>
          <w:iCs/>
        </w:rPr>
        <w:t xml:space="preserve"> New Way </w:t>
      </w:r>
      <w:proofErr w:type="spellStart"/>
      <w:r>
        <w:rPr>
          <w:b/>
          <w:bCs/>
          <w:i/>
          <w:iCs/>
        </w:rPr>
        <w:t>of</w:t>
      </w:r>
      <w:proofErr w:type="spellEnd"/>
      <w:r>
        <w:rPr>
          <w:b/>
          <w:bCs/>
          <w:i/>
          <w:iCs/>
        </w:rPr>
        <w:t xml:space="preserve"> </w:t>
      </w:r>
      <w:proofErr w:type="spellStart"/>
      <w:r>
        <w:rPr>
          <w:b/>
          <w:bCs/>
          <w:i/>
          <w:iCs/>
        </w:rPr>
        <w:t>Understanding</w:t>
      </w:r>
      <w:proofErr w:type="spellEnd"/>
      <w:r>
        <w:rPr>
          <w:b/>
          <w:bCs/>
          <w:i/>
          <w:iCs/>
        </w:rPr>
        <w:t xml:space="preserve"> </w:t>
      </w:r>
      <w:proofErr w:type="spellStart"/>
      <w:r>
        <w:rPr>
          <w:b/>
          <w:bCs/>
          <w:i/>
          <w:iCs/>
        </w:rPr>
        <w:t>Addiction</w:t>
      </w:r>
      <w:proofErr w:type="spellEnd"/>
      <w:r>
        <w:rPr>
          <w:b/>
          <w:bCs/>
          <w:i/>
          <w:iCs/>
        </w:rPr>
        <w:t xml:space="preserve">. New York: St. </w:t>
      </w:r>
      <w:proofErr w:type="spellStart"/>
      <w:r>
        <w:rPr>
          <w:b/>
          <w:bCs/>
          <w:i/>
          <w:iCs/>
        </w:rPr>
        <w:t>Martin's</w:t>
      </w:r>
      <w:proofErr w:type="spellEnd"/>
      <w:r>
        <w:rPr>
          <w:b/>
          <w:bCs/>
          <w:i/>
          <w:iCs/>
        </w:rPr>
        <w:t xml:space="preserve"> Press, 2016.</w:t>
      </w:r>
      <w:r>
        <w:br/>
      </w:r>
      <w:r>
        <w:rPr>
          <w:b/>
          <w:bCs/>
        </w:rPr>
        <w:t>RESUMO:</w:t>
      </w:r>
      <w:r>
        <w:t xml:space="preserve"> </w:t>
      </w:r>
      <w:proofErr w:type="spellStart"/>
      <w:r>
        <w:t>Szalavitz</w:t>
      </w:r>
      <w:proofErr w:type="spellEnd"/>
      <w:r>
        <w:t xml:space="preserve"> propõe que o vício não é uma doença progressiva ou uma falha moral, mas um distúrbio de aprendizagem e desenvolvimento. Utilizando neurociência e sua própria experiência, ela demonstra como o cérebro busca segurança e alívio através de substâncias quando o sistema de recompensa e o SEC estão desregulados. Os achados enfatizam a importância do contexto social e do trauma na gênese do vício. A metodologia critica o modelo de punição e defende a redução de danos e a conexão humana. O contexto é vital para entender a busca por substâncias como uma tentativa de autorregulação.</w:t>
      </w:r>
      <w:r>
        <w:br/>
      </w:r>
      <w:r>
        <w:rPr>
          <w:b/>
          <w:bCs/>
        </w:rPr>
        <w:t>RELEVÂNCIA:</w:t>
      </w:r>
      <w:r>
        <w:t xml:space="preserve"> Oferece uma visão compassiva e neurocientífica sobre a desregulação do SEC e do sistema vagal. Ajuda profissionais e mães a entenderem comportamentos de risco como sinais de um sistema nervoso em sofrimento, reforçando a necessidade de restauração vagal.</w:t>
      </w:r>
      <w:r>
        <w:br/>
      </w:r>
      <w:r>
        <w:rPr>
          <w:b/>
          <w:bCs/>
        </w:rPr>
        <w:t>LINK ATIVO:</w:t>
      </w:r>
      <w:r>
        <w:t xml:space="preserve"> [URL: https://www.penguinrandomhouse.com/books/244128/]</w:t>
      </w:r>
      <w:r>
        <w:br/>
      </w:r>
      <w:r>
        <w:rPr>
          <w:b/>
          <w:bCs/>
        </w:rPr>
        <w:t>ACESSO:</w:t>
      </w:r>
      <w:r>
        <w:t xml:space="preserve"> Pago</w:t>
      </w:r>
    </w:p>
    <w:p w14:paraId="0150D982" w14:textId="77777777" w:rsidR="007C3058" w:rsidRDefault="00000000">
      <w:pPr>
        <w:spacing w:before="60"/>
      </w:pPr>
      <w:r>
        <w:rPr>
          <w:b/>
          <w:bCs/>
          <w:i/>
          <w:iCs/>
        </w:rPr>
        <w:t xml:space="preserve">7. VAN DER </w:t>
      </w:r>
      <w:proofErr w:type="spellStart"/>
      <w:r>
        <w:rPr>
          <w:b/>
          <w:bCs/>
          <w:i/>
          <w:iCs/>
        </w:rPr>
        <w:t>KOLK</w:t>
      </w:r>
      <w:proofErr w:type="spellEnd"/>
      <w:r>
        <w:rPr>
          <w:b/>
          <w:bCs/>
          <w:i/>
          <w:iCs/>
        </w:rPr>
        <w:t xml:space="preserve">, Bessel. The Body </w:t>
      </w:r>
      <w:proofErr w:type="spellStart"/>
      <w:r>
        <w:rPr>
          <w:b/>
          <w:bCs/>
          <w:i/>
          <w:iCs/>
        </w:rPr>
        <w:t>Keeps</w:t>
      </w:r>
      <w:proofErr w:type="spellEnd"/>
      <w:r>
        <w:rPr>
          <w:b/>
          <w:bCs/>
          <w:i/>
          <w:iCs/>
        </w:rPr>
        <w:t xml:space="preserve"> </w:t>
      </w:r>
      <w:proofErr w:type="spellStart"/>
      <w:r>
        <w:rPr>
          <w:b/>
          <w:bCs/>
          <w:i/>
          <w:iCs/>
        </w:rPr>
        <w:t>the</w:t>
      </w:r>
      <w:proofErr w:type="spellEnd"/>
      <w:r>
        <w:rPr>
          <w:b/>
          <w:bCs/>
          <w:i/>
          <w:iCs/>
        </w:rPr>
        <w:t xml:space="preserve"> Score: </w:t>
      </w:r>
      <w:proofErr w:type="spellStart"/>
      <w:r>
        <w:rPr>
          <w:b/>
          <w:bCs/>
          <w:i/>
          <w:iCs/>
        </w:rPr>
        <w:t>Brain</w:t>
      </w:r>
      <w:proofErr w:type="spellEnd"/>
      <w:r>
        <w:rPr>
          <w:b/>
          <w:bCs/>
          <w:i/>
          <w:iCs/>
        </w:rPr>
        <w:t xml:space="preserve">, Mind, </w:t>
      </w:r>
      <w:proofErr w:type="spellStart"/>
      <w:r>
        <w:rPr>
          <w:b/>
          <w:bCs/>
          <w:i/>
          <w:iCs/>
        </w:rPr>
        <w:t>and</w:t>
      </w:r>
      <w:proofErr w:type="spellEnd"/>
      <w:r>
        <w:rPr>
          <w:b/>
          <w:bCs/>
          <w:i/>
          <w:iCs/>
        </w:rPr>
        <w:t xml:space="preserve"> Body in </w:t>
      </w:r>
      <w:proofErr w:type="spellStart"/>
      <w:r>
        <w:rPr>
          <w:b/>
          <w:bCs/>
          <w:i/>
          <w:iCs/>
        </w:rPr>
        <w:t>the</w:t>
      </w:r>
      <w:proofErr w:type="spellEnd"/>
      <w:r>
        <w:rPr>
          <w:b/>
          <w:bCs/>
          <w:i/>
          <w:iCs/>
        </w:rPr>
        <w:t xml:space="preserve"> </w:t>
      </w:r>
      <w:proofErr w:type="spellStart"/>
      <w:r>
        <w:rPr>
          <w:b/>
          <w:bCs/>
          <w:i/>
          <w:iCs/>
        </w:rPr>
        <w:t>Healing</w:t>
      </w:r>
      <w:proofErr w:type="spellEnd"/>
      <w:r>
        <w:rPr>
          <w:b/>
          <w:bCs/>
          <w:i/>
          <w:iCs/>
        </w:rPr>
        <w:t xml:space="preserve"> </w:t>
      </w:r>
      <w:proofErr w:type="spellStart"/>
      <w:r>
        <w:rPr>
          <w:b/>
          <w:bCs/>
          <w:i/>
          <w:iCs/>
        </w:rPr>
        <w:t>of</w:t>
      </w:r>
      <w:proofErr w:type="spellEnd"/>
      <w:r>
        <w:rPr>
          <w:b/>
          <w:bCs/>
          <w:i/>
          <w:iCs/>
        </w:rPr>
        <w:t xml:space="preserve"> Trauma. New York: Viking, 2014.</w:t>
      </w:r>
      <w:r>
        <w:br/>
      </w:r>
      <w:r>
        <w:rPr>
          <w:b/>
          <w:bCs/>
        </w:rPr>
        <w:t>RESUMO:</w:t>
      </w:r>
      <w:r>
        <w:t xml:space="preserve"> O Dr. Van der </w:t>
      </w:r>
      <w:proofErr w:type="spellStart"/>
      <w:r>
        <w:t>Kolk</w:t>
      </w:r>
      <w:proofErr w:type="spellEnd"/>
      <w:r>
        <w:t xml:space="preserve"> detalha como o trauma altera fisicamente o cérebro e o corpo, comprometendo a capacidade de autorregulação. Através de décadas de pesquisa clínica e neuroimagem, ele mostra que o trauma não é apenas um evento no passado, mas uma marca no presente que se manifesta em doenças físicas e emocionais. Os achados validam terapias corporais, yoga e </w:t>
      </w:r>
      <w:proofErr w:type="spellStart"/>
      <w:r>
        <w:t>neurofeedback</w:t>
      </w:r>
      <w:proofErr w:type="spellEnd"/>
      <w:r>
        <w:t xml:space="preserve"> como caminhos para a cura. A metodologia integra psiquiatria, neurociência e práticas somáticas. O contexto é fundamental para qualquer abordagem integrativa que busque tratar a raiz do sofrimento humano.</w:t>
      </w:r>
      <w:r>
        <w:br/>
      </w:r>
      <w:r>
        <w:rPr>
          <w:b/>
          <w:bCs/>
        </w:rPr>
        <w:t>RELEVÂNCIA:</w:t>
      </w:r>
      <w:r>
        <w:t xml:space="preserve"> Crucial para a Seção 3 (Polivagal) e Seção 7 (Casos Clínicos). Explica por que o corpo "guarda a conta" e como a restauração da segurança biológica é o único caminho para a recuperação de doenças crônicas ligadas ao estresse.</w:t>
      </w:r>
      <w:r>
        <w:br/>
      </w:r>
      <w:r>
        <w:rPr>
          <w:b/>
          <w:bCs/>
        </w:rPr>
        <w:t>LINK ATIVO:</w:t>
      </w:r>
      <w:r>
        <w:t xml:space="preserve"> [URL: https://www.besselvanderkolk.com/]</w:t>
      </w:r>
      <w:r>
        <w:br/>
      </w:r>
      <w:r>
        <w:rPr>
          <w:b/>
          <w:bCs/>
        </w:rPr>
        <w:t>ACESSO:</w:t>
      </w:r>
      <w:r>
        <w:t xml:space="preserve"> Pago</w:t>
      </w:r>
    </w:p>
    <w:p w14:paraId="15B4F0D3" w14:textId="77777777" w:rsidR="007C3058" w:rsidRDefault="00000000">
      <w:pPr>
        <w:spacing w:before="60"/>
      </w:pPr>
      <w:r>
        <w:rPr>
          <w:b/>
          <w:bCs/>
          <w:i/>
          <w:iCs/>
        </w:rPr>
        <w:t xml:space="preserve">8. WALKER, Matthew. </w:t>
      </w:r>
      <w:proofErr w:type="spellStart"/>
      <w:r>
        <w:rPr>
          <w:b/>
          <w:bCs/>
          <w:i/>
          <w:iCs/>
        </w:rPr>
        <w:t>Why</w:t>
      </w:r>
      <w:proofErr w:type="spellEnd"/>
      <w:r>
        <w:rPr>
          <w:b/>
          <w:bCs/>
          <w:i/>
          <w:iCs/>
        </w:rPr>
        <w:t xml:space="preserve"> </w:t>
      </w:r>
      <w:proofErr w:type="spellStart"/>
      <w:r>
        <w:rPr>
          <w:b/>
          <w:bCs/>
          <w:i/>
          <w:iCs/>
        </w:rPr>
        <w:t>We</w:t>
      </w:r>
      <w:proofErr w:type="spellEnd"/>
      <w:r>
        <w:rPr>
          <w:b/>
          <w:bCs/>
          <w:i/>
          <w:iCs/>
        </w:rPr>
        <w:t xml:space="preserve"> </w:t>
      </w:r>
      <w:proofErr w:type="spellStart"/>
      <w:r>
        <w:rPr>
          <w:b/>
          <w:bCs/>
          <w:i/>
          <w:iCs/>
        </w:rPr>
        <w:t>Sleep</w:t>
      </w:r>
      <w:proofErr w:type="spellEnd"/>
      <w:r>
        <w:rPr>
          <w:b/>
          <w:bCs/>
          <w:i/>
          <w:iCs/>
        </w:rPr>
        <w:t xml:space="preserve">: </w:t>
      </w:r>
      <w:proofErr w:type="spellStart"/>
      <w:r>
        <w:rPr>
          <w:b/>
          <w:bCs/>
          <w:i/>
          <w:iCs/>
        </w:rPr>
        <w:t>Unlocking</w:t>
      </w:r>
      <w:proofErr w:type="spellEnd"/>
      <w:r>
        <w:rPr>
          <w:b/>
          <w:bCs/>
          <w:i/>
          <w:iCs/>
        </w:rPr>
        <w:t xml:space="preserve"> </w:t>
      </w:r>
      <w:proofErr w:type="spellStart"/>
      <w:r>
        <w:rPr>
          <w:b/>
          <w:bCs/>
          <w:i/>
          <w:iCs/>
        </w:rPr>
        <w:t>the</w:t>
      </w:r>
      <w:proofErr w:type="spellEnd"/>
      <w:r>
        <w:rPr>
          <w:b/>
          <w:bCs/>
          <w:i/>
          <w:iCs/>
        </w:rPr>
        <w:t xml:space="preserve"> Power </w:t>
      </w:r>
      <w:proofErr w:type="spellStart"/>
      <w:r>
        <w:rPr>
          <w:b/>
          <w:bCs/>
          <w:i/>
          <w:iCs/>
        </w:rPr>
        <w:t>of</w:t>
      </w:r>
      <w:proofErr w:type="spellEnd"/>
      <w:r>
        <w:rPr>
          <w:b/>
          <w:bCs/>
          <w:i/>
          <w:iCs/>
        </w:rPr>
        <w:t xml:space="preserve"> </w:t>
      </w:r>
      <w:proofErr w:type="spellStart"/>
      <w:r>
        <w:rPr>
          <w:b/>
          <w:bCs/>
          <w:i/>
          <w:iCs/>
        </w:rPr>
        <w:t>Sleep</w:t>
      </w:r>
      <w:proofErr w:type="spellEnd"/>
      <w:r>
        <w:rPr>
          <w:b/>
          <w:bCs/>
          <w:i/>
          <w:iCs/>
        </w:rPr>
        <w:t xml:space="preserve"> </w:t>
      </w:r>
      <w:proofErr w:type="spellStart"/>
      <w:r>
        <w:rPr>
          <w:b/>
          <w:bCs/>
          <w:i/>
          <w:iCs/>
        </w:rPr>
        <w:t>and</w:t>
      </w:r>
      <w:proofErr w:type="spellEnd"/>
      <w:r>
        <w:rPr>
          <w:b/>
          <w:bCs/>
          <w:i/>
          <w:iCs/>
        </w:rPr>
        <w:t xml:space="preserve"> Dreams. New York: </w:t>
      </w:r>
      <w:proofErr w:type="spellStart"/>
      <w:r>
        <w:rPr>
          <w:b/>
          <w:bCs/>
          <w:i/>
          <w:iCs/>
        </w:rPr>
        <w:t>Scribner</w:t>
      </w:r>
      <w:proofErr w:type="spellEnd"/>
      <w:r>
        <w:rPr>
          <w:b/>
          <w:bCs/>
          <w:i/>
          <w:iCs/>
        </w:rPr>
        <w:t>, 2017.</w:t>
      </w:r>
      <w:r>
        <w:br/>
      </w:r>
      <w:r>
        <w:rPr>
          <w:b/>
          <w:bCs/>
        </w:rPr>
        <w:t>RESUMO:</w:t>
      </w:r>
      <w:r>
        <w:t xml:space="preserve"> O neurocientista Matthew Walker apresenta uma análise abrangente da importância do sono para a saúde física e mental. A metodologia baseia-se em estudos de polissonografia e neuroimagem. Os achados principais mostram que o sono regula o sistema imune, a memória, o metabolismo e o SEC. A privação de sono é correlacionada com câncer, Alzheimer e doenças cardiovasculares. O autor discute o sono como o pilar mais negligenciado da MEV. O contexto oferece ferramentas práticas para otimizar o descanso e, consequentemente, a regeneração biológica.</w:t>
      </w:r>
      <w:r>
        <w:br/>
      </w:r>
      <w:r>
        <w:rPr>
          <w:b/>
          <w:bCs/>
        </w:rPr>
        <w:t>RELEVÂNCIA:</w:t>
      </w:r>
      <w:r>
        <w:t xml:space="preserve"> Fonte vital para o pilar "Sono Restaurador" da MEV. Demonstra como a falta de sono desregula o tônus endocanabinoide e aumenta a reatividade simpática, impedindo o estado vagal ventral.</w:t>
      </w:r>
      <w:r>
        <w:br/>
      </w:r>
      <w:r>
        <w:rPr>
          <w:b/>
          <w:bCs/>
        </w:rPr>
        <w:t>LINK ATIVO:</w:t>
      </w:r>
      <w:r>
        <w:t xml:space="preserve"> [URL: https://www.sleepdiplomat.com/]</w:t>
      </w:r>
      <w:r>
        <w:br/>
      </w:r>
      <w:r>
        <w:rPr>
          <w:b/>
          <w:bCs/>
        </w:rPr>
        <w:t>ACESSO:</w:t>
      </w:r>
      <w:r>
        <w:t xml:space="preserve"> Pago</w:t>
      </w:r>
    </w:p>
    <w:p w14:paraId="598782A7" w14:textId="77777777" w:rsidR="007C3058" w:rsidRDefault="00000000">
      <w:pPr>
        <w:spacing w:before="60"/>
      </w:pPr>
      <w:r>
        <w:rPr>
          <w:b/>
          <w:bCs/>
          <w:i/>
          <w:iCs/>
        </w:rPr>
        <w:t xml:space="preserve">9. MASI, Giampietro. </w:t>
      </w:r>
      <w:proofErr w:type="spellStart"/>
      <w:r>
        <w:rPr>
          <w:b/>
          <w:bCs/>
          <w:i/>
          <w:iCs/>
        </w:rPr>
        <w:t>Classical</w:t>
      </w:r>
      <w:proofErr w:type="spellEnd"/>
      <w:r>
        <w:rPr>
          <w:b/>
          <w:bCs/>
          <w:i/>
          <w:iCs/>
        </w:rPr>
        <w:t xml:space="preserve"> </w:t>
      </w:r>
      <w:proofErr w:type="spellStart"/>
      <w:r>
        <w:rPr>
          <w:b/>
          <w:bCs/>
          <w:i/>
          <w:iCs/>
        </w:rPr>
        <w:t>Homeopathy</w:t>
      </w:r>
      <w:proofErr w:type="spellEnd"/>
      <w:r>
        <w:rPr>
          <w:b/>
          <w:bCs/>
          <w:i/>
          <w:iCs/>
        </w:rPr>
        <w:t xml:space="preserve">: The </w:t>
      </w:r>
      <w:proofErr w:type="spellStart"/>
      <w:r>
        <w:rPr>
          <w:b/>
          <w:bCs/>
          <w:i/>
          <w:iCs/>
        </w:rPr>
        <w:t>Unicist</w:t>
      </w:r>
      <w:proofErr w:type="spellEnd"/>
      <w:r>
        <w:rPr>
          <w:b/>
          <w:bCs/>
          <w:i/>
          <w:iCs/>
        </w:rPr>
        <w:t xml:space="preserve"> Approach. New Delhi: B. Jain </w:t>
      </w:r>
      <w:proofErr w:type="spellStart"/>
      <w:r>
        <w:rPr>
          <w:b/>
          <w:bCs/>
          <w:i/>
          <w:iCs/>
        </w:rPr>
        <w:t>Publishers</w:t>
      </w:r>
      <w:proofErr w:type="spellEnd"/>
      <w:r>
        <w:rPr>
          <w:b/>
          <w:bCs/>
          <w:i/>
          <w:iCs/>
        </w:rPr>
        <w:t>, 2002.</w:t>
      </w:r>
      <w:r>
        <w:br/>
      </w:r>
      <w:r>
        <w:rPr>
          <w:b/>
          <w:bCs/>
        </w:rPr>
        <w:t>RESUMO:</w:t>
      </w:r>
      <w:r>
        <w:t xml:space="preserve"> Masi apresenta a fundamentação teórica e prática da homeopatia unicista clássica. A metodologia foca na análise da totalidade sintomática e na busca pelo medicamento único que ressoe com a força vital do paciente. Os achados discutem a hierarquia dos sintomas e a lei de cura de Hering. O autor enfatiza a importância da anamnese profunda para compreender o núcleo do sofrimento do indivíduo. O contexto é a integração da sabedoria tradicional homeopática com a observação clínica rigorosa.</w:t>
      </w:r>
      <w:r>
        <w:br/>
      </w:r>
      <w:r>
        <w:rPr>
          <w:b/>
          <w:bCs/>
        </w:rPr>
        <w:t>RELEVÂNCIA:</w:t>
      </w:r>
      <w:r>
        <w:t xml:space="preserve"> Fonte primária para a Seção 4. Define os conceitos de força vital e similitude que são essenciais para a prática da soberania biológica através da homeopatia.</w:t>
      </w:r>
      <w:r>
        <w:br/>
      </w:r>
      <w:r>
        <w:rPr>
          <w:b/>
          <w:bCs/>
        </w:rPr>
        <w:t>LINK ATIVO:</w:t>
      </w:r>
      <w:r>
        <w:t xml:space="preserve"> [URL: https://www.bjainbooks.com/]</w:t>
      </w:r>
      <w:r>
        <w:br/>
      </w:r>
      <w:r>
        <w:rPr>
          <w:b/>
          <w:bCs/>
        </w:rPr>
        <w:t>ACESSO:</w:t>
      </w:r>
      <w:r>
        <w:t xml:space="preserve"> Pago</w:t>
      </w:r>
    </w:p>
    <w:p w14:paraId="3EAC2842" w14:textId="77777777" w:rsidR="007C3058" w:rsidRDefault="00000000">
      <w:pPr>
        <w:spacing w:before="60"/>
      </w:pPr>
      <w:r>
        <w:rPr>
          <w:b/>
          <w:bCs/>
          <w:i/>
          <w:iCs/>
        </w:rPr>
        <w:t xml:space="preserve">10. </w:t>
      </w:r>
      <w:proofErr w:type="spellStart"/>
      <w:r>
        <w:rPr>
          <w:b/>
          <w:bCs/>
          <w:i/>
          <w:iCs/>
        </w:rPr>
        <w:t>EPEL</w:t>
      </w:r>
      <w:proofErr w:type="spellEnd"/>
      <w:r>
        <w:rPr>
          <w:b/>
          <w:bCs/>
          <w:i/>
          <w:iCs/>
        </w:rPr>
        <w:t xml:space="preserve">, </w:t>
      </w:r>
      <w:proofErr w:type="spellStart"/>
      <w:r>
        <w:rPr>
          <w:b/>
          <w:bCs/>
          <w:i/>
          <w:iCs/>
        </w:rPr>
        <w:t>Elissa</w:t>
      </w:r>
      <w:proofErr w:type="spellEnd"/>
      <w:r>
        <w:rPr>
          <w:b/>
          <w:bCs/>
          <w:i/>
          <w:iCs/>
        </w:rPr>
        <w:t xml:space="preserve"> S. et al. </w:t>
      </w:r>
      <w:proofErr w:type="spellStart"/>
      <w:r>
        <w:rPr>
          <w:b/>
          <w:bCs/>
          <w:i/>
          <w:iCs/>
        </w:rPr>
        <w:t>Accelerated</w:t>
      </w:r>
      <w:proofErr w:type="spellEnd"/>
      <w:r>
        <w:rPr>
          <w:b/>
          <w:bCs/>
          <w:i/>
          <w:iCs/>
        </w:rPr>
        <w:t xml:space="preserve"> </w:t>
      </w:r>
      <w:proofErr w:type="spellStart"/>
      <w:r>
        <w:rPr>
          <w:b/>
          <w:bCs/>
          <w:i/>
          <w:iCs/>
        </w:rPr>
        <w:t>telomere</w:t>
      </w:r>
      <w:proofErr w:type="spellEnd"/>
      <w:r>
        <w:rPr>
          <w:b/>
          <w:bCs/>
          <w:i/>
          <w:iCs/>
        </w:rPr>
        <w:t xml:space="preserve"> </w:t>
      </w:r>
      <w:proofErr w:type="spellStart"/>
      <w:r>
        <w:rPr>
          <w:b/>
          <w:bCs/>
          <w:i/>
          <w:iCs/>
        </w:rPr>
        <w:t>shortening</w:t>
      </w:r>
      <w:proofErr w:type="spellEnd"/>
      <w:r>
        <w:rPr>
          <w:b/>
          <w:bCs/>
          <w:i/>
          <w:iCs/>
        </w:rPr>
        <w:t xml:space="preserve"> in response </w:t>
      </w:r>
      <w:proofErr w:type="spellStart"/>
      <w:r>
        <w:rPr>
          <w:b/>
          <w:bCs/>
          <w:i/>
          <w:iCs/>
        </w:rPr>
        <w:t>to</w:t>
      </w:r>
      <w:proofErr w:type="spellEnd"/>
      <w:r>
        <w:rPr>
          <w:b/>
          <w:bCs/>
          <w:i/>
          <w:iCs/>
        </w:rPr>
        <w:t xml:space="preserve"> </w:t>
      </w:r>
      <w:proofErr w:type="spellStart"/>
      <w:r>
        <w:rPr>
          <w:b/>
          <w:bCs/>
          <w:i/>
          <w:iCs/>
        </w:rPr>
        <w:t>life</w:t>
      </w:r>
      <w:proofErr w:type="spellEnd"/>
      <w:r>
        <w:rPr>
          <w:b/>
          <w:bCs/>
          <w:i/>
          <w:iCs/>
        </w:rPr>
        <w:t xml:space="preserve"> stress. </w:t>
      </w:r>
      <w:proofErr w:type="spellStart"/>
      <w:r>
        <w:rPr>
          <w:b/>
          <w:bCs/>
          <w:i/>
          <w:iCs/>
        </w:rPr>
        <w:t>Proceedings</w:t>
      </w:r>
      <w:proofErr w:type="spellEnd"/>
      <w:r>
        <w:rPr>
          <w:b/>
          <w:bCs/>
          <w:i/>
          <w:iCs/>
        </w:rPr>
        <w:t xml:space="preserve"> </w:t>
      </w:r>
      <w:proofErr w:type="spellStart"/>
      <w:r>
        <w:rPr>
          <w:b/>
          <w:bCs/>
          <w:i/>
          <w:iCs/>
        </w:rPr>
        <w:t>of</w:t>
      </w:r>
      <w:proofErr w:type="spellEnd"/>
      <w:r>
        <w:rPr>
          <w:b/>
          <w:bCs/>
          <w:i/>
          <w:iCs/>
        </w:rPr>
        <w:t xml:space="preserve"> </w:t>
      </w:r>
      <w:proofErr w:type="spellStart"/>
      <w:r>
        <w:rPr>
          <w:b/>
          <w:bCs/>
          <w:i/>
          <w:iCs/>
        </w:rPr>
        <w:t>the</w:t>
      </w:r>
      <w:proofErr w:type="spellEnd"/>
      <w:r>
        <w:rPr>
          <w:b/>
          <w:bCs/>
          <w:i/>
          <w:iCs/>
        </w:rPr>
        <w:t xml:space="preserve"> </w:t>
      </w:r>
      <w:proofErr w:type="spellStart"/>
      <w:r>
        <w:rPr>
          <w:b/>
          <w:bCs/>
          <w:i/>
          <w:iCs/>
        </w:rPr>
        <w:t>National</w:t>
      </w:r>
      <w:proofErr w:type="spellEnd"/>
      <w:r>
        <w:rPr>
          <w:b/>
          <w:bCs/>
          <w:i/>
          <w:iCs/>
        </w:rPr>
        <w:t xml:space="preserve"> </w:t>
      </w:r>
      <w:proofErr w:type="spellStart"/>
      <w:r>
        <w:rPr>
          <w:b/>
          <w:bCs/>
          <w:i/>
          <w:iCs/>
        </w:rPr>
        <w:t>Academy</w:t>
      </w:r>
      <w:proofErr w:type="spellEnd"/>
      <w:r>
        <w:rPr>
          <w:b/>
          <w:bCs/>
          <w:i/>
          <w:iCs/>
        </w:rPr>
        <w:t xml:space="preserve"> </w:t>
      </w:r>
      <w:proofErr w:type="spellStart"/>
      <w:r>
        <w:rPr>
          <w:b/>
          <w:bCs/>
          <w:i/>
          <w:iCs/>
        </w:rPr>
        <w:t>of</w:t>
      </w:r>
      <w:proofErr w:type="spellEnd"/>
      <w:r>
        <w:rPr>
          <w:b/>
          <w:bCs/>
          <w:i/>
          <w:iCs/>
        </w:rPr>
        <w:t xml:space="preserve"> </w:t>
      </w:r>
      <w:proofErr w:type="spellStart"/>
      <w:r>
        <w:rPr>
          <w:b/>
          <w:bCs/>
          <w:i/>
          <w:iCs/>
        </w:rPr>
        <w:t>Sciences</w:t>
      </w:r>
      <w:proofErr w:type="spellEnd"/>
      <w:r>
        <w:rPr>
          <w:b/>
          <w:bCs/>
          <w:i/>
          <w:iCs/>
        </w:rPr>
        <w:t>, v. 101, n. 49, p. 17312-17315, 2004.</w:t>
      </w:r>
      <w:r>
        <w:rPr>
          <w:b/>
          <w:bCs/>
        </w:rPr>
        <w:t>RESUMO:</w:t>
      </w:r>
      <w:r>
        <w:t xml:space="preserve"> Estudo pioneiro que demonstra a ligação direta entre o estresse psicológico crônico e o envelhecimento celular acelerado. A metodologia envolveu a medição do comprimento dos telômeros em mães cuidando de filhos doentes. Os achados mostraram que mulheres com níveis mais altos de estresse percebido tinham telômeros significativamente mais curtos, equivalentes a uma década adicional de envelhecimento biológico. O contexto prova que o estresse não está "apenas na cabeça", mas corrói a integridade do DNA.</w:t>
      </w:r>
      <w:r>
        <w:br/>
      </w:r>
      <w:r>
        <w:rPr>
          <w:b/>
          <w:bCs/>
        </w:rPr>
        <w:t>RELEVÂNCIA:</w:t>
      </w:r>
      <w:r>
        <w:t xml:space="preserve"> Base científica para a Seção 5 (MEV) e para o trabalho com mães. Justifica a urgência de práticas de gestão de estresse e restauração vagal para preservar a longevidade celular.</w:t>
      </w:r>
      <w:r>
        <w:br/>
      </w:r>
      <w:r>
        <w:rPr>
          <w:b/>
          <w:bCs/>
        </w:rPr>
        <w:t>LINK ATIVO:</w:t>
      </w:r>
      <w:r>
        <w:t xml:space="preserve"> [DOI: https://doi.org/10.1073/pnas.0407162101]</w:t>
      </w:r>
      <w:r>
        <w:br/>
      </w:r>
      <w:r>
        <w:rPr>
          <w:b/>
          <w:bCs/>
        </w:rPr>
        <w:t>ACESSO:</w:t>
      </w:r>
      <w:r>
        <w:t xml:space="preserve"> Open Access</w:t>
      </w:r>
    </w:p>
    <w:p w14:paraId="6D913734" w14:textId="77777777" w:rsidR="007C3058" w:rsidRDefault="00000000">
      <w:pPr>
        <w:spacing w:before="60"/>
      </w:pPr>
      <w:r>
        <w:rPr>
          <w:b/>
          <w:bCs/>
          <w:i/>
          <w:iCs/>
        </w:rPr>
        <w:t xml:space="preserve">11. </w:t>
      </w:r>
      <w:proofErr w:type="spellStart"/>
      <w:r>
        <w:rPr>
          <w:b/>
          <w:bCs/>
          <w:i/>
          <w:iCs/>
        </w:rPr>
        <w:t>ORNISH</w:t>
      </w:r>
      <w:proofErr w:type="spellEnd"/>
      <w:r>
        <w:rPr>
          <w:b/>
          <w:bCs/>
          <w:i/>
          <w:iCs/>
        </w:rPr>
        <w:t xml:space="preserve">, Dean M. et al. </w:t>
      </w:r>
      <w:proofErr w:type="spellStart"/>
      <w:r>
        <w:rPr>
          <w:b/>
          <w:bCs/>
          <w:i/>
          <w:iCs/>
        </w:rPr>
        <w:t>Intensive</w:t>
      </w:r>
      <w:proofErr w:type="spellEnd"/>
      <w:r>
        <w:rPr>
          <w:b/>
          <w:bCs/>
          <w:i/>
          <w:iCs/>
        </w:rPr>
        <w:t xml:space="preserve"> lifestyle </w:t>
      </w:r>
      <w:proofErr w:type="spellStart"/>
      <w:r>
        <w:rPr>
          <w:b/>
          <w:bCs/>
          <w:i/>
          <w:iCs/>
        </w:rPr>
        <w:t>changes</w:t>
      </w:r>
      <w:proofErr w:type="spellEnd"/>
      <w:r>
        <w:rPr>
          <w:b/>
          <w:bCs/>
          <w:i/>
          <w:iCs/>
        </w:rPr>
        <w:t xml:space="preserve"> </w:t>
      </w:r>
      <w:proofErr w:type="spellStart"/>
      <w:r>
        <w:rPr>
          <w:b/>
          <w:bCs/>
          <w:i/>
          <w:iCs/>
        </w:rPr>
        <w:t>may</w:t>
      </w:r>
      <w:proofErr w:type="spellEnd"/>
      <w:r>
        <w:rPr>
          <w:b/>
          <w:bCs/>
          <w:i/>
          <w:iCs/>
        </w:rPr>
        <w:t xml:space="preserve"> </w:t>
      </w:r>
      <w:proofErr w:type="spellStart"/>
      <w:r>
        <w:rPr>
          <w:b/>
          <w:bCs/>
          <w:i/>
          <w:iCs/>
        </w:rPr>
        <w:t>affect</w:t>
      </w:r>
      <w:proofErr w:type="spellEnd"/>
      <w:r>
        <w:rPr>
          <w:b/>
          <w:bCs/>
          <w:i/>
          <w:iCs/>
        </w:rPr>
        <w:t xml:space="preserve"> </w:t>
      </w:r>
      <w:proofErr w:type="spellStart"/>
      <w:r>
        <w:rPr>
          <w:b/>
          <w:bCs/>
          <w:i/>
          <w:iCs/>
        </w:rPr>
        <w:t>the</w:t>
      </w:r>
      <w:proofErr w:type="spellEnd"/>
      <w:r>
        <w:rPr>
          <w:b/>
          <w:bCs/>
          <w:i/>
          <w:iCs/>
        </w:rPr>
        <w:t xml:space="preserve"> </w:t>
      </w:r>
      <w:proofErr w:type="spellStart"/>
      <w:r>
        <w:rPr>
          <w:b/>
          <w:bCs/>
          <w:i/>
          <w:iCs/>
        </w:rPr>
        <w:t>progression</w:t>
      </w:r>
      <w:proofErr w:type="spellEnd"/>
      <w:r>
        <w:rPr>
          <w:b/>
          <w:bCs/>
          <w:i/>
          <w:iCs/>
        </w:rPr>
        <w:t xml:space="preserve"> </w:t>
      </w:r>
      <w:proofErr w:type="spellStart"/>
      <w:r>
        <w:rPr>
          <w:b/>
          <w:bCs/>
          <w:i/>
          <w:iCs/>
        </w:rPr>
        <w:t>of</w:t>
      </w:r>
      <w:proofErr w:type="spellEnd"/>
      <w:r>
        <w:rPr>
          <w:b/>
          <w:bCs/>
          <w:i/>
          <w:iCs/>
        </w:rPr>
        <w:t xml:space="preserve"> </w:t>
      </w:r>
      <w:proofErr w:type="spellStart"/>
      <w:r>
        <w:rPr>
          <w:b/>
          <w:bCs/>
          <w:i/>
          <w:iCs/>
        </w:rPr>
        <w:t>prostate</w:t>
      </w:r>
      <w:proofErr w:type="spellEnd"/>
      <w:r>
        <w:rPr>
          <w:b/>
          <w:bCs/>
          <w:i/>
          <w:iCs/>
        </w:rPr>
        <w:t xml:space="preserve"> </w:t>
      </w:r>
      <w:proofErr w:type="spellStart"/>
      <w:r>
        <w:rPr>
          <w:b/>
          <w:bCs/>
          <w:i/>
          <w:iCs/>
        </w:rPr>
        <w:t>cancer</w:t>
      </w:r>
      <w:proofErr w:type="spellEnd"/>
      <w:r>
        <w:rPr>
          <w:b/>
          <w:bCs/>
          <w:i/>
          <w:iCs/>
        </w:rPr>
        <w:t xml:space="preserve">. The </w:t>
      </w:r>
      <w:proofErr w:type="spellStart"/>
      <w:r>
        <w:rPr>
          <w:b/>
          <w:bCs/>
          <w:i/>
          <w:iCs/>
        </w:rPr>
        <w:t>Journal</w:t>
      </w:r>
      <w:proofErr w:type="spellEnd"/>
      <w:r>
        <w:rPr>
          <w:b/>
          <w:bCs/>
          <w:i/>
          <w:iCs/>
        </w:rPr>
        <w:t xml:space="preserve"> </w:t>
      </w:r>
      <w:proofErr w:type="spellStart"/>
      <w:r>
        <w:rPr>
          <w:b/>
          <w:bCs/>
          <w:i/>
          <w:iCs/>
        </w:rPr>
        <w:t>of</w:t>
      </w:r>
      <w:proofErr w:type="spellEnd"/>
      <w:r>
        <w:rPr>
          <w:b/>
          <w:bCs/>
          <w:i/>
          <w:iCs/>
        </w:rPr>
        <w:t xml:space="preserve"> </w:t>
      </w:r>
      <w:proofErr w:type="spellStart"/>
      <w:r>
        <w:rPr>
          <w:b/>
          <w:bCs/>
          <w:i/>
          <w:iCs/>
        </w:rPr>
        <w:t>Urology</w:t>
      </w:r>
      <w:proofErr w:type="spellEnd"/>
      <w:r>
        <w:rPr>
          <w:b/>
          <w:bCs/>
          <w:i/>
          <w:iCs/>
        </w:rPr>
        <w:t>, v. 174, n. 3, p. 1065-1070, 2005.</w:t>
      </w:r>
      <w:r>
        <w:rPr>
          <w:b/>
          <w:bCs/>
        </w:rPr>
        <w:t>RESUMO:</w:t>
      </w:r>
      <w:r>
        <w:t xml:space="preserve"> O Dr. </w:t>
      </w:r>
      <w:proofErr w:type="spellStart"/>
      <w:r>
        <w:t>Ornish</w:t>
      </w:r>
      <w:proofErr w:type="spellEnd"/>
      <w:r>
        <w:t xml:space="preserve"> demonstra que mudanças intensivas no estilo de vida (dieta baseada em plantas, exercício, meditação e suporte social) podem alterar a expressão gênica e retardar a progressão do câncer de próstata. A metodologia foi um ensaio clínico randomizado. Os achados mostraram que o grupo de intervenção teve uma inibição significativa do crescimento de células cancerosas </w:t>
      </w:r>
      <w:r>
        <w:rPr>
          <w:i/>
          <w:iCs/>
        </w:rPr>
        <w:t>in vitro</w:t>
      </w:r>
      <w:r>
        <w:t xml:space="preserve">. O contexto </w:t>
      </w:r>
      <w:proofErr w:type="spellStart"/>
      <w:r>
        <w:t>valida</w:t>
      </w:r>
      <w:proofErr w:type="spellEnd"/>
      <w:r>
        <w:t xml:space="preserve"> a MEV como uma intervenção biológica potente, capaz de "desligar" genes de doença e "ligar" genes de saúde.</w:t>
      </w:r>
      <w:r>
        <w:br/>
      </w:r>
      <w:r>
        <w:rPr>
          <w:b/>
          <w:bCs/>
        </w:rPr>
        <w:t>RELEVÂNCIA:</w:t>
      </w:r>
      <w:r>
        <w:t xml:space="preserve"> Reforça o conceito de soberania biológica. Mostra que o estilo de vida não é apenas preventivo, mas pode ser curativo e modificador da expressão gênica em doenças graves.</w:t>
      </w:r>
      <w:r>
        <w:br/>
      </w:r>
      <w:r>
        <w:rPr>
          <w:b/>
          <w:bCs/>
        </w:rPr>
        <w:t>LINK ATIVO:</w:t>
      </w:r>
      <w:r>
        <w:t xml:space="preserve"> [DOI: https://doi.org/10.1097/01.ju.0000169487.49038.37]</w:t>
      </w:r>
      <w:r>
        <w:br/>
      </w:r>
      <w:r>
        <w:rPr>
          <w:b/>
          <w:bCs/>
        </w:rPr>
        <w:t>ACESSO:</w:t>
      </w:r>
      <w:r>
        <w:t xml:space="preserve"> Pago</w:t>
      </w:r>
    </w:p>
    <w:p w14:paraId="76FFADD0" w14:textId="77777777" w:rsidR="007C3058" w:rsidRDefault="00000000">
      <w:pPr>
        <w:spacing w:before="60"/>
      </w:pPr>
      <w:r>
        <w:rPr>
          <w:b/>
          <w:bCs/>
          <w:i/>
          <w:iCs/>
        </w:rPr>
        <w:t xml:space="preserve">12. WORLD HEALTH </w:t>
      </w:r>
      <w:proofErr w:type="spellStart"/>
      <w:r>
        <w:rPr>
          <w:b/>
          <w:bCs/>
          <w:i/>
          <w:iCs/>
        </w:rPr>
        <w:t>ORGANIZATION</w:t>
      </w:r>
      <w:proofErr w:type="spellEnd"/>
      <w:r>
        <w:rPr>
          <w:b/>
          <w:bCs/>
          <w:i/>
          <w:iCs/>
        </w:rPr>
        <w:t xml:space="preserve">. Report </w:t>
      </w:r>
      <w:proofErr w:type="spellStart"/>
      <w:r>
        <w:rPr>
          <w:b/>
          <w:bCs/>
          <w:i/>
          <w:iCs/>
        </w:rPr>
        <w:t>of</w:t>
      </w:r>
      <w:proofErr w:type="spellEnd"/>
      <w:r>
        <w:rPr>
          <w:b/>
          <w:bCs/>
          <w:i/>
          <w:iCs/>
        </w:rPr>
        <w:t xml:space="preserve"> </w:t>
      </w:r>
      <w:proofErr w:type="spellStart"/>
      <w:r>
        <w:rPr>
          <w:b/>
          <w:bCs/>
          <w:i/>
          <w:iCs/>
        </w:rPr>
        <w:t>the</w:t>
      </w:r>
      <w:proofErr w:type="spellEnd"/>
      <w:r>
        <w:rPr>
          <w:b/>
          <w:bCs/>
          <w:i/>
          <w:iCs/>
        </w:rPr>
        <w:t xml:space="preserve"> Commission </w:t>
      </w:r>
      <w:proofErr w:type="spellStart"/>
      <w:r>
        <w:rPr>
          <w:b/>
          <w:bCs/>
          <w:i/>
          <w:iCs/>
        </w:rPr>
        <w:t>on</w:t>
      </w:r>
      <w:proofErr w:type="spellEnd"/>
      <w:r>
        <w:rPr>
          <w:b/>
          <w:bCs/>
          <w:i/>
          <w:iCs/>
        </w:rPr>
        <w:t xml:space="preserve"> </w:t>
      </w:r>
      <w:proofErr w:type="spellStart"/>
      <w:r>
        <w:rPr>
          <w:b/>
          <w:bCs/>
          <w:i/>
          <w:iCs/>
        </w:rPr>
        <w:t>Ending</w:t>
      </w:r>
      <w:proofErr w:type="spellEnd"/>
      <w:r>
        <w:rPr>
          <w:b/>
          <w:bCs/>
          <w:i/>
          <w:iCs/>
        </w:rPr>
        <w:t xml:space="preserve"> </w:t>
      </w:r>
      <w:proofErr w:type="spellStart"/>
      <w:r>
        <w:rPr>
          <w:b/>
          <w:bCs/>
          <w:i/>
          <w:iCs/>
        </w:rPr>
        <w:t>Childhood</w:t>
      </w:r>
      <w:proofErr w:type="spellEnd"/>
      <w:r>
        <w:rPr>
          <w:b/>
          <w:bCs/>
          <w:i/>
          <w:iCs/>
        </w:rPr>
        <w:t xml:space="preserve"> </w:t>
      </w:r>
      <w:proofErr w:type="spellStart"/>
      <w:r>
        <w:rPr>
          <w:b/>
          <w:bCs/>
          <w:i/>
          <w:iCs/>
        </w:rPr>
        <w:t>Obesity</w:t>
      </w:r>
      <w:proofErr w:type="spellEnd"/>
      <w:r>
        <w:rPr>
          <w:b/>
          <w:bCs/>
          <w:i/>
          <w:iCs/>
        </w:rPr>
        <w:t>. Geneva: WHO, 2016.</w:t>
      </w:r>
      <w:r>
        <w:br/>
      </w:r>
      <w:r>
        <w:rPr>
          <w:b/>
          <w:bCs/>
        </w:rPr>
        <w:t>RESUMO:</w:t>
      </w:r>
      <w:r>
        <w:t xml:space="preserve"> Relatório que aborda a epidemia global de obesidade infantil, focando nos determinantes precoces da saúde. A metodologia analisa o impacto da nutrição materna e do ambiente obesogênico desde a concepção. Os achados destacam que a prevenção deve começar no pré-natal. O contexto enfatiza a responsabilidade coletiva e individual na criação de ambientes que favoreçam escolhas saudáveis.</w:t>
      </w:r>
      <w:r>
        <w:br/>
      </w:r>
      <w:r>
        <w:rPr>
          <w:b/>
          <w:bCs/>
        </w:rPr>
        <w:t>RELEVÂNCIA:</w:t>
      </w:r>
      <w:r>
        <w:t xml:space="preserve"> Conecta-se à linguagem parental e epigenética. Mostra como as escolhas da mãe durante a gestação moldam o metabolismo e a saúde futura da criança, reforçando a importância da MEV para gestantes.</w:t>
      </w:r>
      <w:r>
        <w:br/>
      </w:r>
      <w:r>
        <w:rPr>
          <w:b/>
          <w:bCs/>
        </w:rPr>
        <w:t>LINK ATIVO:</w:t>
      </w:r>
      <w:r>
        <w:t xml:space="preserve"> [URL: https://www.who.int/publications/i/item/9789241511063]</w:t>
      </w:r>
      <w:r>
        <w:br/>
      </w:r>
      <w:r>
        <w:rPr>
          <w:b/>
          <w:bCs/>
        </w:rPr>
        <w:t>ACESSO:</w:t>
      </w:r>
      <w:r>
        <w:t xml:space="preserve"> Open Access</w:t>
      </w:r>
    </w:p>
    <w:p w14:paraId="49BC025E" w14:textId="77777777" w:rsidR="007C3058" w:rsidRDefault="00000000">
      <w:pPr>
        <w:spacing w:before="60"/>
      </w:pPr>
      <w:r>
        <w:rPr>
          <w:b/>
          <w:bCs/>
          <w:i/>
          <w:iCs/>
        </w:rPr>
        <w:t xml:space="preserve">13. </w:t>
      </w:r>
      <w:proofErr w:type="spellStart"/>
      <w:r>
        <w:rPr>
          <w:b/>
          <w:bCs/>
          <w:i/>
          <w:iCs/>
        </w:rPr>
        <w:t>SCHULTZE</w:t>
      </w:r>
      <w:proofErr w:type="spellEnd"/>
      <w:r>
        <w:rPr>
          <w:b/>
          <w:bCs/>
          <w:i/>
          <w:iCs/>
        </w:rPr>
        <w:t xml:space="preserve">-KRAFT, Matthias et al. The </w:t>
      </w:r>
      <w:proofErr w:type="spellStart"/>
      <w:r>
        <w:rPr>
          <w:b/>
          <w:bCs/>
          <w:i/>
          <w:iCs/>
        </w:rPr>
        <w:t>determinism</w:t>
      </w:r>
      <w:proofErr w:type="spellEnd"/>
      <w:r>
        <w:rPr>
          <w:b/>
          <w:bCs/>
          <w:i/>
          <w:iCs/>
        </w:rPr>
        <w:t xml:space="preserve"> </w:t>
      </w:r>
      <w:proofErr w:type="spellStart"/>
      <w:r>
        <w:rPr>
          <w:b/>
          <w:bCs/>
          <w:i/>
          <w:iCs/>
        </w:rPr>
        <w:t>of</w:t>
      </w:r>
      <w:proofErr w:type="spellEnd"/>
      <w:r>
        <w:rPr>
          <w:b/>
          <w:bCs/>
          <w:i/>
          <w:iCs/>
        </w:rPr>
        <w:t xml:space="preserve"> </w:t>
      </w:r>
      <w:proofErr w:type="spellStart"/>
      <w:r>
        <w:rPr>
          <w:b/>
          <w:bCs/>
          <w:i/>
          <w:iCs/>
        </w:rPr>
        <w:t>human-directed</w:t>
      </w:r>
      <w:proofErr w:type="spellEnd"/>
      <w:r>
        <w:rPr>
          <w:b/>
          <w:bCs/>
          <w:i/>
          <w:iCs/>
        </w:rPr>
        <w:t xml:space="preserve"> </w:t>
      </w:r>
      <w:proofErr w:type="spellStart"/>
      <w:r>
        <w:rPr>
          <w:b/>
          <w:bCs/>
          <w:i/>
          <w:iCs/>
        </w:rPr>
        <w:t>action</w:t>
      </w:r>
      <w:proofErr w:type="spellEnd"/>
      <w:r>
        <w:rPr>
          <w:b/>
          <w:bCs/>
          <w:i/>
          <w:iCs/>
        </w:rPr>
        <w:t xml:space="preserve">. </w:t>
      </w:r>
      <w:proofErr w:type="spellStart"/>
      <w:r>
        <w:rPr>
          <w:b/>
          <w:bCs/>
          <w:i/>
          <w:iCs/>
        </w:rPr>
        <w:t>Nature</w:t>
      </w:r>
      <w:proofErr w:type="spellEnd"/>
      <w:r>
        <w:rPr>
          <w:b/>
          <w:bCs/>
          <w:i/>
          <w:iCs/>
        </w:rPr>
        <w:t xml:space="preserve"> Reviews </w:t>
      </w:r>
      <w:proofErr w:type="spellStart"/>
      <w:r>
        <w:rPr>
          <w:b/>
          <w:bCs/>
          <w:i/>
          <w:iCs/>
        </w:rPr>
        <w:t>Neuroscience</w:t>
      </w:r>
      <w:proofErr w:type="spellEnd"/>
      <w:r>
        <w:rPr>
          <w:b/>
          <w:bCs/>
          <w:i/>
          <w:iCs/>
        </w:rPr>
        <w:t>, v. 17, p. 90, 2016.</w:t>
      </w:r>
      <w:r>
        <w:rPr>
          <w:b/>
          <w:bCs/>
        </w:rPr>
        <w:t>RESUMO:</w:t>
      </w:r>
      <w:r>
        <w:t xml:space="preserve"> Estudo sobre o processamento preditivo e a tomada de decisão no cérebro. A metodologia utilizou EEG para monitorar o "potencial de prontidão" antes de ações voluntárias. Os achados sugerem que, embora o cérebro inicie processos inconscientes, temos a capacidade consciente de "vetar" ou alterar ações até o último milissegundo. O contexto discute o livre-arbítrio e a responsabilidade biológica.</w:t>
      </w:r>
      <w:r>
        <w:br/>
      </w:r>
      <w:r>
        <w:rPr>
          <w:b/>
          <w:bCs/>
        </w:rPr>
        <w:t>RELEVÂNCIA:</w:t>
      </w:r>
      <w:r>
        <w:t xml:space="preserve"> Apoia a ideia de soberania biológica. Mostra que, embora tenhamos impulsos automáticos (simpáticos ou dorsais), a consciência pode intervir para restaurar o estado ventral e escolher comportamentos saudáveis.</w:t>
      </w:r>
      <w:r>
        <w:br/>
      </w:r>
      <w:r>
        <w:rPr>
          <w:b/>
          <w:bCs/>
        </w:rPr>
        <w:t>LINK ATIVO:</w:t>
      </w:r>
      <w:r>
        <w:t xml:space="preserve"> [DOI: https://doi.org/10.1038/nrn.2016.90]</w:t>
      </w:r>
      <w:r>
        <w:br/>
      </w:r>
      <w:r>
        <w:rPr>
          <w:b/>
          <w:bCs/>
        </w:rPr>
        <w:t>ACESSO:</w:t>
      </w:r>
      <w:r>
        <w:t xml:space="preserve"> Pago</w:t>
      </w:r>
    </w:p>
    <w:p w14:paraId="4CB3A916" w14:textId="77777777" w:rsidR="007C3058" w:rsidRDefault="00000000">
      <w:pPr>
        <w:spacing w:before="60"/>
      </w:pPr>
      <w:r>
        <w:rPr>
          <w:b/>
          <w:bCs/>
          <w:i/>
          <w:iCs/>
        </w:rPr>
        <w:t xml:space="preserve">14. CALDWELL, </w:t>
      </w:r>
      <w:proofErr w:type="spellStart"/>
      <w:r>
        <w:rPr>
          <w:b/>
          <w:bCs/>
          <w:i/>
          <w:iCs/>
        </w:rPr>
        <w:t>Esselstyn</w:t>
      </w:r>
      <w:proofErr w:type="spellEnd"/>
      <w:r>
        <w:rPr>
          <w:b/>
          <w:bCs/>
          <w:i/>
          <w:iCs/>
        </w:rPr>
        <w:t xml:space="preserve"> B. </w:t>
      </w:r>
      <w:proofErr w:type="spellStart"/>
      <w:r>
        <w:rPr>
          <w:b/>
          <w:bCs/>
          <w:i/>
          <w:iCs/>
        </w:rPr>
        <w:t>Prevent</w:t>
      </w:r>
      <w:proofErr w:type="spellEnd"/>
      <w:r>
        <w:rPr>
          <w:b/>
          <w:bCs/>
          <w:i/>
          <w:iCs/>
        </w:rPr>
        <w:t xml:space="preserve"> </w:t>
      </w:r>
      <w:proofErr w:type="spellStart"/>
      <w:r>
        <w:rPr>
          <w:b/>
          <w:bCs/>
          <w:i/>
          <w:iCs/>
        </w:rPr>
        <w:t>and</w:t>
      </w:r>
      <w:proofErr w:type="spellEnd"/>
      <w:r>
        <w:rPr>
          <w:b/>
          <w:bCs/>
          <w:i/>
          <w:iCs/>
        </w:rPr>
        <w:t xml:space="preserve"> Reverse Heart </w:t>
      </w:r>
      <w:proofErr w:type="spellStart"/>
      <w:r>
        <w:rPr>
          <w:b/>
          <w:bCs/>
          <w:i/>
          <w:iCs/>
        </w:rPr>
        <w:t>Disease</w:t>
      </w:r>
      <w:proofErr w:type="spellEnd"/>
      <w:r>
        <w:rPr>
          <w:b/>
          <w:bCs/>
          <w:i/>
          <w:iCs/>
        </w:rPr>
        <w:t>. New York: Avery, 2007.</w:t>
      </w:r>
      <w:r>
        <w:br/>
      </w:r>
      <w:r>
        <w:rPr>
          <w:b/>
          <w:bCs/>
        </w:rPr>
        <w:t>RESUMO:</w:t>
      </w:r>
      <w:r>
        <w:t xml:space="preserve"> O Dr. </w:t>
      </w:r>
      <w:proofErr w:type="spellStart"/>
      <w:r>
        <w:t>Esselstyn</w:t>
      </w:r>
      <w:proofErr w:type="spellEnd"/>
      <w:r>
        <w:t xml:space="preserve"> apresenta os resultados de seu estudo de 20 anos sobre a reversão de doenças cardíacas avançadas através de uma dieta estritamente baseada em plantas e sem óleos. A metodologia foi um estudo longitudinal com pacientes considerados "sem esperança" pela medicina convencional. Os achados mostraram a restauração da função endotelial e a desobstrução de artérias. O contexto prova que a biologia tem uma capacidade de regeneração extraordinária quando os insultos diários são removidos.</w:t>
      </w:r>
      <w:r>
        <w:br/>
      </w:r>
      <w:r>
        <w:rPr>
          <w:b/>
          <w:bCs/>
        </w:rPr>
        <w:t>RELEVÂNCIA:</w:t>
      </w:r>
      <w:r>
        <w:t xml:space="preserve"> Exemplo máximo de soberania biológica aplicada à cardiologia. Valida o pilar da nutrição na MEV como uma ferramenta de reversão de doenças crônicas.</w:t>
      </w:r>
      <w:r>
        <w:br/>
      </w:r>
      <w:r>
        <w:rPr>
          <w:b/>
          <w:bCs/>
        </w:rPr>
        <w:t>LINK ATIVO:</w:t>
      </w:r>
      <w:r>
        <w:t xml:space="preserve"> [URL: https://www.heartdiseasereversed.com/]</w:t>
      </w:r>
      <w:r>
        <w:br/>
      </w:r>
      <w:r>
        <w:rPr>
          <w:b/>
          <w:bCs/>
        </w:rPr>
        <w:t>ACESSO:</w:t>
      </w:r>
      <w:r>
        <w:t xml:space="preserve"> Pago</w:t>
      </w:r>
    </w:p>
    <w:p w14:paraId="236AA223" w14:textId="77777777" w:rsidR="007C3058" w:rsidRDefault="00000000">
      <w:pPr>
        <w:spacing w:before="60"/>
      </w:pPr>
      <w:r>
        <w:rPr>
          <w:b/>
          <w:bCs/>
          <w:i/>
          <w:iCs/>
        </w:rPr>
        <w:t xml:space="preserve">15. </w:t>
      </w:r>
      <w:proofErr w:type="spellStart"/>
      <w:r>
        <w:rPr>
          <w:b/>
          <w:bCs/>
          <w:i/>
          <w:iCs/>
        </w:rPr>
        <w:t>SCHLITZ</w:t>
      </w:r>
      <w:proofErr w:type="spellEnd"/>
      <w:r>
        <w:rPr>
          <w:b/>
          <w:bCs/>
          <w:i/>
          <w:iCs/>
        </w:rPr>
        <w:t xml:space="preserve">, Marilyn M. et al. </w:t>
      </w:r>
      <w:proofErr w:type="spellStart"/>
      <w:r>
        <w:rPr>
          <w:b/>
          <w:bCs/>
          <w:i/>
          <w:iCs/>
        </w:rPr>
        <w:t>Consciousness</w:t>
      </w:r>
      <w:proofErr w:type="spellEnd"/>
      <w:r>
        <w:rPr>
          <w:b/>
          <w:bCs/>
          <w:i/>
          <w:iCs/>
        </w:rPr>
        <w:t xml:space="preserve"> </w:t>
      </w:r>
      <w:proofErr w:type="spellStart"/>
      <w:r>
        <w:rPr>
          <w:b/>
          <w:bCs/>
          <w:i/>
          <w:iCs/>
        </w:rPr>
        <w:t>and</w:t>
      </w:r>
      <w:proofErr w:type="spellEnd"/>
      <w:r>
        <w:rPr>
          <w:b/>
          <w:bCs/>
          <w:i/>
          <w:iCs/>
        </w:rPr>
        <w:t xml:space="preserve"> </w:t>
      </w:r>
      <w:proofErr w:type="spellStart"/>
      <w:r>
        <w:rPr>
          <w:b/>
          <w:bCs/>
          <w:i/>
          <w:iCs/>
        </w:rPr>
        <w:t>Healing</w:t>
      </w:r>
      <w:proofErr w:type="spellEnd"/>
      <w:r>
        <w:rPr>
          <w:b/>
          <w:bCs/>
          <w:i/>
          <w:iCs/>
        </w:rPr>
        <w:t xml:space="preserve">: Integral Approaches </w:t>
      </w:r>
      <w:proofErr w:type="spellStart"/>
      <w:r>
        <w:rPr>
          <w:b/>
          <w:bCs/>
          <w:i/>
          <w:iCs/>
        </w:rPr>
        <w:t>to</w:t>
      </w:r>
      <w:proofErr w:type="spellEnd"/>
      <w:r>
        <w:rPr>
          <w:b/>
          <w:bCs/>
          <w:i/>
          <w:iCs/>
        </w:rPr>
        <w:t xml:space="preserve"> Mind-Body Medicine. St. Louis: Elsevier, 2005.</w:t>
      </w:r>
      <w:r>
        <w:br/>
      </w:r>
      <w:r>
        <w:rPr>
          <w:b/>
          <w:bCs/>
        </w:rPr>
        <w:t>RESUMO:</w:t>
      </w:r>
      <w:r>
        <w:t xml:space="preserve"> Coletânea de artigos que exploram a interseção entre consciência, espiritualidade e cura física. A metodologia é transdisciplinar, integrando medicina, psicologia e física quântica. Os achados discutem o papel da intenção, da oração e do estado mental no desfecho clínico. O contexto defende um modelo médico integral que considere todas as dimensões do ser humano.</w:t>
      </w:r>
      <w:r>
        <w:br/>
      </w:r>
      <w:r>
        <w:rPr>
          <w:b/>
          <w:bCs/>
        </w:rPr>
        <w:t>RELEVÂNCIA:</w:t>
      </w:r>
      <w:r>
        <w:t xml:space="preserve"> Fornece a base teórica para a integração da homeopatia e da teoria polivagal com a medicina física. Reforça a visão de que a mente e o corpo são um sistema único e inseparável.</w:t>
      </w:r>
      <w:r>
        <w:br/>
      </w:r>
      <w:r>
        <w:rPr>
          <w:b/>
          <w:bCs/>
        </w:rPr>
        <w:t>LINK ATIVO:</w:t>
      </w:r>
      <w:r>
        <w:t xml:space="preserve"> [URL: https://www.elsevier.com/books/consciousness-and-healing/]</w:t>
      </w:r>
      <w:r>
        <w:br/>
      </w:r>
      <w:r>
        <w:rPr>
          <w:b/>
          <w:bCs/>
        </w:rPr>
        <w:t>ACESSO:</w:t>
      </w:r>
      <w:r>
        <w:t xml:space="preserve"> Pago</w:t>
      </w:r>
    </w:p>
    <w:p w14:paraId="4CDAD6D4" w14:textId="77777777" w:rsidR="007C3058" w:rsidRDefault="00000000">
      <w:pPr>
        <w:spacing w:before="60"/>
      </w:pPr>
      <w:r>
        <w:rPr>
          <w:b/>
          <w:bCs/>
          <w:i/>
          <w:iCs/>
        </w:rPr>
        <w:t xml:space="preserve">16. MIRANDA-MASSARI, Jorge R.; </w:t>
      </w:r>
      <w:proofErr w:type="spellStart"/>
      <w:r>
        <w:rPr>
          <w:b/>
          <w:bCs/>
          <w:i/>
          <w:iCs/>
        </w:rPr>
        <w:t>PIZZORNO</w:t>
      </w:r>
      <w:proofErr w:type="spellEnd"/>
      <w:r>
        <w:rPr>
          <w:b/>
          <w:bCs/>
          <w:i/>
          <w:iCs/>
        </w:rPr>
        <w:t xml:space="preserve">, Joseph. </w:t>
      </w:r>
      <w:proofErr w:type="spellStart"/>
      <w:r>
        <w:rPr>
          <w:b/>
          <w:bCs/>
          <w:i/>
          <w:iCs/>
        </w:rPr>
        <w:t>Nutritional</w:t>
      </w:r>
      <w:proofErr w:type="spellEnd"/>
      <w:r>
        <w:rPr>
          <w:b/>
          <w:bCs/>
          <w:i/>
          <w:iCs/>
        </w:rPr>
        <w:t xml:space="preserve"> </w:t>
      </w:r>
      <w:proofErr w:type="spellStart"/>
      <w:r>
        <w:rPr>
          <w:b/>
          <w:bCs/>
          <w:i/>
          <w:iCs/>
        </w:rPr>
        <w:t>Interventions</w:t>
      </w:r>
      <w:proofErr w:type="spellEnd"/>
      <w:r>
        <w:rPr>
          <w:b/>
          <w:bCs/>
          <w:i/>
          <w:iCs/>
        </w:rPr>
        <w:t xml:space="preserve"> in </w:t>
      </w:r>
      <w:proofErr w:type="spellStart"/>
      <w:r>
        <w:rPr>
          <w:b/>
          <w:bCs/>
          <w:i/>
          <w:iCs/>
        </w:rPr>
        <w:t>Chronic</w:t>
      </w:r>
      <w:proofErr w:type="spellEnd"/>
      <w:r>
        <w:rPr>
          <w:b/>
          <w:bCs/>
          <w:i/>
          <w:iCs/>
        </w:rPr>
        <w:t xml:space="preserve"> </w:t>
      </w:r>
      <w:proofErr w:type="spellStart"/>
      <w:r>
        <w:rPr>
          <w:b/>
          <w:bCs/>
          <w:i/>
          <w:iCs/>
        </w:rPr>
        <w:t>Disease</w:t>
      </w:r>
      <w:proofErr w:type="spellEnd"/>
      <w:r>
        <w:rPr>
          <w:b/>
          <w:bCs/>
          <w:i/>
          <w:iCs/>
        </w:rPr>
        <w:t xml:space="preserve">. Philadelphia: </w:t>
      </w:r>
      <w:proofErr w:type="spellStart"/>
      <w:r>
        <w:rPr>
          <w:b/>
          <w:bCs/>
          <w:i/>
          <w:iCs/>
        </w:rPr>
        <w:t>Lippincott</w:t>
      </w:r>
      <w:proofErr w:type="spellEnd"/>
      <w:r>
        <w:rPr>
          <w:b/>
          <w:bCs/>
          <w:i/>
          <w:iCs/>
        </w:rPr>
        <w:t xml:space="preserve"> Williams &amp; Wilkins, 2018.</w:t>
      </w:r>
      <w:r>
        <w:br/>
      </w:r>
      <w:r>
        <w:rPr>
          <w:b/>
          <w:bCs/>
        </w:rPr>
        <w:t>RESUMO:</w:t>
      </w:r>
      <w:r>
        <w:t xml:space="preserve"> Tratado sobre o uso de nutrientes e fitoterápicos no manejo de doenças crônicas. A metodologia baseia-se na medicina funcional e integrativa. Os achados detalham como vitaminas, minerais e polifenóis modulam vias inflamatórias e o SEC. O contexto oferece um guia prático para a suplementação baseada em evidências.</w:t>
      </w:r>
      <w:r>
        <w:br/>
      </w:r>
      <w:r>
        <w:rPr>
          <w:b/>
          <w:bCs/>
        </w:rPr>
        <w:t>RELEVÂNCIA:</w:t>
      </w:r>
      <w:r>
        <w:t xml:space="preserve"> Suporte técnico para as intervenções nutricionais mencionadas nos casos clínicos. Conecta a bioquímica nutricional com a modulação do tônus endocanabinoide.</w:t>
      </w:r>
      <w:r>
        <w:br/>
      </w:r>
      <w:r>
        <w:rPr>
          <w:b/>
          <w:bCs/>
        </w:rPr>
        <w:t>LINK ATIVO:</w:t>
      </w:r>
      <w:r>
        <w:t xml:space="preserve"> [URL: https://www.lww.com/]</w:t>
      </w:r>
      <w:r>
        <w:br/>
      </w:r>
      <w:r>
        <w:rPr>
          <w:b/>
          <w:bCs/>
        </w:rPr>
        <w:t>ACESSO:</w:t>
      </w:r>
      <w:r>
        <w:t xml:space="preserve"> Pago</w:t>
      </w:r>
    </w:p>
    <w:p w14:paraId="0270731D" w14:textId="77777777" w:rsidR="007C3058" w:rsidRDefault="00000000">
      <w:pPr>
        <w:spacing w:before="60"/>
      </w:pPr>
      <w:r>
        <w:rPr>
          <w:b/>
          <w:bCs/>
          <w:i/>
          <w:iCs/>
        </w:rPr>
        <w:t xml:space="preserve">17. </w:t>
      </w:r>
      <w:proofErr w:type="spellStart"/>
      <w:r>
        <w:rPr>
          <w:b/>
          <w:bCs/>
          <w:i/>
          <w:iCs/>
        </w:rPr>
        <w:t>ESSELSTYN</w:t>
      </w:r>
      <w:proofErr w:type="spellEnd"/>
      <w:r>
        <w:rPr>
          <w:b/>
          <w:bCs/>
          <w:i/>
          <w:iCs/>
        </w:rPr>
        <w:t xml:space="preserve"> JR., Caldwell B. et al. A </w:t>
      </w:r>
      <w:proofErr w:type="spellStart"/>
      <w:r>
        <w:rPr>
          <w:b/>
          <w:bCs/>
          <w:i/>
          <w:iCs/>
        </w:rPr>
        <w:t>way</w:t>
      </w:r>
      <w:proofErr w:type="spellEnd"/>
      <w:r>
        <w:rPr>
          <w:b/>
          <w:bCs/>
          <w:i/>
          <w:iCs/>
        </w:rPr>
        <w:t xml:space="preserve"> </w:t>
      </w:r>
      <w:proofErr w:type="spellStart"/>
      <w:r>
        <w:rPr>
          <w:b/>
          <w:bCs/>
          <w:i/>
          <w:iCs/>
        </w:rPr>
        <w:t>to</w:t>
      </w:r>
      <w:proofErr w:type="spellEnd"/>
      <w:r>
        <w:rPr>
          <w:b/>
          <w:bCs/>
          <w:i/>
          <w:iCs/>
        </w:rPr>
        <w:t xml:space="preserve"> reverse CAD? </w:t>
      </w:r>
      <w:proofErr w:type="spellStart"/>
      <w:r>
        <w:rPr>
          <w:b/>
          <w:bCs/>
          <w:i/>
          <w:iCs/>
        </w:rPr>
        <w:t>Journal</w:t>
      </w:r>
      <w:proofErr w:type="spellEnd"/>
      <w:r>
        <w:rPr>
          <w:b/>
          <w:bCs/>
          <w:i/>
          <w:iCs/>
        </w:rPr>
        <w:t xml:space="preserve"> </w:t>
      </w:r>
      <w:proofErr w:type="spellStart"/>
      <w:r>
        <w:rPr>
          <w:b/>
          <w:bCs/>
          <w:i/>
          <w:iCs/>
        </w:rPr>
        <w:t>of</w:t>
      </w:r>
      <w:proofErr w:type="spellEnd"/>
      <w:r>
        <w:rPr>
          <w:b/>
          <w:bCs/>
          <w:i/>
          <w:iCs/>
        </w:rPr>
        <w:t xml:space="preserve"> Family </w:t>
      </w:r>
      <w:proofErr w:type="spellStart"/>
      <w:r>
        <w:rPr>
          <w:b/>
          <w:bCs/>
          <w:i/>
          <w:iCs/>
        </w:rPr>
        <w:t>Practice</w:t>
      </w:r>
      <w:proofErr w:type="spellEnd"/>
      <w:r>
        <w:rPr>
          <w:b/>
          <w:bCs/>
          <w:i/>
          <w:iCs/>
        </w:rPr>
        <w:t>, v. 63, n. 7, p. 356-364, 2014.</w:t>
      </w:r>
      <w:r>
        <w:rPr>
          <w:b/>
          <w:bCs/>
        </w:rPr>
        <w:t>RESUMO:</w:t>
      </w:r>
      <w:r>
        <w:t xml:space="preserve"> Artigo que resume os benefícios de uma dieta </w:t>
      </w:r>
      <w:proofErr w:type="spellStart"/>
      <w:r>
        <w:rPr>
          <w:i/>
          <w:iCs/>
        </w:rPr>
        <w:t>plant-based</w:t>
      </w:r>
      <w:proofErr w:type="spellEnd"/>
      <w:r>
        <w:t xml:space="preserve"> na reversão da doença arterial coronariana (CAD). A metodologia foca na adesão do paciente e nos resultados angiográficos. Os achados confirmam que a mudança de estilo de vida é superior a muitos procedimentos invasivos em termos de longevidade e qualidade de vida. O contexto reforça a MEV como medicina de alta tecnologia biológica.</w:t>
      </w:r>
      <w:r>
        <w:br/>
      </w:r>
      <w:r>
        <w:rPr>
          <w:b/>
          <w:bCs/>
        </w:rPr>
        <w:t>RELEVÂNCIA:</w:t>
      </w:r>
      <w:r>
        <w:t xml:space="preserve"> Reforça a Seção 5 e a ideia de que o paciente detém as chaves para sua própria recuperação cardiovascular através de escolhas diárias.</w:t>
      </w:r>
      <w:r>
        <w:br/>
      </w:r>
      <w:r>
        <w:rPr>
          <w:b/>
          <w:bCs/>
        </w:rPr>
        <w:t>LINK ATIVO:</w:t>
      </w:r>
      <w:r>
        <w:t xml:space="preserve"> [URL: https://pubmed.ncbi.nlm.nih.gov/25254614/]</w:t>
      </w:r>
      <w:r>
        <w:br/>
      </w:r>
      <w:r>
        <w:rPr>
          <w:b/>
          <w:bCs/>
        </w:rPr>
        <w:t>ACESSO:</w:t>
      </w:r>
      <w:r>
        <w:t xml:space="preserve"> Open Access</w:t>
      </w:r>
    </w:p>
    <w:p w14:paraId="2EFCC8D2" w14:textId="77777777" w:rsidR="007C3058" w:rsidRDefault="00000000">
      <w:pPr>
        <w:spacing w:before="60"/>
      </w:pPr>
      <w:r>
        <w:rPr>
          <w:b/>
          <w:bCs/>
          <w:i/>
          <w:iCs/>
        </w:rPr>
        <w:t xml:space="preserve">18. </w:t>
      </w:r>
      <w:proofErr w:type="spellStart"/>
      <w:r>
        <w:rPr>
          <w:b/>
          <w:bCs/>
          <w:i/>
          <w:iCs/>
        </w:rPr>
        <w:t>POLLAN</w:t>
      </w:r>
      <w:proofErr w:type="spellEnd"/>
      <w:r>
        <w:rPr>
          <w:b/>
          <w:bCs/>
          <w:i/>
          <w:iCs/>
        </w:rPr>
        <w:t xml:space="preserve">, Michael. In Defense </w:t>
      </w:r>
      <w:proofErr w:type="spellStart"/>
      <w:r>
        <w:rPr>
          <w:b/>
          <w:bCs/>
          <w:i/>
          <w:iCs/>
        </w:rPr>
        <w:t>of</w:t>
      </w:r>
      <w:proofErr w:type="spellEnd"/>
      <w:r>
        <w:rPr>
          <w:b/>
          <w:bCs/>
          <w:i/>
          <w:iCs/>
        </w:rPr>
        <w:t xml:space="preserve"> Food: </w:t>
      </w:r>
      <w:proofErr w:type="spellStart"/>
      <w:r>
        <w:rPr>
          <w:b/>
          <w:bCs/>
          <w:i/>
          <w:iCs/>
        </w:rPr>
        <w:t>An</w:t>
      </w:r>
      <w:proofErr w:type="spellEnd"/>
      <w:r>
        <w:rPr>
          <w:b/>
          <w:bCs/>
          <w:i/>
          <w:iCs/>
        </w:rPr>
        <w:t xml:space="preserve"> </w:t>
      </w:r>
      <w:proofErr w:type="spellStart"/>
      <w:r>
        <w:rPr>
          <w:b/>
          <w:bCs/>
          <w:i/>
          <w:iCs/>
        </w:rPr>
        <w:t>Eater's</w:t>
      </w:r>
      <w:proofErr w:type="spellEnd"/>
      <w:r>
        <w:rPr>
          <w:b/>
          <w:bCs/>
          <w:i/>
          <w:iCs/>
        </w:rPr>
        <w:t xml:space="preserve"> Manifesto. New York: </w:t>
      </w:r>
      <w:proofErr w:type="spellStart"/>
      <w:r>
        <w:rPr>
          <w:b/>
          <w:bCs/>
          <w:i/>
          <w:iCs/>
        </w:rPr>
        <w:t>Penguin</w:t>
      </w:r>
      <w:proofErr w:type="spellEnd"/>
      <w:r>
        <w:rPr>
          <w:b/>
          <w:bCs/>
          <w:i/>
          <w:iCs/>
        </w:rPr>
        <w:t xml:space="preserve"> Press, 2008.</w:t>
      </w:r>
      <w:r>
        <w:br/>
      </w:r>
      <w:r>
        <w:rPr>
          <w:b/>
          <w:bCs/>
        </w:rPr>
        <w:t>RESUMO:</w:t>
      </w:r>
      <w:r>
        <w:t xml:space="preserve"> </w:t>
      </w:r>
      <w:proofErr w:type="spellStart"/>
      <w:r>
        <w:t>Pollan</w:t>
      </w:r>
      <w:proofErr w:type="spellEnd"/>
      <w:r>
        <w:t xml:space="preserve"> critica o "nutricionismo" (a obsessão por nutrientes isolados) e defende o retorno à comida de verdade. Sua metodologia é jornalística e histórica. Os achados resumem-se na máxima: "Coma comida. Não em excesso. Principalmente plantas". O contexto discute como a dieta ocidental moderna desregula nossa biologia e como a simplicidade alimentar é a chave para a saúde.</w:t>
      </w:r>
      <w:r>
        <w:br/>
      </w:r>
      <w:r>
        <w:rPr>
          <w:b/>
          <w:bCs/>
        </w:rPr>
        <w:t>RELEVÂNCIA:</w:t>
      </w:r>
      <w:r>
        <w:t xml:space="preserve"> Oferece uma base cultural e prática para o pilar nutricional da MEV. Ajuda mães e gestantes a navegarem na confusão de informações nutricionais, focando no que realmente importa para a soberania biológica.</w:t>
      </w:r>
      <w:r>
        <w:br/>
      </w:r>
      <w:r>
        <w:rPr>
          <w:b/>
          <w:bCs/>
        </w:rPr>
        <w:t>LINK ATIVO:</w:t>
      </w:r>
      <w:r>
        <w:t xml:space="preserve"> [URL: https://michaelpollan.com/books/in-defense-of-food/]</w:t>
      </w:r>
      <w:r>
        <w:br/>
      </w:r>
      <w:r>
        <w:rPr>
          <w:b/>
          <w:bCs/>
        </w:rPr>
        <w:t>ACESSO:</w:t>
      </w:r>
      <w:r>
        <w:t xml:space="preserve"> Pago</w:t>
      </w:r>
    </w:p>
    <w:p w14:paraId="32B0FD5A" w14:textId="77777777" w:rsidR="007C3058" w:rsidRDefault="007C3058">
      <w:pPr>
        <w:pBdr>
          <w:bottom w:val="single" w:sz="6" w:space="0" w:color="CCCCCC"/>
        </w:pBdr>
        <w:spacing w:before="200" w:after="200"/>
      </w:pPr>
    </w:p>
    <w:p w14:paraId="4AF4471A" w14:textId="77777777" w:rsidR="007C3058" w:rsidRDefault="00000000">
      <w:pPr>
        <w:pStyle w:val="Ttulo2"/>
      </w:pPr>
      <w:r>
        <w:t>NOTAS PARA REVISÃO E MELHORIAS SUGERIDAS</w:t>
      </w:r>
    </w:p>
    <w:p w14:paraId="18588F62" w14:textId="77777777" w:rsidR="007C3058" w:rsidRDefault="00000000">
      <w:pPr>
        <w:spacing w:before="60"/>
        <w:jc w:val="both"/>
      </w:pPr>
      <w:r>
        <w:t>Esta seção apresenta recomendações estratégicas para futuras edições desta apostila, visando aumentar o impacto e a clareza do conteúdo para o público-alvo.</w:t>
      </w:r>
    </w:p>
    <w:p w14:paraId="18815B66" w14:textId="77777777" w:rsidR="007C3058" w:rsidRDefault="00000000">
      <w:pPr>
        <w:pStyle w:val="PargrafodaLista"/>
        <w:numPr>
          <w:ilvl w:val="0"/>
          <w:numId w:val="2"/>
        </w:numPr>
        <w:spacing w:before="40" w:after="40"/>
      </w:pPr>
      <w:r>
        <w:rPr>
          <w:b/>
          <w:bCs/>
        </w:rPr>
        <w:t>APROFUNDAMENTO EM EPIGENÉTICA:</w:t>
      </w:r>
      <w:r>
        <w:t xml:space="preserve"> Sugere-se expandir a explicação sobre metilação de DNA e modificação de histonas. Adicionar uma figura de "gene </w:t>
      </w:r>
      <w:proofErr w:type="spellStart"/>
      <w:r>
        <w:t>expression</w:t>
      </w:r>
      <w:proofErr w:type="spellEnd"/>
      <w:r>
        <w:t xml:space="preserve"> </w:t>
      </w:r>
      <w:proofErr w:type="spellStart"/>
      <w:r>
        <w:t>on</w:t>
      </w:r>
      <w:proofErr w:type="spellEnd"/>
      <w:r>
        <w:t>/off" ajudaria gestantes a visualizar como nutrientes (como folato e colina) e o estado emocional materno atuam como "interruptores" biológicos no feto.</w:t>
      </w:r>
    </w:p>
    <w:p w14:paraId="359C25C2" w14:textId="77777777" w:rsidR="007C3058" w:rsidRDefault="00000000">
      <w:pPr>
        <w:pStyle w:val="PargrafodaLista"/>
        <w:numPr>
          <w:ilvl w:val="0"/>
          <w:numId w:val="2"/>
        </w:numPr>
        <w:spacing w:before="40" w:after="40"/>
      </w:pPr>
      <w:r>
        <w:rPr>
          <w:b/>
          <w:bCs/>
        </w:rPr>
        <w:t>PROTOCOLO 3-3-3-6:</w:t>
      </w:r>
      <w:r>
        <w:t xml:space="preserve"> Na seção de Movimento (MEV), a inclusão deste protocolo de HIIT (3 min aquecimento, 30s intenso + 90s recuperação x 6) seria um diferencial prático para mães com pouco tempo, demonstrando eficiência científica em janelas curtas.</w:t>
      </w:r>
    </w:p>
    <w:p w14:paraId="426144D0" w14:textId="77777777" w:rsidR="007C3058" w:rsidRDefault="00000000">
      <w:pPr>
        <w:pStyle w:val="PargrafodaLista"/>
        <w:numPr>
          <w:ilvl w:val="0"/>
          <w:numId w:val="2"/>
        </w:numPr>
        <w:spacing w:before="40" w:after="40"/>
      </w:pPr>
      <w:r>
        <w:rPr>
          <w:b/>
          <w:bCs/>
        </w:rPr>
        <w:t xml:space="preserve">CETOSE E </w:t>
      </w:r>
      <w:proofErr w:type="spellStart"/>
      <w:r>
        <w:rPr>
          <w:b/>
          <w:bCs/>
        </w:rPr>
        <w:t>COGNITIVE</w:t>
      </w:r>
      <w:proofErr w:type="spellEnd"/>
      <w:r>
        <w:rPr>
          <w:b/>
          <w:bCs/>
        </w:rPr>
        <w:t xml:space="preserve"> DOPING:</w:t>
      </w:r>
      <w:r>
        <w:t xml:space="preserve"> Adicionar um box sobre cetose cíclica como ferramenta de hormese cognitiva. Explicar o papel do β-hidroxibutirato como combustível superior para o cérebro em estados de alta demanda mental, diferenciando-o de dietas restritivas extremas.</w:t>
      </w:r>
    </w:p>
    <w:p w14:paraId="2899C864" w14:textId="77777777" w:rsidR="007C3058" w:rsidRDefault="00000000">
      <w:pPr>
        <w:pStyle w:val="PargrafodaLista"/>
        <w:numPr>
          <w:ilvl w:val="0"/>
          <w:numId w:val="2"/>
        </w:numPr>
        <w:spacing w:before="40" w:after="40"/>
      </w:pPr>
      <w:r>
        <w:rPr>
          <w:b/>
          <w:bCs/>
        </w:rPr>
        <w:t xml:space="preserve">HISTÓRIA FAMILIAR (TELA </w:t>
      </w:r>
      <w:proofErr w:type="spellStart"/>
      <w:r>
        <w:rPr>
          <w:b/>
          <w:bCs/>
        </w:rPr>
        <w:t>HF</w:t>
      </w:r>
      <w:proofErr w:type="spellEnd"/>
      <w:r>
        <w:rPr>
          <w:b/>
          <w:bCs/>
        </w:rPr>
        <w:t>):</w:t>
      </w:r>
      <w:r>
        <w:t xml:space="preserve"> Na seção de Soberania, incluir uma ferramenta de exploração da história familiar emocional. Isso permitiria que o casal identificasse padrões transgeracionais que podem estar afetando o tônus vagal e a saúde atual.</w:t>
      </w:r>
    </w:p>
    <w:p w14:paraId="2EA95C3A" w14:textId="77777777" w:rsidR="007C3058" w:rsidRDefault="00000000">
      <w:pPr>
        <w:pStyle w:val="PargrafodaLista"/>
        <w:numPr>
          <w:ilvl w:val="0"/>
          <w:numId w:val="2"/>
        </w:numPr>
        <w:spacing w:before="40" w:after="40"/>
      </w:pPr>
      <w:r>
        <w:rPr>
          <w:b/>
          <w:bCs/>
        </w:rPr>
        <w:t>CLAREZA NA TEORIA POLIVAGAL:</w:t>
      </w:r>
      <w:r>
        <w:t xml:space="preserve"> O conteúdo atual é denso. Recomenda-se quebrar a Seção 3 em </w:t>
      </w:r>
      <w:proofErr w:type="spellStart"/>
      <w:r>
        <w:t>sub-tópicos</w:t>
      </w:r>
      <w:proofErr w:type="spellEnd"/>
      <w:r>
        <w:t xml:space="preserve"> mais visuais, utilizando um "fluxo de segurança" que mostre a sequência: Estímulo → Neurocepção → Estado Vagal → Comportamento.</w:t>
      </w:r>
    </w:p>
    <w:p w14:paraId="3243E3E1" w14:textId="77777777" w:rsidR="007C3058" w:rsidRDefault="00000000">
      <w:pPr>
        <w:pStyle w:val="PargrafodaLista"/>
        <w:numPr>
          <w:ilvl w:val="0"/>
          <w:numId w:val="2"/>
        </w:numPr>
        <w:spacing w:before="40" w:after="40"/>
      </w:pPr>
      <w:r>
        <w:rPr>
          <w:b/>
          <w:bCs/>
        </w:rPr>
        <w:t>TIMELINE NOS CASOS CLÍNICOS:</w:t>
      </w:r>
      <w:r>
        <w:t xml:space="preserve"> Adicionar uma linha do tempo (Meses 0, 3, 6) para cada caso clínico. Isso ajudaria a gerenciar as expectativas do leitor, mostrando que a restauração biológica é um processo gradual e consistente, não um resultado instantâneo.</w:t>
      </w:r>
    </w:p>
    <w:p w14:paraId="7189FB2A" w14:textId="77777777" w:rsidR="007C3058" w:rsidRDefault="00000000">
      <w:pPr>
        <w:pStyle w:val="PargrafodaLista"/>
        <w:numPr>
          <w:ilvl w:val="0"/>
          <w:numId w:val="2"/>
        </w:numPr>
        <w:spacing w:before="40" w:after="40"/>
      </w:pPr>
      <w:r>
        <w:rPr>
          <w:b/>
          <w:bCs/>
        </w:rPr>
        <w:t>GLOSSÁRIO TÉCNICO:</w:t>
      </w:r>
      <w:r>
        <w:t xml:space="preserve"> A inclusão de um glossário com termos como "PNEI", "Anandamida", "Sirtuínas" e "</w:t>
      </w:r>
      <w:proofErr w:type="spellStart"/>
      <w:r>
        <w:t>Neuroception</w:t>
      </w:r>
      <w:proofErr w:type="spellEnd"/>
      <w:r>
        <w:t>" facilitaria a leitura para o público leigo, servindo como uma ponte de conhecimento.</w:t>
      </w:r>
    </w:p>
    <w:p w14:paraId="55755E96" w14:textId="77777777" w:rsidR="007C3058" w:rsidRDefault="00000000">
      <w:pPr>
        <w:pStyle w:val="PargrafodaLista"/>
        <w:numPr>
          <w:ilvl w:val="0"/>
          <w:numId w:val="2"/>
        </w:numPr>
        <w:spacing w:before="40" w:after="40"/>
      </w:pPr>
      <w:r>
        <w:rPr>
          <w:b/>
          <w:bCs/>
        </w:rPr>
        <w:t>ÍNDICE DE ILUSTRAÇÕES:</w:t>
      </w:r>
      <w:r>
        <w:t xml:space="preserve"> Criar uma página dedicada listando todas as ilustrações sugeridas com seus respectivos links de referência, facilitando o trabalho de diagramação final.</w:t>
      </w:r>
    </w:p>
    <w:p w14:paraId="12BA82BA" w14:textId="77777777" w:rsidR="007C3058" w:rsidRDefault="00000000">
      <w:pPr>
        <w:pStyle w:val="PargrafodaLista"/>
        <w:numPr>
          <w:ilvl w:val="0"/>
          <w:numId w:val="2"/>
        </w:numPr>
        <w:spacing w:before="40" w:after="40"/>
      </w:pPr>
      <w:r>
        <w:rPr>
          <w:b/>
          <w:bCs/>
        </w:rPr>
        <w:t>AMPLIAÇÃO DOS ALERTAS:</w:t>
      </w:r>
      <w:r>
        <w:t xml:space="preserve"> Criar um fluxograma de decisão: "Quando procurar cada profissional?". Isso reduziria a ansiedade do público materno e ofereceria clareza na navegação pelo sistema de saúde.</w:t>
      </w:r>
    </w:p>
    <w:p w14:paraId="1835D212" w14:textId="77777777" w:rsidR="007C3058" w:rsidRDefault="00000000">
      <w:pPr>
        <w:pStyle w:val="PargrafodaLista"/>
        <w:numPr>
          <w:ilvl w:val="0"/>
          <w:numId w:val="2"/>
        </w:numPr>
        <w:spacing w:before="40" w:after="40"/>
      </w:pPr>
      <w:r>
        <w:rPr>
          <w:b/>
          <w:bCs/>
        </w:rPr>
        <w:t>CONCLUSÃO REFLEXIVA:</w:t>
      </w:r>
      <w:r>
        <w:t xml:space="preserve"> Finalizar com um convite à ação direta, reforçando o tom provocativo. "A soberania biológica começa com a próxima respiração e a próxima escolha alimentar."</w:t>
      </w:r>
    </w:p>
    <w:p w14:paraId="63C8AE5D" w14:textId="77777777" w:rsidR="007C3058" w:rsidRDefault="007C3058">
      <w:pPr>
        <w:pBdr>
          <w:bottom w:val="single" w:sz="6" w:space="0" w:color="CCCCCC"/>
        </w:pBdr>
        <w:spacing w:before="200" w:after="200"/>
      </w:pPr>
    </w:p>
    <w:p w14:paraId="24D61DF9" w14:textId="77777777" w:rsidR="007C3058" w:rsidRDefault="00000000">
      <w:pPr>
        <w:spacing w:before="60"/>
        <w:jc w:val="center"/>
      </w:pPr>
      <w:r>
        <w:rPr>
          <w:color w:val="9E9E9E"/>
          <w:sz w:val="18"/>
          <w:szCs w:val="18"/>
        </w:rPr>
        <w:t>DOCUMENTO REVISADO E PRONTO PARA ILUSTRAÇÃO - 08 de maio de 2026</w:t>
      </w:r>
    </w:p>
    <w:p w14:paraId="45489A6B" w14:textId="77777777" w:rsidR="007C3058" w:rsidRDefault="00000000">
      <w:pPr>
        <w:spacing w:before="60"/>
        <w:jc w:val="center"/>
        <w:rPr>
          <w:color w:val="9E9E9E"/>
          <w:sz w:val="15"/>
          <w:szCs w:val="15"/>
        </w:rPr>
      </w:pPr>
      <w:r>
        <w:rPr>
          <w:color w:val="9E9E9E"/>
          <w:sz w:val="15"/>
          <w:szCs w:val="15"/>
        </w:rPr>
        <w:t>Para questões sobre conteúdo, melhorias ou ilustrações, consulte a seção de revisão nesta versão.</w:t>
      </w:r>
    </w:p>
    <w:p w14:paraId="4DBB683E" w14:textId="77777777" w:rsidR="001E7CC8" w:rsidRPr="001E7CC8" w:rsidRDefault="001E7CC8" w:rsidP="001E7CC8">
      <w:pPr>
        <w:jc w:val="right"/>
      </w:pPr>
    </w:p>
    <w:sectPr w:rsidR="001E7CC8" w:rsidRPr="001E7CC8">
      <w:footerReference w:type="default" r:id="rId7"/>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C2CD0D" w14:textId="77777777" w:rsidR="009D0EDD" w:rsidRDefault="009D0EDD" w:rsidP="001E7CC8">
      <w:pPr>
        <w:spacing w:after="0" w:line="240" w:lineRule="auto"/>
      </w:pPr>
      <w:r>
        <w:separator/>
      </w:r>
    </w:p>
  </w:endnote>
  <w:endnote w:type="continuationSeparator" w:id="0">
    <w:p w14:paraId="63891ACA" w14:textId="77777777" w:rsidR="009D0EDD" w:rsidRDefault="009D0EDD" w:rsidP="001E7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175263"/>
      <w:docPartObj>
        <w:docPartGallery w:val="Page Numbers (Bottom of Page)"/>
        <w:docPartUnique/>
      </w:docPartObj>
    </w:sdtPr>
    <w:sdtContent>
      <w:p w14:paraId="2FCF394B" w14:textId="079DF697" w:rsidR="001E7CC8" w:rsidRDefault="001E7CC8">
        <w:pPr>
          <w:pStyle w:val="Rodap"/>
          <w:jc w:val="right"/>
        </w:pPr>
        <w:r>
          <w:fldChar w:fldCharType="begin"/>
        </w:r>
        <w:r>
          <w:instrText>PAGE   \* MERGEFORMAT</w:instrText>
        </w:r>
        <w:r>
          <w:fldChar w:fldCharType="separate"/>
        </w:r>
        <w:r>
          <w:t>2</w:t>
        </w:r>
        <w:r>
          <w:fldChar w:fldCharType="end"/>
        </w:r>
      </w:p>
    </w:sdtContent>
  </w:sdt>
  <w:p w14:paraId="1C203929" w14:textId="77777777" w:rsidR="001E7CC8" w:rsidRDefault="001E7CC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0C2317" w14:textId="77777777" w:rsidR="009D0EDD" w:rsidRDefault="009D0EDD" w:rsidP="001E7CC8">
      <w:pPr>
        <w:spacing w:after="0" w:line="240" w:lineRule="auto"/>
      </w:pPr>
      <w:r>
        <w:separator/>
      </w:r>
    </w:p>
  </w:footnote>
  <w:footnote w:type="continuationSeparator" w:id="0">
    <w:p w14:paraId="7CD77025" w14:textId="77777777" w:rsidR="009D0EDD" w:rsidRDefault="009D0EDD" w:rsidP="001E7C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EE35EA"/>
    <w:multiLevelType w:val="hybridMultilevel"/>
    <w:tmpl w:val="34ECB24C"/>
    <w:lvl w:ilvl="0" w:tplc="C486BF62">
      <w:start w:val="1"/>
      <w:numFmt w:val="bullet"/>
      <w:lvlText w:val="●"/>
      <w:lvlJc w:val="left"/>
      <w:pPr>
        <w:ind w:left="720" w:hanging="360"/>
      </w:pPr>
    </w:lvl>
    <w:lvl w:ilvl="1" w:tplc="AE407C0A">
      <w:start w:val="1"/>
      <w:numFmt w:val="bullet"/>
      <w:lvlText w:val="○"/>
      <w:lvlJc w:val="left"/>
      <w:pPr>
        <w:ind w:left="1440" w:hanging="360"/>
      </w:pPr>
    </w:lvl>
    <w:lvl w:ilvl="2" w:tplc="EAD48458">
      <w:start w:val="1"/>
      <w:numFmt w:val="bullet"/>
      <w:lvlText w:val="■"/>
      <w:lvlJc w:val="left"/>
      <w:pPr>
        <w:ind w:left="2160" w:hanging="360"/>
      </w:pPr>
    </w:lvl>
    <w:lvl w:ilvl="3" w:tplc="9092BE24">
      <w:start w:val="1"/>
      <w:numFmt w:val="bullet"/>
      <w:lvlText w:val="●"/>
      <w:lvlJc w:val="left"/>
      <w:pPr>
        <w:ind w:left="2880" w:hanging="360"/>
      </w:pPr>
    </w:lvl>
    <w:lvl w:ilvl="4" w:tplc="1CE0084C">
      <w:start w:val="1"/>
      <w:numFmt w:val="bullet"/>
      <w:lvlText w:val="○"/>
      <w:lvlJc w:val="left"/>
      <w:pPr>
        <w:ind w:left="3600" w:hanging="360"/>
      </w:pPr>
    </w:lvl>
    <w:lvl w:ilvl="5" w:tplc="B838E44A">
      <w:start w:val="1"/>
      <w:numFmt w:val="bullet"/>
      <w:lvlText w:val="■"/>
      <w:lvlJc w:val="left"/>
      <w:pPr>
        <w:ind w:left="4320" w:hanging="360"/>
      </w:pPr>
    </w:lvl>
    <w:lvl w:ilvl="6" w:tplc="A9BAC428">
      <w:start w:val="1"/>
      <w:numFmt w:val="bullet"/>
      <w:lvlText w:val="●"/>
      <w:lvlJc w:val="left"/>
      <w:pPr>
        <w:ind w:left="5040" w:hanging="360"/>
      </w:pPr>
    </w:lvl>
    <w:lvl w:ilvl="7" w:tplc="E4728848">
      <w:start w:val="1"/>
      <w:numFmt w:val="bullet"/>
      <w:lvlText w:val="●"/>
      <w:lvlJc w:val="left"/>
      <w:pPr>
        <w:ind w:left="5760" w:hanging="360"/>
      </w:pPr>
    </w:lvl>
    <w:lvl w:ilvl="8" w:tplc="93023AB4">
      <w:start w:val="1"/>
      <w:numFmt w:val="bullet"/>
      <w:lvlText w:val="●"/>
      <w:lvlJc w:val="left"/>
      <w:pPr>
        <w:ind w:left="6480" w:hanging="360"/>
      </w:pPr>
    </w:lvl>
  </w:abstractNum>
  <w:abstractNum w:abstractNumId="1" w15:restartNumberingAfterBreak="0">
    <w:nsid w:val="48175281"/>
    <w:multiLevelType w:val="hybridMultilevel"/>
    <w:tmpl w:val="C60C5FA2"/>
    <w:lvl w:ilvl="0" w:tplc="25569C42">
      <w:start w:val="1"/>
      <w:numFmt w:val="decimal"/>
      <w:lvlText w:val="%1."/>
      <w:lvlJc w:val="left"/>
      <w:pPr>
        <w:ind w:left="720" w:hanging="360"/>
      </w:pPr>
    </w:lvl>
    <w:lvl w:ilvl="1" w:tplc="0528348C">
      <w:numFmt w:val="decimal"/>
      <w:lvlText w:val=""/>
      <w:lvlJc w:val="left"/>
    </w:lvl>
    <w:lvl w:ilvl="2" w:tplc="6AFA77E0">
      <w:numFmt w:val="decimal"/>
      <w:lvlText w:val=""/>
      <w:lvlJc w:val="left"/>
    </w:lvl>
    <w:lvl w:ilvl="3" w:tplc="43EC3B1A">
      <w:numFmt w:val="decimal"/>
      <w:lvlText w:val=""/>
      <w:lvlJc w:val="left"/>
    </w:lvl>
    <w:lvl w:ilvl="4" w:tplc="D8C0BEDA">
      <w:numFmt w:val="decimal"/>
      <w:lvlText w:val=""/>
      <w:lvlJc w:val="left"/>
    </w:lvl>
    <w:lvl w:ilvl="5" w:tplc="4DE819BA">
      <w:numFmt w:val="decimal"/>
      <w:lvlText w:val=""/>
      <w:lvlJc w:val="left"/>
    </w:lvl>
    <w:lvl w:ilvl="6" w:tplc="6656710A">
      <w:numFmt w:val="decimal"/>
      <w:lvlText w:val=""/>
      <w:lvlJc w:val="left"/>
    </w:lvl>
    <w:lvl w:ilvl="7" w:tplc="EB4C464E">
      <w:numFmt w:val="decimal"/>
      <w:lvlText w:val=""/>
      <w:lvlJc w:val="left"/>
    </w:lvl>
    <w:lvl w:ilvl="8" w:tplc="B44C5D4A">
      <w:numFmt w:val="decimal"/>
      <w:lvlText w:val=""/>
      <w:lvlJc w:val="left"/>
    </w:lvl>
  </w:abstractNum>
  <w:num w:numId="1" w16cid:durableId="1293361172">
    <w:abstractNumId w:val="0"/>
    <w:lvlOverride w:ilvl="0">
      <w:startOverride w:val="1"/>
    </w:lvlOverride>
  </w:num>
  <w:num w:numId="2" w16cid:durableId="9872494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058"/>
    <w:rsid w:val="001E7CC8"/>
    <w:rsid w:val="005367D5"/>
    <w:rsid w:val="007C3058"/>
    <w:rsid w:val="009D0EDD"/>
    <w:rsid w:val="00CF408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818C5"/>
  <w15:docId w15:val="{B7CA1992-E080-4041-BAE5-AAAD5AB98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sz w:val="52"/>
      <w:szCs w:val="52"/>
    </w:rPr>
  </w:style>
  <w:style w:type="paragraph" w:styleId="Ttulo2">
    <w:name w:val="heading 2"/>
    <w:uiPriority w:val="9"/>
    <w:unhideWhenUsed/>
    <w:qFormat/>
    <w:pPr>
      <w:spacing w:before="360" w:after="180"/>
      <w:outlineLvl w:val="1"/>
    </w:pPr>
    <w:rPr>
      <w:b/>
      <w:bCs/>
      <w:sz w:val="36"/>
      <w:szCs w:val="36"/>
    </w:rPr>
  </w:style>
  <w:style w:type="paragraph" w:styleId="Ttulo3">
    <w:name w:val="heading 3"/>
    <w:uiPriority w:val="9"/>
    <w:unhideWhenUsed/>
    <w:qFormat/>
    <w:pPr>
      <w:spacing w:before="240"/>
      <w:outlineLvl w:val="2"/>
    </w:pPr>
    <w:rPr>
      <w:b/>
      <w:bCs/>
      <w:sz w:val="28"/>
      <w:szCs w:val="2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pPr>
      <w:spacing w:after="0" w:line="240" w:lineRule="auto"/>
    </w:pPr>
    <w:rPr>
      <w:sz w:val="20"/>
      <w:szCs w:val="20"/>
    </w:rPr>
  </w:style>
  <w:style w:type="character" w:customStyle="1" w:styleId="TextodenotaderodapChar">
    <w:name w:val="Texto de nota de rodapé Char"/>
    <w:link w:val="Textodenotaderodap"/>
    <w:uiPriority w:val="99"/>
    <w:semiHidden/>
    <w:unhideWhenUsed/>
    <w:rPr>
      <w:sz w:val="20"/>
      <w:szCs w:val="20"/>
    </w:rPr>
  </w:style>
  <w:style w:type="paragraph" w:styleId="Cabealho">
    <w:name w:val="header"/>
    <w:basedOn w:val="Normal"/>
    <w:link w:val="CabealhoChar"/>
    <w:uiPriority w:val="99"/>
    <w:unhideWhenUsed/>
    <w:rsid w:val="001E7CC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E7CC8"/>
  </w:style>
  <w:style w:type="paragraph" w:styleId="Rodap">
    <w:name w:val="footer"/>
    <w:basedOn w:val="Normal"/>
    <w:link w:val="RodapChar"/>
    <w:uiPriority w:val="99"/>
    <w:unhideWhenUsed/>
    <w:rsid w:val="001E7CC8"/>
    <w:pPr>
      <w:tabs>
        <w:tab w:val="center" w:pos="4252"/>
        <w:tab w:val="right" w:pos="8504"/>
      </w:tabs>
      <w:spacing w:after="0" w:line="240" w:lineRule="auto"/>
    </w:pPr>
  </w:style>
  <w:style w:type="character" w:customStyle="1" w:styleId="RodapChar">
    <w:name w:val="Rodapé Char"/>
    <w:basedOn w:val="Fontepargpadro"/>
    <w:link w:val="Rodap"/>
    <w:uiPriority w:val="99"/>
    <w:rsid w:val="001E7C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FFFF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4664</Words>
  <Characters>25186</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Olair Rafael Silva Jr</cp:lastModifiedBy>
  <cp:revision>2</cp:revision>
  <dcterms:created xsi:type="dcterms:W3CDTF">2026-05-08T10:45:00Z</dcterms:created>
  <dcterms:modified xsi:type="dcterms:W3CDTF">2026-05-08T20:02:00Z</dcterms:modified>
</cp:coreProperties>
</file>