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8A9AD" w14:textId="77777777" w:rsidR="0099171F" w:rsidRDefault="0099171F" w:rsidP="0099171F">
      <w:pPr>
        <w:pStyle w:val="Ttulo2"/>
      </w:pPr>
      <w:r>
        <w:t>DIMENSÃO 7: LAZER E RECREAÇÃO</w:t>
      </w:r>
    </w:p>
    <w:p w14:paraId="0A220627" w14:textId="77777777" w:rsidR="0099171F" w:rsidRDefault="0099171F" w:rsidP="0099171F">
      <w:pPr>
        <w:pStyle w:val="Ttulo3"/>
      </w:pPr>
      <w:r>
        <w:t>Ser-no-mundo: A Liberdade como Jogo e Criação</w:t>
      </w:r>
    </w:p>
    <w:p w14:paraId="5652B167" w14:textId="77777777" w:rsidR="0099171F" w:rsidRDefault="0099171F" w:rsidP="0099171F">
      <w:r>
        <w:t>FUNDAMENTAÇÃO TEÓRICA</w:t>
      </w:r>
    </w:p>
    <w:p w14:paraId="3D6CA5D5" w14:textId="77777777" w:rsidR="0099171F" w:rsidRDefault="0099171F" w:rsidP="0099171F">
      <w:pPr>
        <w:spacing w:before="60"/>
      </w:pPr>
      <w:r>
        <w:t xml:space="preserve">O lazer não é mero descanso do trabalho, mas forma de ser autêntica. </w:t>
      </w:r>
      <w:proofErr w:type="spellStart"/>
      <w:r>
        <w:t>Huizinga</w:t>
      </w:r>
      <w:proofErr w:type="spellEnd"/>
      <w:r>
        <w:t xml:space="preserve">, em </w:t>
      </w:r>
      <w:r>
        <w:rPr>
          <w:i/>
          <w:iCs/>
        </w:rPr>
        <w:t xml:space="preserve">Homo </w:t>
      </w:r>
      <w:proofErr w:type="spellStart"/>
      <w:r>
        <w:rPr>
          <w:i/>
          <w:iCs/>
        </w:rPr>
        <w:t>Ludens</w:t>
      </w:r>
      <w:proofErr w:type="spellEnd"/>
      <w:r>
        <w:t xml:space="preserve">, demonstra que o jogo é anterior à cultura — é através do jogo que criamos significado e nos relacionamos. O jogo é atividade livre, desinteressada, que cria seu próprio espaço e tempo. Gadamer vai além: a compreensão é sempre um jogo, uma fusão de horizontes entre intérprete e texto. A vida é jogo no sentido de que nunca controlamos completamente o resultado. Nietzsche vê o jogo como afirmação da vida — a capacidade de brincar, de criar sem propósito utilitário, é sinal de saúde e potência. A criança que brinca é mais sábia que o adulto que trabalha sem alegria. Foucault mostra que o lazer é espaço onde o poder se exerce de forma sutil — através do consumo, do turismo, da indústria do entretenimento. A imprecisão aqui é que o lazer nunca é totalmente "livre" — sempre está mediado por estruturas sociais e econômicas. Mas há espaço para autenticidade, para criação genuína. O lazer autêntico é aquele que nos permite ser, não apenas ter. É tempo </w:t>
      </w:r>
      <w:proofErr w:type="gramStart"/>
      <w:r>
        <w:t>onde</w:t>
      </w:r>
      <w:proofErr w:type="gramEnd"/>
      <w:r>
        <w:t xml:space="preserve"> a vida é vivida por si mesma, não como meio para outro fim.</w:t>
      </w:r>
    </w:p>
    <w:p w14:paraId="0C22BCBD" w14:textId="77777777" w:rsidR="0099171F" w:rsidRDefault="0099171F" w:rsidP="0099171F">
      <w:r>
        <w:t>RESUMO (15 LINHAS)</w:t>
      </w:r>
    </w:p>
    <w:p w14:paraId="2BAF68C4" w14:textId="77777777" w:rsidR="0099171F" w:rsidRDefault="0099171F" w:rsidP="0099171F">
      <w:pPr>
        <w:spacing w:before="60"/>
      </w:pPr>
      <w:r>
        <w:t xml:space="preserve">O lazer é forma de ser autêntica, não mero descanso do trabalho. </w:t>
      </w:r>
      <w:proofErr w:type="spellStart"/>
      <w:r>
        <w:t>Huizinga</w:t>
      </w:r>
      <w:proofErr w:type="spellEnd"/>
      <w:r>
        <w:t xml:space="preserve"> demonstra que o jogo é anterior à cultura e fundamental para criar significado. O jogo é atividade livre, desinteressada, que cria seu próprio espaço e tempo. Gadamer mostra que a compreensão é sempre um jogo, uma fusão de horizontes. A vida é jogo no sentido de que nunca controlamos completamente o resultado. Nietzsche vê o jogo como afirmação da vida e sinal de potência. A criança que brinca é mais sábia que o adulto que trabalha sem alegria. O lazer autêntico permite ser, não apenas ter ou fazer. Foucault mostra que o lazer é espaço onde o poder se exerce através do consumo. A indústria do entretenimento medeia nossa relação com o lazer. A imprecisão reside em que o lazer nunca é totalmente "livre" — sempre mediado socialmente. Mas há espaço para autenticidade e criação genuína. O lazer é tempo </w:t>
      </w:r>
      <w:proofErr w:type="gramStart"/>
      <w:r>
        <w:t>onde</w:t>
      </w:r>
      <w:proofErr w:type="gramEnd"/>
      <w:r>
        <w:t xml:space="preserve"> a vida é vivida por si mesma, não como meio. Ele é tanto descanso quanto afirmação da vida. O lazer define a qualidade de nossa existência além do trabalho.</w:t>
      </w:r>
    </w:p>
    <w:p w14:paraId="0352F356" w14:textId="77777777" w:rsidR="0099171F" w:rsidRDefault="0099171F" w:rsidP="0099171F">
      <w:r>
        <w:t>RELEVÂNCIA AO TEMA (5 LINHAS)</w:t>
      </w:r>
    </w:p>
    <w:p w14:paraId="204DCC56" w14:textId="77777777" w:rsidR="0099171F" w:rsidRDefault="0099171F" w:rsidP="0099171F">
      <w:pPr>
        <w:spacing w:before="60"/>
      </w:pPr>
      <w:r>
        <w:t>A Dimensão 7 mostra que o ser não é apenas trabalho e produção. Ela conecta o ser à liberdade, ao jogo e à criação desinteressada. A imprecisão aqui é que o lazer nunca é totalmente "livre" — sempre mediado por estruturas sociais. Mas é espaço onde a autenticidade é possível. Sem lazer, o ser fica reduzido à produção e perde a alegria de viver.</w:t>
      </w:r>
    </w:p>
    <w:p w14:paraId="63A4CB85" w14:textId="77777777" w:rsidR="0099171F" w:rsidRDefault="0099171F" w:rsidP="0099171F">
      <w:r>
        <w:t>REFERÊNCIAS ABNT</w:t>
      </w:r>
    </w:p>
    <w:p w14:paraId="44209AB6" w14:textId="77777777" w:rsidR="0099171F" w:rsidRDefault="0099171F" w:rsidP="0099171F">
      <w:pPr>
        <w:spacing w:before="60"/>
      </w:pPr>
      <w:proofErr w:type="spellStart"/>
      <w:r>
        <w:t>HUIZINGA</w:t>
      </w:r>
      <w:proofErr w:type="spellEnd"/>
      <w:r>
        <w:t xml:space="preserve">, Johan. </w:t>
      </w:r>
      <w:r>
        <w:rPr>
          <w:i/>
          <w:iCs/>
        </w:rPr>
        <w:t xml:space="preserve">Homo </w:t>
      </w:r>
      <w:proofErr w:type="spellStart"/>
      <w:r>
        <w:rPr>
          <w:i/>
          <w:iCs/>
        </w:rPr>
        <w:t>Ludens</w:t>
      </w:r>
      <w:proofErr w:type="spellEnd"/>
      <w:r>
        <w:rPr>
          <w:i/>
          <w:iCs/>
        </w:rPr>
        <w:t>: O Jogo como Elemento da Cultura</w:t>
      </w:r>
      <w:r>
        <w:t>. Tradução de João Paulo Monteiro. 8. ed. São Paulo: Perspectiva, 2019.</w:t>
      </w:r>
    </w:p>
    <w:p w14:paraId="31DC1973" w14:textId="77777777" w:rsidR="0099171F" w:rsidRDefault="0099171F" w:rsidP="0099171F">
      <w:pPr>
        <w:spacing w:before="60"/>
      </w:pPr>
      <w:r>
        <w:t xml:space="preserve">GADAMER, Hans-Georg. </w:t>
      </w:r>
      <w:r>
        <w:rPr>
          <w:i/>
          <w:iCs/>
        </w:rPr>
        <w:t>Verdade e Método</w:t>
      </w:r>
      <w:r>
        <w:t>. Tradução de Flávio Paulo Meurer. 15. ed. Petrópolis: Vozes, 2015.</w:t>
      </w:r>
    </w:p>
    <w:p w14:paraId="63C928BE" w14:textId="77777777" w:rsidR="0099171F" w:rsidRDefault="0099171F" w:rsidP="0099171F">
      <w:pPr>
        <w:spacing w:before="60"/>
      </w:pPr>
      <w:r>
        <w:t xml:space="preserve">NIETZSCHE, Friedrich Wilhelm. </w:t>
      </w:r>
      <w:r>
        <w:rPr>
          <w:i/>
          <w:iCs/>
        </w:rPr>
        <w:t>Assim Falou Zaratustra</w:t>
      </w:r>
      <w:r>
        <w:t>. Tradução de Paulo César de Souza. São Paulo: Companhia das Letras, 2018.</w:t>
      </w:r>
    </w:p>
    <w:p w14:paraId="372CE44E" w14:textId="77777777" w:rsidR="0099171F" w:rsidRDefault="0099171F" w:rsidP="0099171F">
      <w:pPr>
        <w:spacing w:before="60"/>
      </w:pPr>
      <w:r>
        <w:t xml:space="preserve">FOUCAULT, Michel. </w:t>
      </w:r>
      <w:r>
        <w:rPr>
          <w:i/>
          <w:iCs/>
        </w:rPr>
        <w:t>Vigiar e Punir: Nascimento da Prisão</w:t>
      </w:r>
      <w:r>
        <w:t>. Tradução de Raquel Ramalhete. 42. ed. Petrópolis: Vozes, 2014.</w:t>
      </w:r>
    </w:p>
    <w:p w14:paraId="1723842C" w14:textId="2906B7DF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B4"/>
    <w:rsid w:val="00080BB6"/>
    <w:rsid w:val="004B47B4"/>
    <w:rsid w:val="004C7552"/>
    <w:rsid w:val="005D5668"/>
    <w:rsid w:val="00672CB6"/>
    <w:rsid w:val="006E551A"/>
    <w:rsid w:val="0073218B"/>
    <w:rsid w:val="007D7492"/>
    <w:rsid w:val="008A50EA"/>
    <w:rsid w:val="0090469A"/>
    <w:rsid w:val="009818BD"/>
    <w:rsid w:val="0099171F"/>
    <w:rsid w:val="00A63CCF"/>
    <w:rsid w:val="00AD0D9C"/>
    <w:rsid w:val="00B753F9"/>
    <w:rsid w:val="00BF24C6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B649"/>
  <w15:chartTrackingRefBased/>
  <w15:docId w15:val="{E3562519-495F-4BDE-B85E-033EB8F9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7B4"/>
    <w:pPr>
      <w:spacing w:after="120" w:line="276" w:lineRule="auto"/>
      <w:ind w:left="0"/>
    </w:pPr>
    <w:rPr>
      <w:rFonts w:ascii="Calibri" w:eastAsia="Calibri" w:hAnsi="Calibri" w:cs="Calibri"/>
      <w:spacing w:val="0"/>
      <w:kern w:val="0"/>
      <w:szCs w:val="22"/>
      <w:lang w:eastAsia="pt-BR"/>
      <w14:ligatures w14:val="none"/>
      <w14:cntxtAlts w14:val="0"/>
    </w:rPr>
  </w:style>
  <w:style w:type="paragraph" w:styleId="Ttulo1">
    <w:name w:val="heading 1"/>
    <w:basedOn w:val="Normal"/>
    <w:next w:val="Normal"/>
    <w:link w:val="Ttulo1Char"/>
    <w:uiPriority w:val="9"/>
    <w:qFormat/>
    <w:rsid w:val="004B47B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pacing w:val="10"/>
      <w:kern w:val="2"/>
      <w:sz w:val="40"/>
      <w:szCs w:val="40"/>
      <w:lang w:eastAsia="en-US"/>
      <w14:ligatures w14:val="standardContextual"/>
      <w14:cntxtAlt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47B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pacing w:val="10"/>
      <w:kern w:val="2"/>
      <w:sz w:val="32"/>
      <w:szCs w:val="32"/>
      <w:lang w:eastAsia="en-US"/>
      <w14:ligatures w14:val="standardContextual"/>
      <w14:cntxtAlt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47B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pacing w:val="10"/>
      <w:kern w:val="2"/>
      <w:sz w:val="28"/>
      <w:szCs w:val="28"/>
      <w:lang w:eastAsia="en-US"/>
      <w14:ligatures w14:val="standardContextual"/>
      <w14:cntxtAlt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7B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pacing w:val="10"/>
      <w:kern w:val="2"/>
      <w:szCs w:val="24"/>
      <w:lang w:eastAsia="en-US"/>
      <w14:ligatures w14:val="standardContextual"/>
      <w14:cntxtAlt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7B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pacing w:val="10"/>
      <w:kern w:val="2"/>
      <w:szCs w:val="24"/>
      <w:lang w:eastAsia="en-US"/>
      <w14:ligatures w14:val="standardContextual"/>
      <w14:cntxtAlt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7B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pacing w:val="10"/>
      <w:kern w:val="2"/>
      <w:szCs w:val="24"/>
      <w:lang w:eastAsia="en-US"/>
      <w14:ligatures w14:val="standardContextual"/>
      <w14:cntxtAlt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7B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pacing w:val="10"/>
      <w:kern w:val="2"/>
      <w:szCs w:val="24"/>
      <w:lang w:eastAsia="en-US"/>
      <w14:ligatures w14:val="standardContextual"/>
      <w14:cntxtAlt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7B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pacing w:val="10"/>
      <w:kern w:val="2"/>
      <w:szCs w:val="24"/>
      <w:lang w:eastAsia="en-US"/>
      <w14:ligatures w14:val="standardContextual"/>
      <w14:cntxtAlt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7B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pacing w:val="10"/>
      <w:kern w:val="2"/>
      <w:szCs w:val="24"/>
      <w:lang w:eastAsia="en-US"/>
      <w14:ligatures w14:val="standardContextual"/>
      <w14:cntxtAlt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7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7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7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7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7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7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7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  <w14:cntxtAlts/>
    </w:rPr>
  </w:style>
  <w:style w:type="character" w:customStyle="1" w:styleId="TtuloChar">
    <w:name w:val="Título Char"/>
    <w:basedOn w:val="Fontepargpadro"/>
    <w:link w:val="Ttulo"/>
    <w:uiPriority w:val="10"/>
    <w:rsid w:val="004B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7B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  <w14:cntxtAlts/>
    </w:rPr>
  </w:style>
  <w:style w:type="character" w:customStyle="1" w:styleId="SubttuloChar">
    <w:name w:val="Subtítulo Char"/>
    <w:basedOn w:val="Fontepargpadro"/>
    <w:link w:val="Subttulo"/>
    <w:uiPriority w:val="11"/>
    <w:rsid w:val="004B47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7B4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pacing w:val="10"/>
      <w:kern w:val="2"/>
      <w:szCs w:val="24"/>
      <w:lang w:eastAsia="en-US"/>
      <w14:ligatures w14:val="standardContextual"/>
      <w14:cntxtAlts/>
    </w:rPr>
  </w:style>
  <w:style w:type="character" w:customStyle="1" w:styleId="CitaoChar">
    <w:name w:val="Citação Char"/>
    <w:basedOn w:val="Fontepargpadro"/>
    <w:link w:val="Citao"/>
    <w:uiPriority w:val="29"/>
    <w:rsid w:val="004B47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7B4"/>
    <w:pPr>
      <w:spacing w:after="0" w:line="240" w:lineRule="auto"/>
      <w:ind w:left="720"/>
      <w:contextualSpacing/>
    </w:pPr>
    <w:rPr>
      <w:rFonts w:ascii="Times New Roman" w:eastAsiaTheme="minorHAnsi" w:hAnsi="Times New Roman" w:cstheme="minorBidi"/>
      <w:spacing w:val="10"/>
      <w:kern w:val="2"/>
      <w:szCs w:val="24"/>
      <w:lang w:eastAsia="en-US"/>
      <w14:ligatures w14:val="standardContextual"/>
      <w14:cntxtAlts/>
    </w:rPr>
  </w:style>
  <w:style w:type="character" w:styleId="nfaseIntensa">
    <w:name w:val="Intense Emphasis"/>
    <w:basedOn w:val="Fontepargpadro"/>
    <w:uiPriority w:val="21"/>
    <w:qFormat/>
    <w:rsid w:val="004B47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pacing w:val="10"/>
      <w:kern w:val="2"/>
      <w:szCs w:val="24"/>
      <w:lang w:eastAsia="en-US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7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493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2026-04-02T17:54:00Z</dcterms:created>
  <dcterms:modified xsi:type="dcterms:W3CDTF">2026-04-02T17:56:00Z</dcterms:modified>
</cp:coreProperties>
</file>