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C95A" w14:textId="65489E94" w:rsidR="004E7930" w:rsidRPr="00E15D0A" w:rsidRDefault="004E7930" w:rsidP="004E7930">
      <w:pPr>
        <w:rPr>
          <w:lang w:val="pt-BR"/>
        </w:rPr>
      </w:pPr>
      <w:r w:rsidRPr="00E15D0A">
        <w:rPr>
          <w:lang w:val="pt-BR"/>
        </w:rPr>
        <w:t xml:space="preserve">12 Comunidade </w:t>
      </w:r>
      <w:r w:rsidR="00661807" w:rsidRPr="00E15D0A">
        <w:rPr>
          <w:lang w:val="pt-BR"/>
        </w:rPr>
        <w:t xml:space="preserve">– </w:t>
      </w:r>
      <w:r w:rsidRPr="00E15D0A">
        <w:rPr>
          <w:lang w:val="pt-BR"/>
        </w:rPr>
        <w:t>Redes</w:t>
      </w:r>
      <w:r w:rsidR="00661807" w:rsidRPr="00E15D0A">
        <w:rPr>
          <w:lang w:val="pt-BR"/>
        </w:rPr>
        <w:t xml:space="preserve"> </w:t>
      </w:r>
      <w:r w:rsidRPr="00E15D0A">
        <w:rPr>
          <w:lang w:val="pt-BR"/>
        </w:rPr>
        <w:t xml:space="preserve">e pertencimento </w:t>
      </w:r>
      <w:r w:rsidR="00661807" w:rsidRPr="00E15D0A">
        <w:rPr>
          <w:lang w:val="pt-BR"/>
        </w:rPr>
        <w:t xml:space="preserve">– </w:t>
      </w:r>
      <w:r w:rsidRPr="00E15D0A">
        <w:rPr>
          <w:lang w:val="pt-BR"/>
        </w:rPr>
        <w:t>Eventos</w:t>
      </w:r>
      <w:r w:rsidR="00661807" w:rsidRPr="00E15D0A">
        <w:rPr>
          <w:lang w:val="pt-BR"/>
        </w:rPr>
        <w:t xml:space="preserve"> </w:t>
      </w:r>
      <w:r w:rsidRPr="00E15D0A">
        <w:rPr>
          <w:lang w:val="pt-BR"/>
        </w:rPr>
        <w:t xml:space="preserve">sociais </w:t>
      </w:r>
    </w:p>
    <w:p w14:paraId="14F604A2" w14:textId="09108A0D" w:rsidR="004E7930" w:rsidRPr="00E15D0A" w:rsidRDefault="004E7930">
      <w:pPr>
        <w:rPr>
          <w:lang w:val="pt-BR"/>
        </w:rPr>
      </w:pPr>
    </w:p>
    <w:p w14:paraId="65F60D9D" w14:textId="77777777" w:rsidR="00E15D0A" w:rsidRPr="00E15D0A" w:rsidRDefault="00E15D0A">
      <w:pPr>
        <w:rPr>
          <w:lang w:val="pt-BR"/>
        </w:rPr>
      </w:pPr>
    </w:p>
    <w:p w14:paraId="6EA74370" w14:textId="77777777" w:rsidR="00E15D0A" w:rsidRPr="00E15D0A" w:rsidRDefault="00E15D0A" w:rsidP="00E15D0A">
      <w:pPr>
        <w:pStyle w:val="Ttulo2"/>
        <w:rPr>
          <w:lang w:val="pt-BR"/>
        </w:rPr>
      </w:pPr>
      <w:r w:rsidRPr="00E15D0A">
        <w:rPr>
          <w:lang w:val="pt-BR"/>
        </w:rPr>
        <w:t>DIMENSÃO 12: COMUNIDADE</w:t>
      </w:r>
    </w:p>
    <w:p w14:paraId="21D31567" w14:textId="77777777" w:rsidR="00E15D0A" w:rsidRPr="00E15D0A" w:rsidRDefault="00E15D0A" w:rsidP="00E15D0A">
      <w:pPr>
        <w:pStyle w:val="Ttulo3"/>
        <w:rPr>
          <w:lang w:val="pt-BR"/>
        </w:rPr>
      </w:pPr>
      <w:r w:rsidRPr="00E15D0A">
        <w:rPr>
          <w:lang w:val="pt-BR"/>
        </w:rPr>
        <w:t>Ser-com-outros: O Pertencimento como Identidade</w:t>
      </w:r>
    </w:p>
    <w:p w14:paraId="39E8D1AE" w14:textId="77777777" w:rsidR="00E15D0A" w:rsidRPr="00E15D0A" w:rsidRDefault="00E15D0A" w:rsidP="00E15D0A">
      <w:pPr>
        <w:rPr>
          <w:lang w:val="pt-BR"/>
        </w:rPr>
      </w:pPr>
      <w:r w:rsidRPr="00E15D0A">
        <w:rPr>
          <w:lang w:val="pt-BR"/>
        </w:rPr>
        <w:t>FUNDAMENTAÇÃO TEÓRICA</w:t>
      </w:r>
    </w:p>
    <w:p w14:paraId="33C0E211" w14:textId="77777777" w:rsidR="00E15D0A" w:rsidRPr="00E15D0A" w:rsidRDefault="00E15D0A" w:rsidP="00E15D0A">
      <w:pPr>
        <w:spacing w:before="60"/>
        <w:rPr>
          <w:lang w:val="pt-BR"/>
        </w:rPr>
      </w:pPr>
      <w:r w:rsidRPr="00E15D0A">
        <w:rPr>
          <w:lang w:val="pt-BR"/>
        </w:rPr>
        <w:t xml:space="preserve">A comunidade é forma de ser-com-outros que transcende a família. </w:t>
      </w:r>
      <w:proofErr w:type="spellStart"/>
      <w:r w:rsidRPr="00E15D0A">
        <w:rPr>
          <w:lang w:val="pt-BR"/>
        </w:rPr>
        <w:t>Tönnies</w:t>
      </w:r>
      <w:proofErr w:type="spellEnd"/>
      <w:r w:rsidRPr="00E15D0A">
        <w:rPr>
          <w:lang w:val="pt-BR"/>
        </w:rPr>
        <w:t xml:space="preserve"> distingue entre </w:t>
      </w:r>
      <w:proofErr w:type="spellStart"/>
      <w:r w:rsidRPr="00E15D0A">
        <w:rPr>
          <w:i/>
          <w:iCs/>
          <w:lang w:val="pt-BR"/>
        </w:rPr>
        <w:t>Gemeinschaft</w:t>
      </w:r>
      <w:proofErr w:type="spellEnd"/>
      <w:r w:rsidRPr="00E15D0A">
        <w:rPr>
          <w:lang w:val="pt-BR"/>
        </w:rPr>
        <w:t xml:space="preserve"> (comunidade) e </w:t>
      </w:r>
      <w:proofErr w:type="spellStart"/>
      <w:r w:rsidRPr="00E15D0A">
        <w:rPr>
          <w:i/>
          <w:iCs/>
          <w:lang w:val="pt-BR"/>
        </w:rPr>
        <w:t>Gesellschaft</w:t>
      </w:r>
      <w:proofErr w:type="spellEnd"/>
      <w:r w:rsidRPr="00E15D0A">
        <w:rPr>
          <w:lang w:val="pt-BR"/>
        </w:rPr>
        <w:t xml:space="preserve"> (sociedade). A comunidade é baseada em vínculos afetivos e tradição; a sociedade é baseada em contrato e interesse. A modernidade destruiu muitas comunidades, criando isolamento. Mas há possibilidade de </w:t>
      </w:r>
      <w:proofErr w:type="gramStart"/>
      <w:r w:rsidRPr="00E15D0A">
        <w:rPr>
          <w:lang w:val="pt-BR"/>
        </w:rPr>
        <w:t>criar novas</w:t>
      </w:r>
      <w:proofErr w:type="gramEnd"/>
      <w:r w:rsidRPr="00E15D0A">
        <w:rPr>
          <w:lang w:val="pt-BR"/>
        </w:rPr>
        <w:t xml:space="preserve"> formas de comunidade. Arendt mostra que a comunidade é espaço onde a ação política é possível — é através da ação conjunta que nos tornamos visíveis e significativos. A comunidade não é harmonia perfeita, mas espaço de conflito e negociação. Foucault questiona a noção de comunidade como espaço de autenticidade — há sempre poder, sempre exclusão. Mas reconhece que há possibilidade de resistência coletiva. </w:t>
      </w:r>
      <w:proofErr w:type="spellStart"/>
      <w:r w:rsidRPr="00E15D0A">
        <w:rPr>
          <w:lang w:val="pt-BR"/>
        </w:rPr>
        <w:t>Bauman</w:t>
      </w:r>
      <w:proofErr w:type="spellEnd"/>
      <w:r w:rsidRPr="00E15D0A">
        <w:rPr>
          <w:lang w:val="pt-BR"/>
        </w:rPr>
        <w:t xml:space="preserve"> mostra que a modernidade líquida destruiu as comunidades sólidas, criando "comunidades de consumo" efêmeras. Mas há possibilidade de criar comunidades mais autênticas. A imprecisão aqui é que a comunidade nunca é totalmente inclusiva — há sempre quem fica de fora. Mas há possibilidade de expandir as fronteiras, de incluir o diferente. A comunidade é tanto conforto quanto responsabilidade.</w:t>
      </w:r>
    </w:p>
    <w:p w14:paraId="09AD888F" w14:textId="77777777" w:rsidR="00E15D0A" w:rsidRPr="00E15D0A" w:rsidRDefault="00E15D0A" w:rsidP="00E15D0A">
      <w:pPr>
        <w:rPr>
          <w:lang w:val="pt-BR"/>
        </w:rPr>
      </w:pPr>
      <w:r w:rsidRPr="00E15D0A">
        <w:rPr>
          <w:lang w:val="pt-BR"/>
        </w:rPr>
        <w:t>RESUMO (15 LINHAS)</w:t>
      </w:r>
    </w:p>
    <w:p w14:paraId="615C9C61" w14:textId="77777777" w:rsidR="00E15D0A" w:rsidRPr="00E15D0A" w:rsidRDefault="00E15D0A" w:rsidP="00E15D0A">
      <w:pPr>
        <w:spacing w:before="60"/>
        <w:rPr>
          <w:lang w:val="pt-BR"/>
        </w:rPr>
      </w:pPr>
      <w:r w:rsidRPr="00E15D0A">
        <w:rPr>
          <w:lang w:val="pt-BR"/>
        </w:rPr>
        <w:t xml:space="preserve">A comunidade é forma de ser-com-outros que transcende a família e cria pertencimento. </w:t>
      </w:r>
      <w:proofErr w:type="spellStart"/>
      <w:r w:rsidRPr="00E15D0A">
        <w:rPr>
          <w:lang w:val="pt-BR"/>
        </w:rPr>
        <w:t>Tönnies</w:t>
      </w:r>
      <w:proofErr w:type="spellEnd"/>
      <w:r w:rsidRPr="00E15D0A">
        <w:rPr>
          <w:lang w:val="pt-BR"/>
        </w:rPr>
        <w:t xml:space="preserve"> distingue entre comunidade baseada em vínculos afetivos e sociedade baseada em contrato. A modernidade destruiu muitas comunidades, criando isolamento e anomia. Mas há possibilidade de </w:t>
      </w:r>
      <w:proofErr w:type="gramStart"/>
      <w:r w:rsidRPr="00E15D0A">
        <w:rPr>
          <w:lang w:val="pt-BR"/>
        </w:rPr>
        <w:t>criar novas</w:t>
      </w:r>
      <w:proofErr w:type="gramEnd"/>
      <w:r w:rsidRPr="00E15D0A">
        <w:rPr>
          <w:lang w:val="pt-BR"/>
        </w:rPr>
        <w:t xml:space="preserve"> formas de comunidade mais autênticas. Arendt mostra que a comunidade é espaço onde a ação política é possível. É através da ação conjunta que nos tornamos visíveis e significativos. A comunidade não é harmonia perfeita, mas espaço de conflito e negociação. Foucault questiona a noção de comunidade como espaço de autenticidade — há sempre poder. Mas reconhece que há possibilidade de resistência coletiva. </w:t>
      </w:r>
      <w:proofErr w:type="spellStart"/>
      <w:r w:rsidRPr="00E15D0A">
        <w:rPr>
          <w:lang w:val="pt-BR"/>
        </w:rPr>
        <w:t>Bauman</w:t>
      </w:r>
      <w:proofErr w:type="spellEnd"/>
      <w:r w:rsidRPr="00E15D0A">
        <w:rPr>
          <w:lang w:val="pt-BR"/>
        </w:rPr>
        <w:t xml:space="preserve"> mostra que a modernidade líquida destruiu comunidades sólidas. Criou "comunidades de consumo" efêmeras e superficiais. A imprecisão reside em que a comunidade nunca é totalmente inclusiva. Há sempre quem fica de fora ou é excluído. Mas há possibilidade de expandir fronteiras e incluir o diferente. A comunidade é tanto conforto quanto responsabilidade.</w:t>
      </w:r>
    </w:p>
    <w:p w14:paraId="38E82B8D" w14:textId="77777777" w:rsidR="00E15D0A" w:rsidRPr="00E15D0A" w:rsidRDefault="00E15D0A" w:rsidP="00E15D0A">
      <w:pPr>
        <w:rPr>
          <w:lang w:val="pt-BR"/>
        </w:rPr>
      </w:pPr>
      <w:r w:rsidRPr="00E15D0A">
        <w:rPr>
          <w:lang w:val="pt-BR"/>
        </w:rPr>
        <w:t>RELEVÂNCIA AO TEMA (5 LINHAS)</w:t>
      </w:r>
    </w:p>
    <w:p w14:paraId="3DDB92CB" w14:textId="77777777" w:rsidR="00E15D0A" w:rsidRPr="00E15D0A" w:rsidRDefault="00E15D0A" w:rsidP="00E15D0A">
      <w:pPr>
        <w:spacing w:before="60"/>
        <w:rPr>
          <w:lang w:val="pt-BR"/>
        </w:rPr>
      </w:pPr>
      <w:r w:rsidRPr="00E15D0A">
        <w:rPr>
          <w:lang w:val="pt-BR"/>
        </w:rPr>
        <w:t>A Dimensão 12 mostra que o ser não vive isolado, mas sempre em comunidade. Ela conecta o ser individual ao ser coletivo através do pertencimento. A imprecisão aqui é que a comunidade nunca é totalmente "pura" — há sempre conflito e exclusão. Ela é tanto fonte de identidade quanto de conformismo. Sem comunidade, o ser fica isolado e vulnerável.</w:t>
      </w:r>
    </w:p>
    <w:p w14:paraId="2B9B5608" w14:textId="77777777" w:rsidR="00E15D0A" w:rsidRPr="00E15D0A" w:rsidRDefault="00E15D0A" w:rsidP="00E15D0A">
      <w:pPr>
        <w:rPr>
          <w:lang w:val="pt-BR"/>
        </w:rPr>
      </w:pPr>
      <w:r w:rsidRPr="00E15D0A">
        <w:rPr>
          <w:lang w:val="pt-BR"/>
        </w:rPr>
        <w:t>REFERÊNCIAS ABNT</w:t>
      </w:r>
    </w:p>
    <w:p w14:paraId="0140340C" w14:textId="77777777" w:rsidR="00E15D0A" w:rsidRPr="00E15D0A" w:rsidRDefault="00E15D0A" w:rsidP="00E15D0A">
      <w:pPr>
        <w:spacing w:before="60"/>
        <w:rPr>
          <w:lang w:val="pt-BR"/>
        </w:rPr>
      </w:pPr>
      <w:proofErr w:type="spellStart"/>
      <w:r w:rsidRPr="00E15D0A">
        <w:rPr>
          <w:lang w:val="pt-BR"/>
        </w:rPr>
        <w:t>TÖNNIES</w:t>
      </w:r>
      <w:proofErr w:type="spellEnd"/>
      <w:r w:rsidRPr="00E15D0A">
        <w:rPr>
          <w:lang w:val="pt-BR"/>
        </w:rPr>
        <w:t xml:space="preserve">, Ferdinand. </w:t>
      </w:r>
      <w:r w:rsidRPr="00E15D0A">
        <w:rPr>
          <w:i/>
          <w:iCs/>
          <w:lang w:val="pt-BR"/>
        </w:rPr>
        <w:t>Comunidade e Sociedade</w:t>
      </w:r>
      <w:r w:rsidRPr="00E15D0A">
        <w:rPr>
          <w:lang w:val="pt-BR"/>
        </w:rPr>
        <w:t>. Tradução de Dante Moreira Leite. São Paulo: Nacional, 1973.</w:t>
      </w:r>
    </w:p>
    <w:p w14:paraId="17195A3F" w14:textId="77777777" w:rsidR="00E15D0A" w:rsidRPr="00E15D0A" w:rsidRDefault="00E15D0A" w:rsidP="00E15D0A">
      <w:pPr>
        <w:spacing w:before="60"/>
        <w:rPr>
          <w:lang w:val="pt-BR"/>
        </w:rPr>
      </w:pPr>
      <w:r w:rsidRPr="00E15D0A">
        <w:rPr>
          <w:lang w:val="pt-BR"/>
        </w:rPr>
        <w:t xml:space="preserve">ARENDT, Hannah. </w:t>
      </w:r>
      <w:r w:rsidRPr="00E15D0A">
        <w:rPr>
          <w:i/>
          <w:iCs/>
          <w:lang w:val="pt-BR"/>
        </w:rPr>
        <w:t>A Condição Humana</w:t>
      </w:r>
      <w:r w:rsidRPr="00E15D0A">
        <w:rPr>
          <w:lang w:val="pt-BR"/>
        </w:rPr>
        <w:t>. Tradução de Roberto Raposo. 11. ed. Rio de Janeiro: Forense Universitária, 2010.</w:t>
      </w:r>
    </w:p>
    <w:p w14:paraId="42A7EAF8" w14:textId="77777777" w:rsidR="00E15D0A" w:rsidRPr="00E15D0A" w:rsidRDefault="00E15D0A" w:rsidP="00E15D0A">
      <w:pPr>
        <w:spacing w:before="60"/>
        <w:rPr>
          <w:lang w:val="pt-BR"/>
        </w:rPr>
      </w:pPr>
      <w:r w:rsidRPr="00E15D0A">
        <w:rPr>
          <w:lang w:val="pt-BR"/>
        </w:rPr>
        <w:t xml:space="preserve">FOUCAULT, Michel. </w:t>
      </w:r>
      <w:r w:rsidRPr="00E15D0A">
        <w:rPr>
          <w:i/>
          <w:iCs/>
          <w:lang w:val="pt-BR"/>
        </w:rPr>
        <w:t>Microfísica do Poder</w:t>
      </w:r>
      <w:r w:rsidRPr="00E15D0A">
        <w:rPr>
          <w:lang w:val="pt-BR"/>
        </w:rPr>
        <w:t>. Tradução de Roberto Machado. 28. ed. Rio de Janeiro: Graal, 2014.</w:t>
      </w:r>
    </w:p>
    <w:p w14:paraId="3EEE0765" w14:textId="77777777" w:rsidR="00E15D0A" w:rsidRPr="00E15D0A" w:rsidRDefault="00E15D0A" w:rsidP="00E15D0A">
      <w:pPr>
        <w:spacing w:before="60"/>
        <w:rPr>
          <w:lang w:val="pt-BR"/>
        </w:rPr>
      </w:pPr>
      <w:proofErr w:type="spellStart"/>
      <w:r w:rsidRPr="00E15D0A">
        <w:rPr>
          <w:lang w:val="pt-BR"/>
        </w:rPr>
        <w:t>BAUMAN</w:t>
      </w:r>
      <w:proofErr w:type="spellEnd"/>
      <w:r w:rsidRPr="00E15D0A">
        <w:rPr>
          <w:lang w:val="pt-BR"/>
        </w:rPr>
        <w:t xml:space="preserve">, Zygmunt. </w:t>
      </w:r>
      <w:r w:rsidRPr="00E15D0A">
        <w:rPr>
          <w:i/>
          <w:iCs/>
          <w:lang w:val="pt-BR"/>
        </w:rPr>
        <w:t>Comunidade: A Busca por Segurança no Mundo Atual</w:t>
      </w:r>
      <w:r w:rsidRPr="00E15D0A">
        <w:rPr>
          <w:lang w:val="pt-BR"/>
        </w:rPr>
        <w:t xml:space="preserve">. Tradução de Plínio </w:t>
      </w:r>
      <w:proofErr w:type="spellStart"/>
      <w:r w:rsidRPr="00E15D0A">
        <w:rPr>
          <w:lang w:val="pt-BR"/>
        </w:rPr>
        <w:t>Dentzien</w:t>
      </w:r>
      <w:proofErr w:type="spellEnd"/>
      <w:r w:rsidRPr="00E15D0A">
        <w:rPr>
          <w:lang w:val="pt-BR"/>
        </w:rPr>
        <w:t>. Rio de Janeiro: Zahar, 2003.</w:t>
      </w:r>
    </w:p>
    <w:p w14:paraId="4C36D572" w14:textId="77777777" w:rsidR="00E15D0A" w:rsidRPr="00E15D0A" w:rsidRDefault="00E15D0A">
      <w:pPr>
        <w:rPr>
          <w:lang w:val="pt-BR"/>
        </w:rPr>
      </w:pPr>
    </w:p>
    <w:sectPr w:rsidR="00E15D0A" w:rsidRPr="00E15D0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63FE5"/>
    <w:rsid w:val="003A3C5D"/>
    <w:rsid w:val="004C5FF1"/>
    <w:rsid w:val="004E7930"/>
    <w:rsid w:val="00661807"/>
    <w:rsid w:val="006A3CDD"/>
    <w:rsid w:val="0072376D"/>
    <w:rsid w:val="00807E4D"/>
    <w:rsid w:val="00872A27"/>
    <w:rsid w:val="00AA1D8D"/>
    <w:rsid w:val="00B37825"/>
    <w:rsid w:val="00B47730"/>
    <w:rsid w:val="00CB0664"/>
    <w:rsid w:val="00D91B23"/>
    <w:rsid w:val="00E15D0A"/>
    <w:rsid w:val="00ED5E24"/>
    <w:rsid w:val="00EE24F8"/>
    <w:rsid w:val="00F127A9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2026-04-02T17:59:00Z</dcterms:created>
  <dcterms:modified xsi:type="dcterms:W3CDTF">2026-04-02T17:59:00Z</dcterms:modified>
  <cp:category/>
</cp:coreProperties>
</file>