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895B" w14:textId="586E3BDA" w:rsidR="0078305B" w:rsidRDefault="0078305B" w:rsidP="0078305B">
      <w:pPr>
        <w:jc w:val="center"/>
        <w:rPr>
          <w:i/>
          <w:iCs/>
        </w:rPr>
      </w:pPr>
      <w:r w:rsidRPr="0078305B">
        <w:rPr>
          <w:i/>
          <w:iCs/>
        </w:rPr>
        <w:t>exames (sangue</w:t>
      </w:r>
      <w:r>
        <w:rPr>
          <w:i/>
          <w:iCs/>
        </w:rPr>
        <w:t xml:space="preserve"> e </w:t>
      </w:r>
      <w:r w:rsidRPr="0078305B">
        <w:rPr>
          <w:i/>
          <w:iCs/>
        </w:rPr>
        <w:t>imagem</w:t>
      </w:r>
      <w:r>
        <w:rPr>
          <w:i/>
          <w:iCs/>
        </w:rPr>
        <w:t>)</w:t>
      </w:r>
      <w:r w:rsidRPr="0078305B">
        <w:rPr>
          <w:i/>
          <w:iCs/>
        </w:rPr>
        <w:t xml:space="preserve"> </w:t>
      </w:r>
      <w:r>
        <w:rPr>
          <w:i/>
          <w:iCs/>
        </w:rPr>
        <w:t>d</w:t>
      </w:r>
      <w:r w:rsidRPr="0078305B">
        <w:rPr>
          <w:i/>
          <w:iCs/>
        </w:rPr>
        <w:t xml:space="preserve">a </w:t>
      </w:r>
      <w:r w:rsidRPr="0078305B">
        <w:rPr>
          <w:b/>
          <w:bCs/>
          <w:i/>
          <w:iCs/>
        </w:rPr>
        <w:t>resposta ao estresse</w:t>
      </w:r>
    </w:p>
    <w:p w14:paraId="009413CF" w14:textId="77777777" w:rsidR="0078305B" w:rsidRDefault="0078305B" w:rsidP="0084411E">
      <w:pPr>
        <w:rPr>
          <w:i/>
          <w:iCs/>
        </w:rPr>
      </w:pPr>
    </w:p>
    <w:p w14:paraId="6623D535" w14:textId="38D93A08" w:rsidR="00BF765A" w:rsidRDefault="0084411E" w:rsidP="0084411E">
      <w:pPr>
        <w:rPr>
          <w:i/>
          <w:iCs/>
        </w:rPr>
      </w:pPr>
      <w:r w:rsidRPr="0084411E">
        <w:rPr>
          <w:i/>
          <w:iCs/>
        </w:rPr>
        <w:t>O Local fornece o nutriente</w:t>
      </w:r>
      <w:r>
        <w:rPr>
          <w:i/>
          <w:iCs/>
        </w:rPr>
        <w:t xml:space="preserve">, </w:t>
      </w:r>
      <w:r w:rsidRPr="0084411E">
        <w:rPr>
          <w:i/>
          <w:iCs/>
        </w:rPr>
        <w:t>o Lugar constrói a cultura</w:t>
      </w:r>
      <w:r>
        <w:rPr>
          <w:i/>
          <w:iCs/>
        </w:rPr>
        <w:t xml:space="preserve"> e o e</w:t>
      </w:r>
      <w:r w:rsidRPr="0084411E">
        <w:rPr>
          <w:i/>
          <w:iCs/>
        </w:rPr>
        <w:t xml:space="preserve">ixo PNEI processa </w:t>
      </w:r>
      <w:r>
        <w:rPr>
          <w:i/>
          <w:iCs/>
        </w:rPr>
        <w:t>instantaneamente</w:t>
      </w:r>
      <w:r>
        <w:rPr>
          <w:i/>
          <w:iCs/>
        </w:rPr>
        <w:t xml:space="preserve"> </w:t>
      </w:r>
      <w:r w:rsidRPr="0084411E">
        <w:rPr>
          <w:i/>
          <w:iCs/>
        </w:rPr>
        <w:t>essa</w:t>
      </w:r>
      <w:r>
        <w:rPr>
          <w:i/>
          <w:iCs/>
        </w:rPr>
        <w:t>s informações</w:t>
      </w:r>
      <w:r w:rsidRPr="0084411E">
        <w:rPr>
          <w:i/>
          <w:iCs/>
        </w:rPr>
        <w:t xml:space="preserve"> para devolver </w:t>
      </w:r>
      <w:r>
        <w:rPr>
          <w:i/>
          <w:iCs/>
        </w:rPr>
        <w:t xml:space="preserve">na forma de </w:t>
      </w:r>
      <w:r w:rsidRPr="0084411E">
        <w:rPr>
          <w:i/>
          <w:iCs/>
        </w:rPr>
        <w:t>Saúde Plena</w:t>
      </w:r>
      <w:r>
        <w:rPr>
          <w:i/>
          <w:iCs/>
        </w:rPr>
        <w:t xml:space="preserve">, </w:t>
      </w:r>
      <w:r w:rsidRPr="0084411E">
        <w:rPr>
          <w:i/>
          <w:iCs/>
        </w:rPr>
        <w:t xml:space="preserve">ou </w:t>
      </w:r>
      <w:r>
        <w:rPr>
          <w:i/>
          <w:iCs/>
        </w:rPr>
        <w:t xml:space="preserve">de </w:t>
      </w:r>
      <w:r w:rsidRPr="0084411E">
        <w:rPr>
          <w:i/>
          <w:iCs/>
        </w:rPr>
        <w:t>Escassez.</w:t>
      </w:r>
    </w:p>
    <w:p w14:paraId="21B1F79B" w14:textId="77777777" w:rsidR="0084411E" w:rsidRDefault="0084411E" w:rsidP="0084411E">
      <w:pPr>
        <w:rPr>
          <w:i/>
          <w:iCs/>
        </w:rPr>
      </w:pPr>
    </w:p>
    <w:p w14:paraId="6E729F76" w14:textId="77777777" w:rsidR="0078305B" w:rsidRDefault="0078305B" w:rsidP="0084411E">
      <w:pPr>
        <w:rPr>
          <w:i/>
          <w:iCs/>
        </w:rPr>
      </w:pPr>
    </w:p>
    <w:p w14:paraId="626BF860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Para medir os benefícios da visualização criativa e imaginação ativa, a ciência utiliza exames que capturam tanto a </w:t>
      </w:r>
      <w:r w:rsidRPr="0078305B">
        <w:rPr>
          <w:b/>
          <w:bCs/>
          <w:i/>
          <w:iCs/>
        </w:rPr>
        <w:t>resposta ao estresse</w:t>
      </w:r>
      <w:r w:rsidRPr="0078305B">
        <w:rPr>
          <w:i/>
          <w:iCs/>
        </w:rPr>
        <w:t xml:space="preserve"> (sangue) quanto a </w:t>
      </w:r>
      <w:r w:rsidRPr="0078305B">
        <w:rPr>
          <w:b/>
          <w:bCs/>
          <w:i/>
          <w:iCs/>
        </w:rPr>
        <w:t>plasticidade cerebral</w:t>
      </w:r>
      <w:r w:rsidRPr="0078305B">
        <w:rPr>
          <w:i/>
          <w:iCs/>
        </w:rPr>
        <w:t xml:space="preserve"> (imagem). Como o cérebro muitas vezes não distingue um evento real de um imaginado, a visualização consistente "engana" o corpo para produzir benefícios fisiológicos mensuráveis. [1, 2] </w:t>
      </w:r>
    </w:p>
    <w:p w14:paraId="63246CB0" w14:textId="77777777" w:rsidR="0078305B" w:rsidRPr="0078305B" w:rsidRDefault="0078305B" w:rsidP="0078305B">
      <w:pPr>
        <w:rPr>
          <w:b/>
          <w:bCs/>
          <w:i/>
          <w:iCs/>
        </w:rPr>
      </w:pPr>
      <w:r w:rsidRPr="0078305B">
        <w:rPr>
          <w:b/>
          <w:bCs/>
          <w:i/>
          <w:iCs/>
        </w:rPr>
        <w:t>1. Exames de Sangue (Biomarcadores de Resposta Fisiológica)</w:t>
      </w:r>
    </w:p>
    <w:p w14:paraId="076A98C6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Esses exames mostram como a prática mental reduz a toxicidade do estresse e a inflamação sistêmica: [3] </w:t>
      </w:r>
    </w:p>
    <w:p w14:paraId="1F738892" w14:textId="77777777" w:rsidR="0078305B" w:rsidRPr="0078305B" w:rsidRDefault="0078305B" w:rsidP="0078305B">
      <w:pPr>
        <w:numPr>
          <w:ilvl w:val="0"/>
          <w:numId w:val="1"/>
        </w:numPr>
        <w:rPr>
          <w:i/>
          <w:iCs/>
        </w:rPr>
      </w:pPr>
      <w:r w:rsidRPr="0078305B">
        <w:rPr>
          <w:b/>
          <w:bCs/>
          <w:i/>
          <w:iCs/>
        </w:rPr>
        <w:t>Cortisol (Sérico ou Salivar):</w:t>
      </w:r>
      <w:r w:rsidRPr="0078305B">
        <w:rPr>
          <w:i/>
          <w:iCs/>
        </w:rPr>
        <w:t xml:space="preserve"> A visualização reduz a reatividade do eixo HPA, levando a níveis mais baixos de cortisol, o hormônio do estresse. [4, 5, 6, 7] </w:t>
      </w:r>
    </w:p>
    <w:p w14:paraId="2E4B1C10" w14:textId="77777777" w:rsidR="0078305B" w:rsidRPr="0078305B" w:rsidRDefault="0078305B" w:rsidP="0078305B">
      <w:pPr>
        <w:numPr>
          <w:ilvl w:val="0"/>
          <w:numId w:val="1"/>
        </w:numPr>
        <w:rPr>
          <w:i/>
          <w:iCs/>
        </w:rPr>
      </w:pPr>
      <w:r w:rsidRPr="0078305B">
        <w:rPr>
          <w:b/>
          <w:bCs/>
          <w:i/>
          <w:iCs/>
        </w:rPr>
        <w:t>Proteína C-Reativa (PCR-ultrassensível):</w:t>
      </w:r>
      <w:r w:rsidRPr="0078305B">
        <w:rPr>
          <w:i/>
          <w:iCs/>
        </w:rPr>
        <w:t xml:space="preserve"> Marcador de inflamação. Práticas de visualização e meditação estão associadas à redução da inflamação sistêmica de baixo grau. [8, 9] </w:t>
      </w:r>
    </w:p>
    <w:p w14:paraId="12804F2F" w14:textId="77777777" w:rsidR="0078305B" w:rsidRPr="0078305B" w:rsidRDefault="0078305B" w:rsidP="0078305B">
      <w:pPr>
        <w:numPr>
          <w:ilvl w:val="0"/>
          <w:numId w:val="1"/>
        </w:numPr>
        <w:rPr>
          <w:i/>
          <w:iCs/>
        </w:rPr>
      </w:pPr>
      <w:r w:rsidRPr="0078305B">
        <w:rPr>
          <w:b/>
          <w:bCs/>
          <w:i/>
          <w:iCs/>
        </w:rPr>
        <w:t xml:space="preserve">Citocinas Inflamatórias (IL-6, </w:t>
      </w:r>
      <w:proofErr w:type="spellStart"/>
      <w:r w:rsidRPr="0078305B">
        <w:rPr>
          <w:b/>
          <w:bCs/>
          <w:i/>
          <w:iCs/>
        </w:rPr>
        <w:t>TNF</w:t>
      </w:r>
      <w:proofErr w:type="spellEnd"/>
      <w:r w:rsidRPr="0078305B">
        <w:rPr>
          <w:b/>
          <w:bCs/>
          <w:i/>
          <w:iCs/>
        </w:rPr>
        <w:t>-α):</w:t>
      </w:r>
      <w:r w:rsidRPr="0078305B">
        <w:rPr>
          <w:i/>
          <w:iCs/>
        </w:rPr>
        <w:t xml:space="preserve"> A visualização criativa pode reduzir citocinas pró-inflamatórias (como IL-6) e aumentar citocinas anti-inflamatórias (como IL-10). [5, 8] </w:t>
      </w:r>
    </w:p>
    <w:p w14:paraId="5F6A687B" w14:textId="77777777" w:rsidR="0078305B" w:rsidRPr="0078305B" w:rsidRDefault="0078305B" w:rsidP="0078305B">
      <w:pPr>
        <w:numPr>
          <w:ilvl w:val="0"/>
          <w:numId w:val="1"/>
        </w:numPr>
        <w:rPr>
          <w:i/>
          <w:iCs/>
        </w:rPr>
      </w:pPr>
      <w:r w:rsidRPr="0078305B">
        <w:rPr>
          <w:b/>
          <w:bCs/>
          <w:i/>
          <w:iCs/>
        </w:rPr>
        <w:t>Telomerase e Proteína Beta-Amiloide (Aβ):</w:t>
      </w:r>
      <w:r w:rsidRPr="0078305B">
        <w:rPr>
          <w:i/>
          <w:iCs/>
        </w:rPr>
        <w:t xml:space="preserve"> Estudos sugerem que terapias mente-corpo podem aumentar a atividade da telomerase (ligada à longevidade celular) e alterar níveis de proteínas ligadas ao declínio cognitivo. [10] </w:t>
      </w:r>
    </w:p>
    <w:p w14:paraId="10372F8C" w14:textId="77777777" w:rsidR="0078305B" w:rsidRPr="0078305B" w:rsidRDefault="0078305B" w:rsidP="0078305B">
      <w:pPr>
        <w:rPr>
          <w:b/>
          <w:bCs/>
          <w:i/>
          <w:iCs/>
        </w:rPr>
      </w:pPr>
      <w:r w:rsidRPr="0078305B">
        <w:rPr>
          <w:b/>
          <w:bCs/>
          <w:i/>
          <w:iCs/>
        </w:rPr>
        <w:t>2. Exames de Imagem (Neuroimagem e Plasticidade)</w:t>
      </w:r>
    </w:p>
    <w:p w14:paraId="3027C0D0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A visualização "treina" o cérebro, ativando as mesmas vias neurais que a ação física. [2] </w:t>
      </w:r>
    </w:p>
    <w:p w14:paraId="001CB2D3" w14:textId="77777777" w:rsidR="0078305B" w:rsidRPr="0078305B" w:rsidRDefault="0078305B" w:rsidP="0078305B">
      <w:pPr>
        <w:numPr>
          <w:ilvl w:val="0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Ressonância Magnética Funcional (fMRI):</w:t>
      </w:r>
    </w:p>
    <w:p w14:paraId="6804F229" w14:textId="77777777" w:rsidR="0078305B" w:rsidRPr="0078305B" w:rsidRDefault="0078305B" w:rsidP="0078305B">
      <w:pPr>
        <w:numPr>
          <w:ilvl w:val="1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Ativação do Córtex Pré-Frontal:</w:t>
      </w:r>
      <w:r w:rsidRPr="0078305B">
        <w:rPr>
          <w:i/>
          <w:iCs/>
        </w:rPr>
        <w:t xml:space="preserve"> Mostra maior atividade em áreas de foco, decisão e regulação emocional.</w:t>
      </w:r>
    </w:p>
    <w:p w14:paraId="20CB00DD" w14:textId="77777777" w:rsidR="0078305B" w:rsidRPr="0078305B" w:rsidRDefault="0078305B" w:rsidP="0078305B">
      <w:pPr>
        <w:numPr>
          <w:ilvl w:val="1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Redução da Amígdala:</w:t>
      </w:r>
      <w:r w:rsidRPr="0078305B">
        <w:rPr>
          <w:i/>
          <w:iCs/>
        </w:rPr>
        <w:t xml:space="preserve"> Visualiza-se uma menor ativação do centro do medo e estresse.</w:t>
      </w:r>
    </w:p>
    <w:p w14:paraId="26ECEAB7" w14:textId="77777777" w:rsidR="0078305B" w:rsidRPr="0078305B" w:rsidRDefault="0078305B" w:rsidP="0078305B">
      <w:pPr>
        <w:numPr>
          <w:ilvl w:val="1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Conectividade de Redes:</w:t>
      </w:r>
      <w:r w:rsidRPr="0078305B">
        <w:rPr>
          <w:i/>
          <w:iCs/>
        </w:rPr>
        <w:t xml:space="preserve"> Demonstra maior conexão entre a Rede de Modo Padrão (DMN) e redes executivas durante tarefas criativas. [11, 12, 13] </w:t>
      </w:r>
    </w:p>
    <w:p w14:paraId="69F52C72" w14:textId="77777777" w:rsidR="0078305B" w:rsidRPr="0078305B" w:rsidRDefault="0078305B" w:rsidP="0078305B">
      <w:pPr>
        <w:numPr>
          <w:ilvl w:val="0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Mapeamento Cerebral (QEEG):</w:t>
      </w:r>
    </w:p>
    <w:p w14:paraId="7DB6F391" w14:textId="77777777" w:rsidR="0078305B" w:rsidRPr="0078305B" w:rsidRDefault="0078305B" w:rsidP="0078305B">
      <w:pPr>
        <w:numPr>
          <w:ilvl w:val="1"/>
          <w:numId w:val="2"/>
        </w:numPr>
        <w:rPr>
          <w:i/>
          <w:iCs/>
        </w:rPr>
      </w:pPr>
      <w:r w:rsidRPr="0078305B">
        <w:rPr>
          <w:i/>
          <w:iCs/>
        </w:rPr>
        <w:t xml:space="preserve">Mede as ondas cerebrais em tempo real. A visualização criativa costuma aumentar as </w:t>
      </w:r>
      <w:r w:rsidRPr="0078305B">
        <w:rPr>
          <w:b/>
          <w:bCs/>
          <w:i/>
          <w:iCs/>
        </w:rPr>
        <w:t>ondas Alfa e Teta</w:t>
      </w:r>
      <w:r w:rsidRPr="0078305B">
        <w:rPr>
          <w:i/>
          <w:iCs/>
        </w:rPr>
        <w:t xml:space="preserve">, associadas ao relaxamento profundo e insights criativos. [14, 15, 16] </w:t>
      </w:r>
    </w:p>
    <w:p w14:paraId="6EAAFFED" w14:textId="77777777" w:rsidR="0078305B" w:rsidRPr="0078305B" w:rsidRDefault="0078305B" w:rsidP="0078305B">
      <w:pPr>
        <w:numPr>
          <w:ilvl w:val="0"/>
          <w:numId w:val="2"/>
        </w:numPr>
        <w:rPr>
          <w:i/>
          <w:iCs/>
        </w:rPr>
      </w:pPr>
      <w:r w:rsidRPr="0078305B">
        <w:rPr>
          <w:b/>
          <w:bCs/>
          <w:i/>
          <w:iCs/>
        </w:rPr>
        <w:t>Densitometria Óssea e DEXA:</w:t>
      </w:r>
    </w:p>
    <w:p w14:paraId="312929D9" w14:textId="77777777" w:rsidR="0078305B" w:rsidRPr="0078305B" w:rsidRDefault="0078305B" w:rsidP="0078305B">
      <w:pPr>
        <w:numPr>
          <w:ilvl w:val="1"/>
          <w:numId w:val="2"/>
        </w:numPr>
        <w:rPr>
          <w:i/>
          <w:iCs/>
        </w:rPr>
      </w:pPr>
      <w:r w:rsidRPr="0078305B">
        <w:rPr>
          <w:i/>
          <w:iCs/>
        </w:rPr>
        <w:t xml:space="preserve">Embora indireto, é usado em pesquisas para medir como a visualização pode auxiliar na recuperação de fraturas ou ganho de força muscular (em conjunto com a fisioterapia). [2, 17] </w:t>
      </w:r>
    </w:p>
    <w:p w14:paraId="13374253" w14:textId="77777777" w:rsidR="0078305B" w:rsidRPr="0078305B" w:rsidRDefault="0078305B" w:rsidP="0078305B">
      <w:pPr>
        <w:rPr>
          <w:b/>
          <w:bCs/>
          <w:i/>
          <w:iCs/>
        </w:rPr>
      </w:pPr>
      <w:r w:rsidRPr="0078305B">
        <w:rPr>
          <w:b/>
          <w:bCs/>
          <w:i/>
          <w:iCs/>
        </w:rPr>
        <w:t>Resumo de Aplicação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533"/>
        <w:gridCol w:w="3862"/>
      </w:tblGrid>
      <w:tr w:rsidR="0078305B" w:rsidRPr="0078305B" w14:paraId="00DD9D7B" w14:textId="77777777" w:rsidTr="007830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8317C" w14:textId="77777777" w:rsidR="0078305B" w:rsidRPr="0078305B" w:rsidRDefault="0078305B" w:rsidP="0078305B">
            <w:pPr>
              <w:rPr>
                <w:b/>
                <w:bCs/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 xml:space="preserve">Objetivo [3]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F38E3" w14:textId="77777777" w:rsidR="0078305B" w:rsidRPr="0078305B" w:rsidRDefault="0078305B" w:rsidP="0078305B">
            <w:pPr>
              <w:rPr>
                <w:b/>
                <w:bCs/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>Exame Sugerido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64A4E" w14:textId="77777777" w:rsidR="0078305B" w:rsidRPr="0078305B" w:rsidRDefault="0078305B" w:rsidP="0078305B">
            <w:pPr>
              <w:rPr>
                <w:b/>
                <w:bCs/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>O que esperar ver</w:t>
            </w:r>
          </w:p>
        </w:tc>
      </w:tr>
      <w:tr w:rsidR="0078305B" w:rsidRPr="0078305B" w14:paraId="4E2D67A7" w14:textId="77777777" w:rsidTr="007830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F36FF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>Redução de Ansiedade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DC123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Cortisol e fMRI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71B42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Menos cortisol no sangue; amígdala menos ativa.</w:t>
            </w:r>
          </w:p>
        </w:tc>
      </w:tr>
      <w:tr w:rsidR="0078305B" w:rsidRPr="0078305B" w14:paraId="0A2B154F" w14:textId="77777777" w:rsidTr="007830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E3FBE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>Foco e Performance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04034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fMRI e QEEG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BDF1C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Maior atividade no córtex pré-frontal e ondas Alfa.</w:t>
            </w:r>
          </w:p>
        </w:tc>
      </w:tr>
      <w:tr w:rsidR="0078305B" w:rsidRPr="0078305B" w14:paraId="1A78C059" w14:textId="77777777" w:rsidTr="007830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D2CF9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b/>
                <w:bCs/>
                <w:i/>
                <w:iCs/>
              </w:rPr>
              <w:t>Recuperação Física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32BEB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Biomarcadores inflamatórios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89995" w14:textId="77777777" w:rsidR="0078305B" w:rsidRPr="0078305B" w:rsidRDefault="0078305B" w:rsidP="0078305B">
            <w:pPr>
              <w:rPr>
                <w:i/>
                <w:iCs/>
              </w:rPr>
            </w:pPr>
            <w:r w:rsidRPr="0078305B">
              <w:rPr>
                <w:i/>
                <w:iCs/>
              </w:rPr>
              <w:t>Queda na PCR e citocinas pró-inflamatórias.</w:t>
            </w:r>
          </w:p>
        </w:tc>
      </w:tr>
    </w:tbl>
    <w:p w14:paraId="2577DA4B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Você gostaria de saber como </w:t>
      </w:r>
      <w:r w:rsidRPr="0078305B">
        <w:rPr>
          <w:b/>
          <w:bCs/>
          <w:i/>
          <w:iCs/>
        </w:rPr>
        <w:t>estruturar uma rotina de visualização</w:t>
      </w:r>
      <w:r w:rsidRPr="0078305B">
        <w:rPr>
          <w:i/>
          <w:iCs/>
        </w:rPr>
        <w:t xml:space="preserve"> para impactar especificamente esses marcadores de inflamação e cortisol?</w:t>
      </w:r>
    </w:p>
    <w:p w14:paraId="01FE3F6C" w14:textId="77777777" w:rsidR="0078305B" w:rsidRPr="0078305B" w:rsidRDefault="0078305B" w:rsidP="0078305B">
      <w:pPr>
        <w:rPr>
          <w:i/>
          <w:iCs/>
        </w:rPr>
      </w:pPr>
    </w:p>
    <w:p w14:paraId="11D3D35A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[1] </w:t>
      </w:r>
      <w:hyperlink r:id="rId5" w:history="1">
        <w:r w:rsidRPr="0078305B">
          <w:rPr>
            <w:rStyle w:val="Hyperlink"/>
            <w:i/>
            <w:iCs/>
          </w:rPr>
          <w:t>https://www.youtube.com</w:t>
        </w:r>
      </w:hyperlink>
    </w:p>
    <w:p w14:paraId="065FD142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[2] </w:t>
      </w:r>
      <w:hyperlink r:id="rId6" w:history="1">
        <w:r w:rsidRPr="0078305B">
          <w:rPr>
            <w:rStyle w:val="Hyperlink"/>
            <w:i/>
            <w:iCs/>
          </w:rPr>
          <w:t>https://www.youtube.com</w:t>
        </w:r>
      </w:hyperlink>
    </w:p>
    <w:p w14:paraId="24EB85E1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[3] </w:t>
      </w:r>
      <w:hyperlink r:id="rId7" w:history="1">
        <w:r w:rsidRPr="0078305B">
          <w:rPr>
            <w:rStyle w:val="Hyperlink"/>
            <w:i/>
            <w:iCs/>
          </w:rPr>
          <w:t>https://www.nature.com</w:t>
        </w:r>
      </w:hyperlink>
    </w:p>
    <w:p w14:paraId="7A7BC55A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[4] </w:t>
      </w:r>
      <w:hyperlink r:id="rId8" w:history="1">
        <w:r w:rsidRPr="0078305B">
          <w:rPr>
            <w:rStyle w:val="Hyperlink"/>
            <w:i/>
            <w:iCs/>
          </w:rPr>
          <w:t>https://pmc.ncbi.nlm.nih.gov</w:t>
        </w:r>
      </w:hyperlink>
    </w:p>
    <w:p w14:paraId="794F0BDF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[5] </w:t>
      </w:r>
      <w:hyperlink r:id="rId9" w:history="1">
        <w:r w:rsidRPr="0078305B">
          <w:rPr>
            <w:rStyle w:val="Hyperlink"/>
            <w:i/>
            <w:iCs/>
          </w:rPr>
          <w:t>https://www.sciencedirect.com</w:t>
        </w:r>
      </w:hyperlink>
    </w:p>
    <w:p w14:paraId="688765B7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[6] </w:t>
      </w:r>
      <w:hyperlink r:id="rId10" w:history="1">
        <w:r w:rsidRPr="0078305B">
          <w:rPr>
            <w:rStyle w:val="Hyperlink"/>
            <w:i/>
            <w:iCs/>
          </w:rPr>
          <w:t>https://healthcare-bulletin.co.uk</w:t>
        </w:r>
      </w:hyperlink>
    </w:p>
    <w:p w14:paraId="2D56197D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[7] </w:t>
      </w:r>
      <w:hyperlink r:id="rId11" w:history="1">
        <w:r w:rsidRPr="0078305B">
          <w:rPr>
            <w:rStyle w:val="Hyperlink"/>
            <w:i/>
            <w:iCs/>
          </w:rPr>
          <w:t>https://pmc.ncbi.nlm.nih.gov</w:t>
        </w:r>
      </w:hyperlink>
    </w:p>
    <w:p w14:paraId="5B1C9B7D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[8] </w:t>
      </w:r>
      <w:hyperlink r:id="rId12" w:history="1">
        <w:r w:rsidRPr="0078305B">
          <w:rPr>
            <w:rStyle w:val="Hyperlink"/>
            <w:i/>
            <w:iCs/>
          </w:rPr>
          <w:t>https://pmc.ncbi.nlm.nih.gov</w:t>
        </w:r>
      </w:hyperlink>
    </w:p>
    <w:p w14:paraId="7385E465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[9] </w:t>
      </w:r>
      <w:hyperlink r:id="rId13" w:history="1">
        <w:r w:rsidRPr="0078305B">
          <w:rPr>
            <w:rStyle w:val="Hyperlink"/>
            <w:i/>
            <w:iCs/>
          </w:rPr>
          <w:t>https://pmc.ncbi.nlm.nih.gov</w:t>
        </w:r>
      </w:hyperlink>
    </w:p>
    <w:p w14:paraId="7297FCA9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[10] </w:t>
      </w:r>
      <w:hyperlink r:id="rId14" w:history="1">
        <w:r w:rsidRPr="0078305B">
          <w:rPr>
            <w:rStyle w:val="Hyperlink"/>
            <w:i/>
            <w:iCs/>
          </w:rPr>
          <w:t>https://pubmed.ncbi.nlm.nih.gov</w:t>
        </w:r>
      </w:hyperlink>
    </w:p>
    <w:p w14:paraId="4BC4D6E8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[11] </w:t>
      </w:r>
      <w:hyperlink r:id="rId15" w:history="1">
        <w:r w:rsidRPr="0078305B">
          <w:rPr>
            <w:rStyle w:val="Hyperlink"/>
            <w:i/>
            <w:iCs/>
          </w:rPr>
          <w:t>https://www.ncbi.nlm.nih.gov</w:t>
        </w:r>
      </w:hyperlink>
    </w:p>
    <w:p w14:paraId="59755154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[12] </w:t>
      </w:r>
      <w:hyperlink r:id="rId16" w:history="1">
        <w:r w:rsidRPr="0078305B">
          <w:rPr>
            <w:rStyle w:val="Hyperlink"/>
            <w:i/>
            <w:iCs/>
          </w:rPr>
          <w:t>https://www.youtube.com</w:t>
        </w:r>
      </w:hyperlink>
    </w:p>
    <w:p w14:paraId="04BDF58F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[13] </w:t>
      </w:r>
      <w:hyperlink r:id="rId17" w:history="1">
        <w:r w:rsidRPr="0078305B">
          <w:rPr>
            <w:rStyle w:val="Hyperlink"/>
            <w:i/>
            <w:iCs/>
          </w:rPr>
          <w:t>https://pmc.ncbi.nlm.nih.gov</w:t>
        </w:r>
      </w:hyperlink>
    </w:p>
    <w:p w14:paraId="068233F6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[14] </w:t>
      </w:r>
      <w:hyperlink r:id="rId18" w:anchor=":~:text=This%20study%20investigated%20the%20effects%20of%20an,meditation%27s%20role%20in%20cardiovascular%20and%20neurophysiological%20regulation." w:history="1">
        <w:r w:rsidRPr="0078305B">
          <w:rPr>
            <w:rStyle w:val="Hyperlink"/>
            <w:i/>
            <w:iCs/>
          </w:rPr>
          <w:t>https://healthcare-bulletin.co.uk</w:t>
        </w:r>
      </w:hyperlink>
    </w:p>
    <w:p w14:paraId="4C102302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[15] </w:t>
      </w:r>
      <w:hyperlink r:id="rId19" w:history="1">
        <w:r w:rsidRPr="0078305B">
          <w:rPr>
            <w:rStyle w:val="Hyperlink"/>
            <w:i/>
            <w:iCs/>
          </w:rPr>
          <w:t>https://www.youtube.com</w:t>
        </w:r>
      </w:hyperlink>
    </w:p>
    <w:p w14:paraId="221BD7E0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[16] </w:t>
      </w:r>
      <w:hyperlink r:id="rId20" w:anchor=":~:text=A%20resson%C3%A2ncia%20magn%C3%A9tica%20funcional%2C%20ou%20fMRI%20%28do,as%20varia%C3%A7%C3%B5es%20no%20fluxo%20sangu%C3%ADneo%20do%20c%C3%A9rebro." w:history="1">
        <w:r w:rsidRPr="0078305B">
          <w:rPr>
            <w:rStyle w:val="Hyperlink"/>
            <w:i/>
            <w:iCs/>
          </w:rPr>
          <w:t>https://www.ufrn.br</w:t>
        </w:r>
      </w:hyperlink>
    </w:p>
    <w:p w14:paraId="21355F2E" w14:textId="77777777" w:rsidR="0078305B" w:rsidRPr="0078305B" w:rsidRDefault="0078305B" w:rsidP="0078305B">
      <w:pPr>
        <w:rPr>
          <w:i/>
          <w:iCs/>
        </w:rPr>
      </w:pPr>
      <w:r w:rsidRPr="0078305B">
        <w:rPr>
          <w:i/>
          <w:iCs/>
        </w:rPr>
        <w:t xml:space="preserve">[17] </w:t>
      </w:r>
      <w:hyperlink r:id="rId21" w:history="1">
        <w:r w:rsidRPr="0078305B">
          <w:rPr>
            <w:rStyle w:val="Hyperlink"/>
            <w:i/>
            <w:iCs/>
          </w:rPr>
          <w:t>https://www.youtube.com</w:t>
        </w:r>
      </w:hyperlink>
    </w:p>
    <w:p w14:paraId="76D3E4DC" w14:textId="77777777" w:rsidR="0078305B" w:rsidRDefault="0078305B" w:rsidP="0084411E">
      <w:pPr>
        <w:rPr>
          <w:i/>
          <w:iCs/>
        </w:rPr>
      </w:pPr>
    </w:p>
    <w:p w14:paraId="728F3E3C" w14:textId="77777777" w:rsidR="0084411E" w:rsidRDefault="0084411E" w:rsidP="0084411E">
      <w:pPr>
        <w:rPr>
          <w:i/>
          <w:iCs/>
        </w:rPr>
      </w:pPr>
    </w:p>
    <w:p w14:paraId="27BA2B41" w14:textId="77777777" w:rsidR="0084411E" w:rsidRDefault="0084411E" w:rsidP="0084411E">
      <w:pPr>
        <w:rPr>
          <w:i/>
          <w:iCs/>
        </w:rPr>
      </w:pPr>
    </w:p>
    <w:p w14:paraId="00C53E90" w14:textId="77777777" w:rsidR="0084411E" w:rsidRPr="0084411E" w:rsidRDefault="0084411E" w:rsidP="0084411E"/>
    <w:sectPr w:rsidR="0084411E" w:rsidRPr="00844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1250"/>
    <w:multiLevelType w:val="multilevel"/>
    <w:tmpl w:val="8A3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D281F"/>
    <w:multiLevelType w:val="multilevel"/>
    <w:tmpl w:val="DFB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54284">
    <w:abstractNumId w:val="1"/>
  </w:num>
  <w:num w:numId="2" w16cid:durableId="13679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72"/>
    <w:rsid w:val="00080BB6"/>
    <w:rsid w:val="005D5668"/>
    <w:rsid w:val="00672CB6"/>
    <w:rsid w:val="006E551A"/>
    <w:rsid w:val="006F5D50"/>
    <w:rsid w:val="0073218B"/>
    <w:rsid w:val="0078305B"/>
    <w:rsid w:val="007D7492"/>
    <w:rsid w:val="0084411E"/>
    <w:rsid w:val="008A50EA"/>
    <w:rsid w:val="0090469A"/>
    <w:rsid w:val="009818BD"/>
    <w:rsid w:val="00A63CCF"/>
    <w:rsid w:val="00AD0D9C"/>
    <w:rsid w:val="00B753F9"/>
    <w:rsid w:val="00BD1472"/>
    <w:rsid w:val="00BF24C6"/>
    <w:rsid w:val="00BF765A"/>
    <w:rsid w:val="00C46285"/>
    <w:rsid w:val="00C66723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C23E"/>
  <w15:chartTrackingRefBased/>
  <w15:docId w15:val="{069B1CB3-8AEE-4B47-9582-CD61B33A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BD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4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4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4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4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4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4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4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830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3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41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0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0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5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3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54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3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2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1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46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5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7177919/" TargetMode="External"/><Relationship Id="rId13" Type="http://schemas.openxmlformats.org/officeDocument/2006/relationships/hyperlink" Target="https://pmc.ncbi.nlm.nih.gov/articles/PMC7177919/" TargetMode="External"/><Relationship Id="rId18" Type="http://schemas.openxmlformats.org/officeDocument/2006/relationships/hyperlink" Target="https://healthcare-bulletin.co.uk/article/meditation-induced-changes-in-blood-pressure-and-brain-function-via-electroencephalography-3449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88xWJsZM3D4&amp;t=6" TargetMode="External"/><Relationship Id="rId7" Type="http://schemas.openxmlformats.org/officeDocument/2006/relationships/hyperlink" Target="https://www.nature.com/articles/s41598-020-63168-4" TargetMode="External"/><Relationship Id="rId12" Type="http://schemas.openxmlformats.org/officeDocument/2006/relationships/hyperlink" Target="https://pmc.ncbi.nlm.nih.gov/articles/PMC11660067/" TargetMode="External"/><Relationship Id="rId17" Type="http://schemas.openxmlformats.org/officeDocument/2006/relationships/hyperlink" Target="https://pmc.ncbi.nlm.nih.gov/articles/PMC517181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Hh-j1Ecx4c" TargetMode="External"/><Relationship Id="rId20" Type="http://schemas.openxmlformats.org/officeDocument/2006/relationships/hyperlink" Target="https://www.ufrn.br/imprensa/reportagens-e-saberes/97243/neuroimagem-avancad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Fjp3KUwNvU&amp;t=98" TargetMode="External"/><Relationship Id="rId11" Type="http://schemas.openxmlformats.org/officeDocument/2006/relationships/hyperlink" Target="https://pmc.ncbi.nlm.nih.gov/articles/PMC4535637/" TargetMode="External"/><Relationship Id="rId5" Type="http://schemas.openxmlformats.org/officeDocument/2006/relationships/hyperlink" Target="https://www.youtube.com/watch?v=E8k6LcYO_Vg&amp;t=256" TargetMode="External"/><Relationship Id="rId15" Type="http://schemas.openxmlformats.org/officeDocument/2006/relationships/hyperlink" Target="https://www.ncbi.nlm.nih.gov/pmc/articles/PMC6153914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ealthcare-bulletin.co.uk/article/assessment-of-cortisol-and-inflammatory-biomarkers-in-first-episode-psychosis-a-cross-sectional-study-3352/" TargetMode="External"/><Relationship Id="rId19" Type="http://schemas.openxmlformats.org/officeDocument/2006/relationships/hyperlink" Target="https://www.youtube.com/watch?v=EaydufiY_C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306453021004534" TargetMode="External"/><Relationship Id="rId14" Type="http://schemas.openxmlformats.org/officeDocument/2006/relationships/hyperlink" Target="https://pubmed.ncbi.nlm.nih.gov/30320574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790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2026-04-27T09:24:00Z</dcterms:created>
  <dcterms:modified xsi:type="dcterms:W3CDTF">2026-04-27T10:44:00Z</dcterms:modified>
</cp:coreProperties>
</file>