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C9AD7" w14:textId="77777777" w:rsidR="002234EA" w:rsidRPr="00F8658C" w:rsidRDefault="00000000" w:rsidP="00EF1A89">
      <w:pPr>
        <w:spacing w:after="240" w:line="360" w:lineRule="auto"/>
        <w:jc w:val="center"/>
        <w:rPr>
          <w:rFonts w:ascii="Times New Roman" w:hAnsi="Times New Roman" w:cs="Times New Roman"/>
        </w:rPr>
      </w:pPr>
      <w:r w:rsidRPr="00F8658C">
        <w:rPr>
          <w:rFonts w:ascii="Times New Roman" w:hAnsi="Times New Roman" w:cs="Times New Roman"/>
        </w:rPr>
        <w:t>FUNDAMENTOS DA SAÚDE INTEGRATIVA: SEC, POLIVAGAL, HOMEOPATIA E MEV</w:t>
      </w:r>
    </w:p>
    <w:p w14:paraId="57B7E4F9" w14:textId="211994CD" w:rsidR="002234EA" w:rsidRPr="00F8658C" w:rsidRDefault="00F8658C" w:rsidP="00EF1A89">
      <w:pPr>
        <w:spacing w:after="240" w:line="360" w:lineRule="auto"/>
        <w:jc w:val="center"/>
        <w:rPr>
          <w:rFonts w:ascii="Times New Roman" w:hAnsi="Times New Roman" w:cs="Times New Roman"/>
        </w:rPr>
      </w:pPr>
      <w:r>
        <w:rPr>
          <w:rFonts w:ascii="Times New Roman" w:hAnsi="Times New Roman" w:cs="Times New Roman"/>
        </w:rPr>
        <w:t xml:space="preserve">Jacareí /SP - </w:t>
      </w:r>
      <w:r w:rsidR="00000000" w:rsidRPr="00F8658C">
        <w:rPr>
          <w:rFonts w:ascii="Times New Roman" w:hAnsi="Times New Roman" w:cs="Times New Roman"/>
        </w:rPr>
        <w:t xml:space="preserve"> de 2026</w:t>
      </w:r>
    </w:p>
    <w:p w14:paraId="552AEB9A" w14:textId="77777777" w:rsidR="00F8658C" w:rsidRDefault="00F8658C" w:rsidP="00AC2A69">
      <w:pPr>
        <w:spacing w:after="240" w:line="360" w:lineRule="auto"/>
        <w:jc w:val="both"/>
        <w:rPr>
          <w:rFonts w:ascii="Times New Roman" w:hAnsi="Times New Roman" w:cs="Times New Roman"/>
        </w:rPr>
      </w:pPr>
    </w:p>
    <w:p w14:paraId="2C40C6EC" w14:textId="0D199B7B" w:rsidR="002234EA" w:rsidRPr="00F8658C" w:rsidRDefault="00000000" w:rsidP="00AC2A69">
      <w:pPr>
        <w:spacing w:after="240" w:line="360" w:lineRule="auto"/>
        <w:jc w:val="both"/>
        <w:rPr>
          <w:rFonts w:ascii="Times New Roman" w:hAnsi="Times New Roman" w:cs="Times New Roman"/>
        </w:rPr>
      </w:pPr>
      <w:r w:rsidRPr="00F8658C">
        <w:rPr>
          <w:rFonts w:ascii="Times New Roman" w:hAnsi="Times New Roman" w:cs="Times New Roman"/>
        </w:rPr>
        <w:t>SEC</w:t>
      </w:r>
      <w:r w:rsidR="00F8658C">
        <w:rPr>
          <w:rFonts w:ascii="Times New Roman" w:hAnsi="Times New Roman" w:cs="Times New Roman"/>
        </w:rPr>
        <w:t xml:space="preserve"> – </w:t>
      </w:r>
      <w:r w:rsidR="00F8658C" w:rsidRPr="00F8658C">
        <w:rPr>
          <w:rFonts w:ascii="Times New Roman" w:hAnsi="Times New Roman" w:cs="Times New Roman"/>
        </w:rPr>
        <w:t>Sistema</w:t>
      </w:r>
      <w:r w:rsidR="00F8658C">
        <w:rPr>
          <w:rFonts w:ascii="Times New Roman" w:hAnsi="Times New Roman" w:cs="Times New Roman"/>
        </w:rPr>
        <w:t xml:space="preserve"> </w:t>
      </w:r>
      <w:r w:rsidR="00F8658C" w:rsidRPr="00F8658C">
        <w:rPr>
          <w:rFonts w:ascii="Times New Roman" w:hAnsi="Times New Roman" w:cs="Times New Roman"/>
        </w:rPr>
        <w:t>Endocanabinoide;</w:t>
      </w:r>
      <w:r w:rsidR="00F8658C">
        <w:rPr>
          <w:rFonts w:ascii="Times New Roman" w:hAnsi="Times New Roman" w:cs="Times New Roman"/>
        </w:rPr>
        <w:t xml:space="preserve"> </w:t>
      </w:r>
      <w:r w:rsidRPr="00F8658C">
        <w:rPr>
          <w:rFonts w:ascii="Times New Roman" w:hAnsi="Times New Roman" w:cs="Times New Roman"/>
        </w:rPr>
        <w:t>O Mestre Regulador da Homeostase</w:t>
      </w:r>
    </w:p>
    <w:p w14:paraId="4C1C1863" w14:textId="57DB9645" w:rsidR="002234EA" w:rsidRPr="00F8658C" w:rsidRDefault="00000000" w:rsidP="00AC2A69">
      <w:pPr>
        <w:spacing w:after="240" w:line="360" w:lineRule="auto"/>
        <w:jc w:val="both"/>
        <w:rPr>
          <w:rFonts w:ascii="Times New Roman" w:hAnsi="Times New Roman" w:cs="Times New Roman"/>
        </w:rPr>
      </w:pPr>
      <w:r w:rsidRPr="00F8658C">
        <w:rPr>
          <w:rFonts w:ascii="Times New Roman" w:hAnsi="Times New Roman" w:cs="Times New Roman"/>
        </w:rPr>
        <w:t xml:space="preserve">O Sistema Endocanabinoide (SEC) é </w:t>
      </w:r>
      <w:r w:rsidR="00F8658C">
        <w:rPr>
          <w:rFonts w:ascii="Times New Roman" w:hAnsi="Times New Roman" w:cs="Times New Roman"/>
        </w:rPr>
        <w:t xml:space="preserve">bem mais do que </w:t>
      </w:r>
      <w:r w:rsidRPr="00F8658C">
        <w:rPr>
          <w:rFonts w:ascii="Times New Roman" w:hAnsi="Times New Roman" w:cs="Times New Roman"/>
        </w:rPr>
        <w:t xml:space="preserve">um sistema acessório, </w:t>
      </w:r>
      <w:r w:rsidR="00F8658C">
        <w:rPr>
          <w:rFonts w:ascii="Times New Roman" w:hAnsi="Times New Roman" w:cs="Times New Roman"/>
        </w:rPr>
        <w:t>a</w:t>
      </w:r>
      <w:r w:rsidRPr="00F8658C">
        <w:rPr>
          <w:rFonts w:ascii="Times New Roman" w:hAnsi="Times New Roman" w:cs="Times New Roman"/>
        </w:rPr>
        <w:t xml:space="preserve">o </w:t>
      </w:r>
      <w:r w:rsidR="00F8658C">
        <w:rPr>
          <w:rFonts w:ascii="Times New Roman" w:hAnsi="Times New Roman" w:cs="Times New Roman"/>
        </w:rPr>
        <w:t xml:space="preserve">contraio, é </w:t>
      </w:r>
      <w:r w:rsidRPr="00F8658C">
        <w:rPr>
          <w:rFonts w:ascii="Times New Roman" w:hAnsi="Times New Roman" w:cs="Times New Roman"/>
        </w:rPr>
        <w:t xml:space="preserve">eixo de sinalização lipídica que governa a homeostase em quase todos os sistemas fisiológicos dos </w:t>
      </w:r>
      <w:r w:rsidR="00F8658C">
        <w:rPr>
          <w:rFonts w:ascii="Times New Roman" w:hAnsi="Times New Roman" w:cs="Times New Roman"/>
        </w:rPr>
        <w:t xml:space="preserve">animais </w:t>
      </w:r>
      <w:r w:rsidRPr="00F8658C">
        <w:rPr>
          <w:rFonts w:ascii="Times New Roman" w:hAnsi="Times New Roman" w:cs="Times New Roman"/>
        </w:rPr>
        <w:t xml:space="preserve">vertebrados. Ele atua como um modulador retrógrado, permitindo que as células pós-sinápticas enviem sinais de "feedback" para as pré-sinápticas, ajustando o fluxo de neurotransmissores e impedindo a </w:t>
      </w:r>
      <w:proofErr w:type="spellStart"/>
      <w:r w:rsidRPr="00F8658C">
        <w:rPr>
          <w:rFonts w:ascii="Times New Roman" w:hAnsi="Times New Roman" w:cs="Times New Roman"/>
        </w:rPr>
        <w:t>excitotoxicidade</w:t>
      </w:r>
      <w:proofErr w:type="spellEnd"/>
      <w:r w:rsidRPr="00F8658C">
        <w:rPr>
          <w:rFonts w:ascii="Times New Roman" w:hAnsi="Times New Roman" w:cs="Times New Roman"/>
        </w:rPr>
        <w:t xml:space="preserve"> ou a </w:t>
      </w:r>
      <w:proofErr w:type="spellStart"/>
      <w:r w:rsidRPr="00F8658C">
        <w:rPr>
          <w:rFonts w:ascii="Times New Roman" w:hAnsi="Times New Roman" w:cs="Times New Roman"/>
        </w:rPr>
        <w:t>hipofunção</w:t>
      </w:r>
      <w:proofErr w:type="spellEnd"/>
      <w:r w:rsidRPr="00F8658C">
        <w:rPr>
          <w:rFonts w:ascii="Times New Roman" w:hAnsi="Times New Roman" w:cs="Times New Roman"/>
        </w:rPr>
        <w:t xml:space="preserve"> sistêmica. No contexto da Saúde Integrativa, o SEC é o maestro que garante que a orquestra biológica não toque em dissonância.</w:t>
      </w:r>
    </w:p>
    <w:p w14:paraId="6CE060D5" w14:textId="699A6CA7" w:rsidR="002234EA" w:rsidRPr="00F8658C" w:rsidRDefault="00F8658C" w:rsidP="00AC2A69">
      <w:pPr>
        <w:spacing w:after="240" w:line="360" w:lineRule="auto"/>
        <w:jc w:val="both"/>
        <w:rPr>
          <w:rFonts w:ascii="Times New Roman" w:hAnsi="Times New Roman" w:cs="Times New Roman"/>
        </w:rPr>
      </w:pPr>
      <w:r>
        <w:rPr>
          <w:rFonts w:ascii="Times New Roman" w:hAnsi="Times New Roman" w:cs="Times New Roman"/>
        </w:rPr>
        <w:tab/>
      </w:r>
      <w:r w:rsidR="00000000" w:rsidRPr="00F8658C">
        <w:rPr>
          <w:rFonts w:ascii="Times New Roman" w:hAnsi="Times New Roman" w:cs="Times New Roman"/>
        </w:rPr>
        <w:t>Receptores CB1, CB2 e o Tônus Endocanabinoide</w:t>
      </w:r>
    </w:p>
    <w:p w14:paraId="76EFC788" w14:textId="77777777" w:rsidR="002234EA" w:rsidRPr="00F8658C" w:rsidRDefault="00000000" w:rsidP="00AC2A69">
      <w:pPr>
        <w:spacing w:after="240" w:line="360" w:lineRule="auto"/>
        <w:jc w:val="both"/>
        <w:rPr>
          <w:rFonts w:ascii="Times New Roman" w:hAnsi="Times New Roman" w:cs="Times New Roman"/>
        </w:rPr>
      </w:pPr>
      <w:r w:rsidRPr="00F8658C">
        <w:rPr>
          <w:rFonts w:ascii="Times New Roman" w:hAnsi="Times New Roman" w:cs="Times New Roman"/>
        </w:rPr>
        <w:t>A arquitetura do SEC baseia-se em dois receptores principais: o CB1, com densa expressão no Sistema Nervoso Central (SNC), mediando funções cognitivas, percepção de dor e controle motor; e o CB2, predominantemente localizado no sistema imunológico e tecidos periféricos, atuando na modulação da resposta inflamatória. O conceito de tônus endocanabinoide refere-se aos níveis basais de endocanabinoides (como Anandamida e 2-AG) e à densidade desses receptores. Uma deficiência clínica nesse tônus está diretamente associada a patologias complexas, como fibromialgia, enxaqueca e síndrome do intestino irritável, evidenciando que a saúde depende da manutenção desse equilíbrio químico.</w:t>
      </w:r>
    </w:p>
    <w:p w14:paraId="67C6ABDB" w14:textId="1CD1B734" w:rsidR="002234EA" w:rsidRPr="00F8658C" w:rsidRDefault="00F8658C" w:rsidP="00AC2A69">
      <w:pPr>
        <w:spacing w:after="240" w:line="360" w:lineRule="auto"/>
        <w:jc w:val="both"/>
        <w:rPr>
          <w:rFonts w:ascii="Times New Roman" w:hAnsi="Times New Roman" w:cs="Times New Roman"/>
        </w:rPr>
      </w:pPr>
      <w:r>
        <w:rPr>
          <w:rFonts w:ascii="Times New Roman" w:hAnsi="Times New Roman" w:cs="Times New Roman"/>
        </w:rPr>
        <w:tab/>
      </w:r>
      <w:r w:rsidR="00000000" w:rsidRPr="00F8658C">
        <w:rPr>
          <w:rFonts w:ascii="Times New Roman" w:hAnsi="Times New Roman" w:cs="Times New Roman"/>
        </w:rPr>
        <w:t>Interação com o Eixo PNEI</w:t>
      </w:r>
    </w:p>
    <w:p w14:paraId="4BBBEFB6" w14:textId="77777777" w:rsidR="002234EA" w:rsidRPr="00F8658C" w:rsidRDefault="00000000" w:rsidP="00AC2A69">
      <w:pPr>
        <w:spacing w:after="240" w:line="360" w:lineRule="auto"/>
        <w:jc w:val="both"/>
        <w:rPr>
          <w:rFonts w:ascii="Times New Roman" w:hAnsi="Times New Roman" w:cs="Times New Roman"/>
        </w:rPr>
      </w:pPr>
      <w:r w:rsidRPr="00F8658C">
        <w:rPr>
          <w:rFonts w:ascii="Times New Roman" w:hAnsi="Times New Roman" w:cs="Times New Roman"/>
        </w:rPr>
        <w:t>A interação entre fitocanabinoides e o eixo Psiconeuroendocrinoimunológico (PNEI) representa uma fronteira tecnológica na medicina moderna. Ao modular o SEC, é possível influenciar a liberação de cortisol, a produção de citocinas pró-inflamatórias e a plasticidade neuronal. Esta modulação não busca a supressão de sintomas, mas a restauração da capacidade de autorregulação do organismo, permitindo que o indivíduo responda ao estresse ambiental sem colapsar sua integridade biológica.</w:t>
      </w:r>
    </w:p>
    <w:p w14:paraId="03E7FC54" w14:textId="7C6B8124" w:rsidR="002234EA" w:rsidRPr="00F8658C" w:rsidRDefault="00F8658C" w:rsidP="00AC2A69">
      <w:pPr>
        <w:spacing w:after="240" w:line="360" w:lineRule="auto"/>
        <w:jc w:val="both"/>
        <w:rPr>
          <w:rFonts w:ascii="Times New Roman" w:hAnsi="Times New Roman" w:cs="Times New Roman"/>
        </w:rPr>
      </w:pPr>
      <w:r>
        <w:rPr>
          <w:rFonts w:ascii="Times New Roman" w:hAnsi="Times New Roman" w:cs="Times New Roman"/>
        </w:rPr>
        <w:tab/>
      </w:r>
      <w:r w:rsidR="00000000" w:rsidRPr="00F8658C">
        <w:rPr>
          <w:rFonts w:ascii="Times New Roman" w:hAnsi="Times New Roman" w:cs="Times New Roman"/>
        </w:rPr>
        <w:t>Teoria Polivagal de Porges: A Biologia da Segurança</w:t>
      </w:r>
    </w:p>
    <w:p w14:paraId="75C7C282" w14:textId="77777777" w:rsidR="002234EA" w:rsidRPr="00F8658C" w:rsidRDefault="00000000" w:rsidP="00AC2A69">
      <w:pPr>
        <w:spacing w:after="240" w:line="360" w:lineRule="auto"/>
        <w:jc w:val="both"/>
        <w:rPr>
          <w:rFonts w:ascii="Times New Roman" w:hAnsi="Times New Roman" w:cs="Times New Roman"/>
        </w:rPr>
      </w:pPr>
      <w:r w:rsidRPr="00F8658C">
        <w:rPr>
          <w:rFonts w:ascii="Times New Roman" w:hAnsi="Times New Roman" w:cs="Times New Roman"/>
        </w:rPr>
        <w:t xml:space="preserve">A Teoria Polivagal, desenvolvida por Stephen Porges, redefine nossa compreensão do Sistema Nervoso Autônomo (SNA). Ela postula que o nervo vago não é uma via única, mas um sistema dual que evoluiu para gerenciar diferentes estados de sobrevivência e conexão social. A saúde sistêmica, portanto, não é </w:t>
      </w:r>
      <w:r w:rsidRPr="00F8658C">
        <w:rPr>
          <w:rFonts w:ascii="Times New Roman" w:hAnsi="Times New Roman" w:cs="Times New Roman"/>
        </w:rPr>
        <w:lastRenderedPageBreak/>
        <w:t>apenas a ausência de doença, mas a presença de um estado de segurança biológica que permite o crescimento e a recuperação tecidual.</w:t>
      </w:r>
    </w:p>
    <w:p w14:paraId="0B7DE493" w14:textId="796995E6" w:rsidR="002234EA" w:rsidRPr="00F8658C" w:rsidRDefault="00F8658C" w:rsidP="00AC2A69">
      <w:pPr>
        <w:spacing w:after="240" w:line="360" w:lineRule="auto"/>
        <w:jc w:val="both"/>
        <w:rPr>
          <w:rFonts w:ascii="Times New Roman" w:hAnsi="Times New Roman" w:cs="Times New Roman"/>
        </w:rPr>
      </w:pPr>
      <w:r>
        <w:rPr>
          <w:rFonts w:ascii="Times New Roman" w:hAnsi="Times New Roman" w:cs="Times New Roman"/>
        </w:rPr>
        <w:tab/>
      </w:r>
      <w:r w:rsidR="00000000" w:rsidRPr="00F8658C">
        <w:rPr>
          <w:rFonts w:ascii="Times New Roman" w:hAnsi="Times New Roman" w:cs="Times New Roman"/>
        </w:rPr>
        <w:t>A Hierarquia Autonômica</w:t>
      </w:r>
    </w:p>
    <w:p w14:paraId="77B68BE1" w14:textId="77777777" w:rsidR="002234EA" w:rsidRPr="00F8658C" w:rsidRDefault="00000000" w:rsidP="00AC2A69">
      <w:pPr>
        <w:spacing w:after="240" w:line="360" w:lineRule="auto"/>
        <w:jc w:val="both"/>
        <w:rPr>
          <w:rFonts w:ascii="Times New Roman" w:hAnsi="Times New Roman" w:cs="Times New Roman"/>
        </w:rPr>
      </w:pPr>
      <w:r w:rsidRPr="00F8658C">
        <w:rPr>
          <w:rFonts w:ascii="Times New Roman" w:hAnsi="Times New Roman" w:cs="Times New Roman"/>
        </w:rPr>
        <w:t>O SNA opera em uma hierarquia filogenética que dita nossa resposta ao mundo:</w:t>
      </w:r>
    </w:p>
    <w:p w14:paraId="31212496" w14:textId="71F6A454" w:rsidR="002234EA" w:rsidRPr="00F8658C" w:rsidRDefault="00F8658C" w:rsidP="00AC2A69">
      <w:pPr>
        <w:spacing w:after="240" w:line="360" w:lineRule="auto"/>
        <w:jc w:val="both"/>
        <w:rPr>
          <w:rFonts w:ascii="Times New Roman" w:hAnsi="Times New Roman" w:cs="Times New Roman"/>
        </w:rPr>
      </w:pPr>
      <w:r>
        <w:rPr>
          <w:rFonts w:ascii="Times New Roman" w:hAnsi="Times New Roman" w:cs="Times New Roman"/>
          <w:b/>
          <w:bCs/>
        </w:rPr>
        <w:tab/>
      </w:r>
      <w:r w:rsidR="00000000" w:rsidRPr="00F8658C">
        <w:rPr>
          <w:rFonts w:ascii="Times New Roman" w:hAnsi="Times New Roman" w:cs="Times New Roman"/>
          <w:b/>
          <w:bCs/>
        </w:rPr>
        <w:t>Vagal Ventral (Engajamento Social):</w:t>
      </w:r>
      <w:r w:rsidR="00000000" w:rsidRPr="00F8658C">
        <w:rPr>
          <w:rFonts w:ascii="Times New Roman" w:hAnsi="Times New Roman" w:cs="Times New Roman"/>
        </w:rPr>
        <w:t xml:space="preserve"> O estado de segurança onde o coração desacelera, a audição foca na voz humana e o corpo entra em modo de "descanso e digestão". É o solo fértil para a cura.</w:t>
      </w:r>
    </w:p>
    <w:p w14:paraId="5F854D0E" w14:textId="7631DCF5" w:rsidR="002234EA" w:rsidRPr="00F8658C" w:rsidRDefault="00F8658C" w:rsidP="00AC2A69">
      <w:pPr>
        <w:spacing w:after="240" w:line="360" w:lineRule="auto"/>
        <w:jc w:val="both"/>
        <w:rPr>
          <w:rFonts w:ascii="Times New Roman" w:hAnsi="Times New Roman" w:cs="Times New Roman"/>
        </w:rPr>
      </w:pPr>
      <w:r>
        <w:rPr>
          <w:rFonts w:ascii="Times New Roman" w:hAnsi="Times New Roman" w:cs="Times New Roman"/>
          <w:b/>
          <w:bCs/>
        </w:rPr>
        <w:tab/>
      </w:r>
      <w:r w:rsidR="00000000" w:rsidRPr="00F8658C">
        <w:rPr>
          <w:rFonts w:ascii="Times New Roman" w:hAnsi="Times New Roman" w:cs="Times New Roman"/>
          <w:b/>
          <w:bCs/>
        </w:rPr>
        <w:t xml:space="preserve">Simpático (Luta ou Fuga): </w:t>
      </w:r>
      <w:r w:rsidR="00000000" w:rsidRPr="00F8658C">
        <w:rPr>
          <w:rFonts w:ascii="Times New Roman" w:hAnsi="Times New Roman" w:cs="Times New Roman"/>
        </w:rPr>
        <w:t>Ativado pela percepção de perigo, mobiliza energia, aumenta a frequência cardíaca e inibe processos metabólicos de longo prazo.</w:t>
      </w:r>
    </w:p>
    <w:p w14:paraId="17EA05A1" w14:textId="1E0B2F11" w:rsidR="002234EA" w:rsidRPr="00F8658C" w:rsidRDefault="00F8658C" w:rsidP="00AC2A69">
      <w:pPr>
        <w:spacing w:after="240" w:line="360" w:lineRule="auto"/>
        <w:jc w:val="both"/>
        <w:rPr>
          <w:rFonts w:ascii="Times New Roman" w:hAnsi="Times New Roman" w:cs="Times New Roman"/>
        </w:rPr>
      </w:pPr>
      <w:r>
        <w:rPr>
          <w:rFonts w:ascii="Times New Roman" w:hAnsi="Times New Roman" w:cs="Times New Roman"/>
          <w:b/>
          <w:bCs/>
        </w:rPr>
        <w:tab/>
      </w:r>
      <w:r w:rsidR="00000000" w:rsidRPr="00F8658C">
        <w:rPr>
          <w:rFonts w:ascii="Times New Roman" w:hAnsi="Times New Roman" w:cs="Times New Roman"/>
          <w:b/>
          <w:bCs/>
        </w:rPr>
        <w:t>Vagal Dorsal (Colapso/Imobilização):</w:t>
      </w:r>
      <w:r w:rsidR="00000000" w:rsidRPr="00F8658C">
        <w:rPr>
          <w:rFonts w:ascii="Times New Roman" w:hAnsi="Times New Roman" w:cs="Times New Roman"/>
        </w:rPr>
        <w:t xml:space="preserve"> A resposta mais primitiva ao perigo extremo, resultando em dissociação, bradicardia e desligamento sistêmico.</w:t>
      </w:r>
    </w:p>
    <w:p w14:paraId="07E6A86A" w14:textId="1E61CCE0" w:rsidR="002234EA" w:rsidRPr="00F8658C" w:rsidRDefault="00F8658C" w:rsidP="00AC2A69">
      <w:pPr>
        <w:spacing w:after="240" w:line="360" w:lineRule="auto"/>
        <w:jc w:val="both"/>
        <w:rPr>
          <w:rFonts w:ascii="Times New Roman" w:hAnsi="Times New Roman" w:cs="Times New Roman"/>
        </w:rPr>
      </w:pPr>
      <w:r>
        <w:rPr>
          <w:rFonts w:ascii="Times New Roman" w:hAnsi="Times New Roman" w:cs="Times New Roman"/>
        </w:rPr>
        <w:tab/>
      </w:r>
      <w:r w:rsidR="00000000" w:rsidRPr="00F8658C">
        <w:rPr>
          <w:rFonts w:ascii="Times New Roman" w:hAnsi="Times New Roman" w:cs="Times New Roman"/>
        </w:rPr>
        <w:t>Neurocepção e Saúde Sistêmica</w:t>
      </w:r>
    </w:p>
    <w:p w14:paraId="36D7A374" w14:textId="77777777" w:rsidR="002234EA" w:rsidRPr="00F8658C" w:rsidRDefault="00000000" w:rsidP="00AC2A69">
      <w:pPr>
        <w:spacing w:after="240" w:line="360" w:lineRule="auto"/>
        <w:jc w:val="both"/>
        <w:rPr>
          <w:rFonts w:ascii="Times New Roman" w:hAnsi="Times New Roman" w:cs="Times New Roman"/>
        </w:rPr>
      </w:pPr>
      <w:r w:rsidRPr="00F8658C">
        <w:rPr>
          <w:rFonts w:ascii="Times New Roman" w:hAnsi="Times New Roman" w:cs="Times New Roman"/>
        </w:rPr>
        <w:t>A neurocepção é o processo subconsciente pelo qual o sistema nervoso detecta sinais de segurança ou ameaça no ambiente. Quando um indivíduo vive em um estado de ameaça constante (neurocepção de perigo), o eixo PNEI permanece cronicamente ativado, gerando inflamação de baixo grau e exaustão endócrina. A soberania biológica exige o treinamento da neurocepção para que o sistema retorne ao estado Vagal Ventral, onde a homeostase é possível.</w:t>
      </w:r>
    </w:p>
    <w:p w14:paraId="09A674C8" w14:textId="1C5F5286" w:rsidR="002234EA" w:rsidRPr="00F8658C" w:rsidRDefault="00F8658C" w:rsidP="00AC2A69">
      <w:pPr>
        <w:spacing w:after="240" w:line="360" w:lineRule="auto"/>
        <w:jc w:val="both"/>
        <w:rPr>
          <w:rFonts w:ascii="Times New Roman" w:hAnsi="Times New Roman" w:cs="Times New Roman"/>
        </w:rPr>
      </w:pPr>
      <w:r>
        <w:rPr>
          <w:rFonts w:ascii="Times New Roman" w:hAnsi="Times New Roman" w:cs="Times New Roman"/>
        </w:rPr>
        <w:tab/>
      </w:r>
      <w:r w:rsidR="00000000" w:rsidRPr="00F8658C">
        <w:rPr>
          <w:rFonts w:ascii="Times New Roman" w:hAnsi="Times New Roman" w:cs="Times New Roman"/>
        </w:rPr>
        <w:t>Bases da Homeopatia Unicista: A Ressonância da Força Vital</w:t>
      </w:r>
    </w:p>
    <w:p w14:paraId="51DAD5C0" w14:textId="77777777" w:rsidR="002234EA" w:rsidRPr="00F8658C" w:rsidRDefault="00000000" w:rsidP="00AC2A69">
      <w:pPr>
        <w:spacing w:after="240" w:line="360" w:lineRule="auto"/>
        <w:jc w:val="both"/>
        <w:rPr>
          <w:rFonts w:ascii="Times New Roman" w:hAnsi="Times New Roman" w:cs="Times New Roman"/>
        </w:rPr>
      </w:pPr>
      <w:r w:rsidRPr="00F8658C">
        <w:rPr>
          <w:rFonts w:ascii="Times New Roman" w:hAnsi="Times New Roman" w:cs="Times New Roman"/>
        </w:rPr>
        <w:t xml:space="preserve">A Homeopatia Unicista, fundamentada no princípio Similia Similibus Curentur (semelhante cura o semelhante), atua na dimensão informacional do ser. Diferente da alopatia, que busca o antagonismo químico, a homeopatia busca a ressonância vibracional para despertar a Vis </w:t>
      </w:r>
      <w:proofErr w:type="spellStart"/>
      <w:r w:rsidRPr="00F8658C">
        <w:rPr>
          <w:rFonts w:ascii="Times New Roman" w:hAnsi="Times New Roman" w:cs="Times New Roman"/>
        </w:rPr>
        <w:t>Medicatrix</w:t>
      </w:r>
      <w:proofErr w:type="spellEnd"/>
      <w:r w:rsidRPr="00F8658C">
        <w:rPr>
          <w:rFonts w:ascii="Times New Roman" w:hAnsi="Times New Roman" w:cs="Times New Roman"/>
        </w:rPr>
        <w:t xml:space="preserve"> </w:t>
      </w:r>
      <w:proofErr w:type="spellStart"/>
      <w:r w:rsidRPr="00F8658C">
        <w:rPr>
          <w:rFonts w:ascii="Times New Roman" w:hAnsi="Times New Roman" w:cs="Times New Roman"/>
        </w:rPr>
        <w:t>Naturae</w:t>
      </w:r>
      <w:proofErr w:type="spellEnd"/>
      <w:r w:rsidRPr="00F8658C">
        <w:rPr>
          <w:rFonts w:ascii="Times New Roman" w:hAnsi="Times New Roman" w:cs="Times New Roman"/>
        </w:rPr>
        <w:t xml:space="preserve"> (força vital), o princípio organizador que mantém a harmonia entre mente e corpo.</w:t>
      </w:r>
    </w:p>
    <w:p w14:paraId="53471053" w14:textId="2A518015" w:rsidR="002234EA" w:rsidRPr="00F8658C" w:rsidRDefault="00F8658C" w:rsidP="00AC2A69">
      <w:pPr>
        <w:spacing w:after="240" w:line="360" w:lineRule="auto"/>
        <w:jc w:val="both"/>
        <w:rPr>
          <w:rFonts w:ascii="Times New Roman" w:hAnsi="Times New Roman" w:cs="Times New Roman"/>
        </w:rPr>
      </w:pPr>
      <w:r>
        <w:rPr>
          <w:rFonts w:ascii="Times New Roman" w:hAnsi="Times New Roman" w:cs="Times New Roman"/>
        </w:rPr>
        <w:tab/>
      </w:r>
      <w:r w:rsidR="00000000" w:rsidRPr="00F8658C">
        <w:rPr>
          <w:rFonts w:ascii="Times New Roman" w:hAnsi="Times New Roman" w:cs="Times New Roman"/>
        </w:rPr>
        <w:t>Superação da Cultura de Culpa e Castigo</w:t>
      </w:r>
    </w:p>
    <w:p w14:paraId="684A175E" w14:textId="77777777" w:rsidR="002234EA" w:rsidRPr="00F8658C" w:rsidRDefault="00000000" w:rsidP="00AC2A69">
      <w:pPr>
        <w:spacing w:after="240" w:line="360" w:lineRule="auto"/>
        <w:jc w:val="both"/>
        <w:rPr>
          <w:rFonts w:ascii="Times New Roman" w:hAnsi="Times New Roman" w:cs="Times New Roman"/>
        </w:rPr>
      </w:pPr>
      <w:r w:rsidRPr="00F8658C">
        <w:rPr>
          <w:rFonts w:ascii="Times New Roman" w:hAnsi="Times New Roman" w:cs="Times New Roman"/>
        </w:rPr>
        <w:t xml:space="preserve">A medicina convencional frequentemente opera sob uma lógica de punição ao sintoma, tratando a doença como um inimigo a ser erradicado. A Homeopatia Unicista propõe uma mudança de paradigma: o sintoma é um esforço da força vital para sinalizar um desequilíbrio profundo. Ao </w:t>
      </w:r>
      <w:proofErr w:type="spellStart"/>
      <w:r w:rsidRPr="00F8658C">
        <w:rPr>
          <w:rFonts w:ascii="Times New Roman" w:hAnsi="Times New Roman" w:cs="Times New Roman"/>
        </w:rPr>
        <w:t>repertorizar</w:t>
      </w:r>
      <w:proofErr w:type="spellEnd"/>
      <w:r w:rsidRPr="00F8658C">
        <w:rPr>
          <w:rFonts w:ascii="Times New Roman" w:hAnsi="Times New Roman" w:cs="Times New Roman"/>
        </w:rPr>
        <w:t xml:space="preserve"> não apenas as dores físicas, mas os desejos e anseios da alma, o médico homeopata identifica o medicamento que ressoa com a totalidade do indivíduo, promovendo uma cura que é, essencialmente, um processo de autoconhecimento e libertação.</w:t>
      </w:r>
    </w:p>
    <w:p w14:paraId="7D6F5B78" w14:textId="312F9F57" w:rsidR="002234EA" w:rsidRPr="00F8658C" w:rsidRDefault="00F8658C" w:rsidP="00AC2A69">
      <w:pPr>
        <w:spacing w:after="240" w:line="360" w:lineRule="auto"/>
        <w:jc w:val="both"/>
        <w:rPr>
          <w:rFonts w:ascii="Times New Roman" w:hAnsi="Times New Roman" w:cs="Times New Roman"/>
        </w:rPr>
      </w:pPr>
      <w:r>
        <w:rPr>
          <w:rFonts w:ascii="Times New Roman" w:hAnsi="Times New Roman" w:cs="Times New Roman"/>
        </w:rPr>
        <w:lastRenderedPageBreak/>
        <w:tab/>
      </w:r>
      <w:r w:rsidR="00000000" w:rsidRPr="00F8658C">
        <w:rPr>
          <w:rFonts w:ascii="Times New Roman" w:hAnsi="Times New Roman" w:cs="Times New Roman"/>
        </w:rPr>
        <w:t>Reequilíbrio do Eixo Psico-Imunológico</w:t>
      </w:r>
    </w:p>
    <w:p w14:paraId="34150122" w14:textId="77777777" w:rsidR="002234EA" w:rsidRPr="00F8658C" w:rsidRDefault="00000000" w:rsidP="00AC2A69">
      <w:pPr>
        <w:spacing w:after="240" w:line="360" w:lineRule="auto"/>
        <w:jc w:val="both"/>
        <w:rPr>
          <w:rFonts w:ascii="Times New Roman" w:hAnsi="Times New Roman" w:cs="Times New Roman"/>
        </w:rPr>
      </w:pPr>
      <w:r w:rsidRPr="00F8658C">
        <w:rPr>
          <w:rFonts w:ascii="Times New Roman" w:hAnsi="Times New Roman" w:cs="Times New Roman"/>
        </w:rPr>
        <w:t>Ao atuar na camada mais sutil da organização biológica, a homeopatia modula a resposta imune através da psique. O medicamento homeopático atua como um catalisador que remove os bloqueios energéticos que impedem a comunicação eficiente entre o sistema nervoso e as células de defesa, restaurando a soberania do indivíduo sobre sua própria biologia.</w:t>
      </w:r>
    </w:p>
    <w:p w14:paraId="24D9369E" w14:textId="33826F23" w:rsidR="002234EA" w:rsidRPr="00F8658C" w:rsidRDefault="00F8658C" w:rsidP="00AC2A69">
      <w:pPr>
        <w:spacing w:after="240" w:line="360" w:lineRule="auto"/>
        <w:jc w:val="both"/>
        <w:rPr>
          <w:rFonts w:ascii="Times New Roman" w:hAnsi="Times New Roman" w:cs="Times New Roman"/>
        </w:rPr>
      </w:pPr>
      <w:r>
        <w:rPr>
          <w:rFonts w:ascii="Times New Roman" w:hAnsi="Times New Roman" w:cs="Times New Roman"/>
        </w:rPr>
        <w:tab/>
      </w:r>
      <w:r w:rsidR="00000000" w:rsidRPr="00F8658C">
        <w:rPr>
          <w:rFonts w:ascii="Times New Roman" w:hAnsi="Times New Roman" w:cs="Times New Roman"/>
        </w:rPr>
        <w:t>Medicina do Estilo de Vida (MEV) e Longevidade</w:t>
      </w:r>
    </w:p>
    <w:p w14:paraId="3C1106E4" w14:textId="77777777" w:rsidR="002234EA" w:rsidRPr="00F8658C" w:rsidRDefault="00000000" w:rsidP="00AC2A69">
      <w:pPr>
        <w:spacing w:after="240" w:line="360" w:lineRule="auto"/>
        <w:jc w:val="both"/>
        <w:rPr>
          <w:rFonts w:ascii="Times New Roman" w:hAnsi="Times New Roman" w:cs="Times New Roman"/>
        </w:rPr>
      </w:pPr>
      <w:r w:rsidRPr="00F8658C">
        <w:rPr>
          <w:rFonts w:ascii="Times New Roman" w:hAnsi="Times New Roman" w:cs="Times New Roman"/>
        </w:rPr>
        <w:t>A Medicina do Estilo de Vida (MEV) é a aplicação clínica de intervenções baseadas em evidências para prevenir, tratar e, muitas vezes, reverter doenças crônicas. No padrão PRISMA13, a MEV é a ferramenta prática para a construção da Supersaúde, focando na otimização da expressão gênica através do ambiente.</w:t>
      </w:r>
    </w:p>
    <w:p w14:paraId="74423B35" w14:textId="2EE5F528" w:rsidR="002234EA" w:rsidRPr="00F8658C" w:rsidRDefault="00F8658C" w:rsidP="00AC2A69">
      <w:pPr>
        <w:spacing w:after="240" w:line="360" w:lineRule="auto"/>
        <w:jc w:val="both"/>
        <w:rPr>
          <w:rFonts w:ascii="Times New Roman" w:hAnsi="Times New Roman" w:cs="Times New Roman"/>
        </w:rPr>
      </w:pPr>
      <w:r>
        <w:rPr>
          <w:rFonts w:ascii="Times New Roman" w:hAnsi="Times New Roman" w:cs="Times New Roman"/>
        </w:rPr>
        <w:tab/>
      </w:r>
      <w:r w:rsidR="00000000" w:rsidRPr="00F8658C">
        <w:rPr>
          <w:rFonts w:ascii="Times New Roman" w:hAnsi="Times New Roman" w:cs="Times New Roman"/>
        </w:rPr>
        <w:t>Pilares da MEV</w:t>
      </w:r>
    </w:p>
    <w:p w14:paraId="2BE64D0D" w14:textId="77777777" w:rsidR="002234EA" w:rsidRPr="00F8658C" w:rsidRDefault="00000000" w:rsidP="00AC2A69">
      <w:pPr>
        <w:spacing w:after="240" w:line="360" w:lineRule="auto"/>
        <w:jc w:val="both"/>
        <w:rPr>
          <w:rFonts w:ascii="Times New Roman" w:hAnsi="Times New Roman" w:cs="Times New Roman"/>
        </w:rPr>
      </w:pPr>
      <w:r w:rsidRPr="00F8658C">
        <w:rPr>
          <w:rFonts w:ascii="Times New Roman" w:hAnsi="Times New Roman" w:cs="Times New Roman"/>
        </w:rPr>
        <w:t>A manutenção da soberania biológica repousa sobre seis fundamentos inegociáveis:</w:t>
      </w:r>
    </w:p>
    <w:p w14:paraId="3D26BBAC" w14:textId="5300DC88" w:rsidR="002234EA" w:rsidRPr="00F8658C" w:rsidRDefault="00000000" w:rsidP="00AC2A69">
      <w:pPr>
        <w:pStyle w:val="PargrafodaLista"/>
        <w:numPr>
          <w:ilvl w:val="0"/>
          <w:numId w:val="3"/>
        </w:numPr>
        <w:spacing w:after="240" w:line="360" w:lineRule="auto"/>
        <w:jc w:val="both"/>
        <w:rPr>
          <w:rFonts w:ascii="Times New Roman" w:hAnsi="Times New Roman" w:cs="Times New Roman"/>
        </w:rPr>
      </w:pPr>
      <w:r w:rsidRPr="00F8658C">
        <w:rPr>
          <w:rFonts w:ascii="Times New Roman" w:hAnsi="Times New Roman" w:cs="Times New Roman"/>
          <w:b/>
          <w:bCs/>
        </w:rPr>
        <w:t>Nutrição Integral:</w:t>
      </w:r>
      <w:r w:rsidRPr="00F8658C">
        <w:rPr>
          <w:rFonts w:ascii="Times New Roman" w:hAnsi="Times New Roman" w:cs="Times New Roman"/>
        </w:rPr>
        <w:t xml:space="preserve"> Foco em alimentos densos em nutrientes e anti-inflamatórios, respeitando a individualidade bioquímica.</w:t>
      </w:r>
    </w:p>
    <w:p w14:paraId="11FA880F" w14:textId="4E180E03" w:rsidR="002234EA" w:rsidRPr="00F8658C" w:rsidRDefault="00000000" w:rsidP="00AC2A69">
      <w:pPr>
        <w:pStyle w:val="PargrafodaLista"/>
        <w:numPr>
          <w:ilvl w:val="0"/>
          <w:numId w:val="3"/>
        </w:numPr>
        <w:spacing w:after="240" w:line="360" w:lineRule="auto"/>
        <w:jc w:val="both"/>
        <w:rPr>
          <w:rFonts w:ascii="Times New Roman" w:hAnsi="Times New Roman" w:cs="Times New Roman"/>
        </w:rPr>
      </w:pPr>
      <w:r w:rsidRPr="00F8658C">
        <w:rPr>
          <w:rFonts w:ascii="Times New Roman" w:hAnsi="Times New Roman" w:cs="Times New Roman"/>
          <w:b/>
          <w:bCs/>
        </w:rPr>
        <w:t>Movimento Natural:</w:t>
      </w:r>
      <w:r w:rsidRPr="00F8658C">
        <w:rPr>
          <w:rFonts w:ascii="Times New Roman" w:hAnsi="Times New Roman" w:cs="Times New Roman"/>
        </w:rPr>
        <w:t xml:space="preserve"> Atividade física regular que promova força, flexibilidade e saúde cardiovascular.</w:t>
      </w:r>
    </w:p>
    <w:p w14:paraId="5342615E" w14:textId="2A88C4F5" w:rsidR="002234EA" w:rsidRPr="00F8658C" w:rsidRDefault="00000000" w:rsidP="00AC2A69">
      <w:pPr>
        <w:pStyle w:val="PargrafodaLista"/>
        <w:numPr>
          <w:ilvl w:val="0"/>
          <w:numId w:val="3"/>
        </w:numPr>
        <w:spacing w:after="240" w:line="360" w:lineRule="auto"/>
        <w:jc w:val="both"/>
        <w:rPr>
          <w:rFonts w:ascii="Times New Roman" w:hAnsi="Times New Roman" w:cs="Times New Roman"/>
        </w:rPr>
      </w:pPr>
      <w:r w:rsidRPr="00F8658C">
        <w:rPr>
          <w:rFonts w:ascii="Times New Roman" w:hAnsi="Times New Roman" w:cs="Times New Roman"/>
          <w:b/>
          <w:bCs/>
        </w:rPr>
        <w:t>Sono Reparador:</w:t>
      </w:r>
      <w:r w:rsidRPr="00F8658C">
        <w:rPr>
          <w:rFonts w:ascii="Times New Roman" w:hAnsi="Times New Roman" w:cs="Times New Roman"/>
        </w:rPr>
        <w:t xml:space="preserve"> Higiene do sono para garantir a desintoxicação </w:t>
      </w:r>
      <w:proofErr w:type="spellStart"/>
      <w:r w:rsidRPr="00F8658C">
        <w:rPr>
          <w:rFonts w:ascii="Times New Roman" w:hAnsi="Times New Roman" w:cs="Times New Roman"/>
        </w:rPr>
        <w:t>glinfática</w:t>
      </w:r>
      <w:proofErr w:type="spellEnd"/>
      <w:r w:rsidRPr="00F8658C">
        <w:rPr>
          <w:rFonts w:ascii="Times New Roman" w:hAnsi="Times New Roman" w:cs="Times New Roman"/>
        </w:rPr>
        <w:t xml:space="preserve"> e a consolidação da memória.</w:t>
      </w:r>
    </w:p>
    <w:p w14:paraId="349E3CA6" w14:textId="4C1590B1" w:rsidR="002234EA" w:rsidRPr="00F8658C" w:rsidRDefault="00000000" w:rsidP="00AC2A69">
      <w:pPr>
        <w:pStyle w:val="PargrafodaLista"/>
        <w:numPr>
          <w:ilvl w:val="0"/>
          <w:numId w:val="3"/>
        </w:numPr>
        <w:spacing w:after="240" w:line="360" w:lineRule="auto"/>
        <w:jc w:val="both"/>
        <w:rPr>
          <w:rFonts w:ascii="Times New Roman" w:hAnsi="Times New Roman" w:cs="Times New Roman"/>
        </w:rPr>
      </w:pPr>
      <w:r w:rsidRPr="00F8658C">
        <w:rPr>
          <w:rFonts w:ascii="Times New Roman" w:hAnsi="Times New Roman" w:cs="Times New Roman"/>
          <w:b/>
          <w:bCs/>
        </w:rPr>
        <w:t>Manejo do Estresse:</w:t>
      </w:r>
      <w:r w:rsidRPr="00F8658C">
        <w:rPr>
          <w:rFonts w:ascii="Times New Roman" w:hAnsi="Times New Roman" w:cs="Times New Roman"/>
        </w:rPr>
        <w:t xml:space="preserve"> Práticas que fortaleçam o tônus vagal e reduzam a carga alostática.</w:t>
      </w:r>
    </w:p>
    <w:p w14:paraId="35897C8E" w14:textId="4614FBCF" w:rsidR="002234EA" w:rsidRPr="00F8658C" w:rsidRDefault="00000000" w:rsidP="00AC2A69">
      <w:pPr>
        <w:pStyle w:val="PargrafodaLista"/>
        <w:numPr>
          <w:ilvl w:val="0"/>
          <w:numId w:val="3"/>
        </w:numPr>
        <w:spacing w:after="240" w:line="360" w:lineRule="auto"/>
        <w:jc w:val="both"/>
        <w:rPr>
          <w:rFonts w:ascii="Times New Roman" w:hAnsi="Times New Roman" w:cs="Times New Roman"/>
        </w:rPr>
      </w:pPr>
      <w:r w:rsidRPr="00F8658C">
        <w:rPr>
          <w:rFonts w:ascii="Times New Roman" w:hAnsi="Times New Roman" w:cs="Times New Roman"/>
          <w:b/>
          <w:bCs/>
        </w:rPr>
        <w:t>Relacionamentos Saudáveis:</w:t>
      </w:r>
      <w:r w:rsidRPr="00F8658C">
        <w:rPr>
          <w:rFonts w:ascii="Times New Roman" w:hAnsi="Times New Roman" w:cs="Times New Roman"/>
        </w:rPr>
        <w:t xml:space="preserve"> Conexões sociais que promovam a liberação de ocitocina e o sentimento de pertencimento.</w:t>
      </w:r>
    </w:p>
    <w:p w14:paraId="767C1BAA" w14:textId="26766A30" w:rsidR="002234EA" w:rsidRPr="00F8658C" w:rsidRDefault="00000000" w:rsidP="00AC2A69">
      <w:pPr>
        <w:pStyle w:val="PargrafodaLista"/>
        <w:numPr>
          <w:ilvl w:val="0"/>
          <w:numId w:val="3"/>
        </w:numPr>
        <w:spacing w:after="240" w:line="360" w:lineRule="auto"/>
        <w:jc w:val="both"/>
        <w:rPr>
          <w:rFonts w:ascii="Times New Roman" w:hAnsi="Times New Roman" w:cs="Times New Roman"/>
        </w:rPr>
      </w:pPr>
      <w:r w:rsidRPr="00F8658C">
        <w:rPr>
          <w:rFonts w:ascii="Times New Roman" w:hAnsi="Times New Roman" w:cs="Times New Roman"/>
          <w:b/>
          <w:bCs/>
        </w:rPr>
        <w:t>Controle de Tóxicos:</w:t>
      </w:r>
      <w:r w:rsidRPr="00F8658C">
        <w:rPr>
          <w:rFonts w:ascii="Times New Roman" w:hAnsi="Times New Roman" w:cs="Times New Roman"/>
        </w:rPr>
        <w:t xml:space="preserve"> Minimização da exposição a </w:t>
      </w:r>
      <w:proofErr w:type="spellStart"/>
      <w:r w:rsidRPr="00F8658C">
        <w:rPr>
          <w:rFonts w:ascii="Times New Roman" w:hAnsi="Times New Roman" w:cs="Times New Roman"/>
        </w:rPr>
        <w:t>xenobióticos</w:t>
      </w:r>
      <w:proofErr w:type="spellEnd"/>
      <w:r w:rsidRPr="00F8658C">
        <w:rPr>
          <w:rFonts w:ascii="Times New Roman" w:hAnsi="Times New Roman" w:cs="Times New Roman"/>
        </w:rPr>
        <w:t>, metais pesados e poluentes eletromagnéticos.</w:t>
      </w:r>
    </w:p>
    <w:p w14:paraId="123E3EEC" w14:textId="5DE39E2E" w:rsidR="002234EA" w:rsidRPr="00F8658C" w:rsidRDefault="00F8658C" w:rsidP="00AC2A69">
      <w:pPr>
        <w:spacing w:after="240" w:line="360" w:lineRule="auto"/>
        <w:jc w:val="both"/>
        <w:rPr>
          <w:rFonts w:ascii="Times New Roman" w:hAnsi="Times New Roman" w:cs="Times New Roman"/>
        </w:rPr>
      </w:pPr>
      <w:r>
        <w:rPr>
          <w:rFonts w:ascii="Times New Roman" w:hAnsi="Times New Roman" w:cs="Times New Roman"/>
        </w:rPr>
        <w:tab/>
      </w:r>
      <w:r w:rsidR="00000000" w:rsidRPr="00F8658C">
        <w:rPr>
          <w:rFonts w:ascii="Times New Roman" w:hAnsi="Times New Roman" w:cs="Times New Roman"/>
        </w:rPr>
        <w:t>Estratégias para o Centenário Saudável</w:t>
      </w:r>
    </w:p>
    <w:p w14:paraId="7900A871" w14:textId="77777777" w:rsidR="002234EA" w:rsidRPr="00F8658C" w:rsidRDefault="00000000" w:rsidP="00AC2A69">
      <w:pPr>
        <w:spacing w:after="240" w:line="360" w:lineRule="auto"/>
        <w:jc w:val="both"/>
        <w:rPr>
          <w:rFonts w:ascii="Times New Roman" w:hAnsi="Times New Roman" w:cs="Times New Roman"/>
        </w:rPr>
      </w:pPr>
      <w:r w:rsidRPr="00F8658C">
        <w:rPr>
          <w:rFonts w:ascii="Times New Roman" w:hAnsi="Times New Roman" w:cs="Times New Roman"/>
        </w:rPr>
        <w:t>A longevidade não deve ser medida apenas em anos, mas em healthspan (tempo de vida com saúde). Estratégias como o jejum intermitente, a exposição ao hormese (estresse controlado como frio ou calor) e a suplementação inteligente visam a preservação dos telômeros e a ativação das sirtuínas. O objetivo é o centenário funcional: um corpo que sustenta uma mente lúcida e autônoma.</w:t>
      </w:r>
    </w:p>
    <w:p w14:paraId="294AE68C" w14:textId="6CAB0797" w:rsidR="002234EA" w:rsidRPr="00F8658C" w:rsidRDefault="00F8658C" w:rsidP="00AC2A69">
      <w:pPr>
        <w:spacing w:after="240" w:line="360" w:lineRule="auto"/>
        <w:jc w:val="both"/>
        <w:rPr>
          <w:rFonts w:ascii="Times New Roman" w:hAnsi="Times New Roman" w:cs="Times New Roman"/>
        </w:rPr>
      </w:pPr>
      <w:r>
        <w:rPr>
          <w:rFonts w:ascii="Times New Roman" w:hAnsi="Times New Roman" w:cs="Times New Roman"/>
        </w:rPr>
        <w:lastRenderedPageBreak/>
        <w:tab/>
      </w:r>
      <w:r w:rsidR="00000000" w:rsidRPr="00F8658C">
        <w:rPr>
          <w:rFonts w:ascii="Times New Roman" w:hAnsi="Times New Roman" w:cs="Times New Roman"/>
        </w:rPr>
        <w:t>Síntese Integrativa: A Soberania Biológica</w:t>
      </w:r>
    </w:p>
    <w:p w14:paraId="397B4720" w14:textId="77777777" w:rsidR="002234EA" w:rsidRPr="00F8658C" w:rsidRDefault="00000000" w:rsidP="00AC2A69">
      <w:pPr>
        <w:spacing w:after="240" w:line="360" w:lineRule="auto"/>
        <w:jc w:val="both"/>
        <w:rPr>
          <w:rFonts w:ascii="Times New Roman" w:hAnsi="Times New Roman" w:cs="Times New Roman"/>
        </w:rPr>
      </w:pPr>
      <w:r w:rsidRPr="00F8658C">
        <w:rPr>
          <w:rFonts w:ascii="Times New Roman" w:hAnsi="Times New Roman" w:cs="Times New Roman"/>
        </w:rPr>
        <w:t xml:space="preserve">A convergência entre o Sistema Endocanabinoide, a Teoria Polivagal, a Homeopatia e a MEV </w:t>
      </w:r>
      <w:proofErr w:type="gramStart"/>
      <w:r w:rsidRPr="00F8658C">
        <w:rPr>
          <w:rFonts w:ascii="Times New Roman" w:hAnsi="Times New Roman" w:cs="Times New Roman"/>
        </w:rPr>
        <w:t>revela</w:t>
      </w:r>
      <w:proofErr w:type="gramEnd"/>
      <w:r w:rsidRPr="00F8658C">
        <w:rPr>
          <w:rFonts w:ascii="Times New Roman" w:hAnsi="Times New Roman" w:cs="Times New Roman"/>
        </w:rPr>
        <w:t xml:space="preserve"> uma verdade fundamental: o corpo humano é um sistema auto-organizado de altíssima complexidade que tende à saúde, desde que as condições ambientais e informacionais sejam favoráveis. O SEC provê a regulação química; a Teoria Polivagal oferece a estrutura nervosa para a segurança; a Homeopatia ajusta a frequência vital; e a MEV fornece a matéria-prima para a construção tecidual.</w:t>
      </w:r>
    </w:p>
    <w:p w14:paraId="49646E4A" w14:textId="77777777" w:rsidR="002234EA" w:rsidRPr="00F8658C" w:rsidRDefault="00000000" w:rsidP="00AC2A69">
      <w:pPr>
        <w:spacing w:after="240" w:line="360" w:lineRule="auto"/>
        <w:jc w:val="both"/>
        <w:rPr>
          <w:rFonts w:ascii="Times New Roman" w:hAnsi="Times New Roman" w:cs="Times New Roman"/>
        </w:rPr>
      </w:pPr>
      <w:r w:rsidRPr="00F8658C">
        <w:rPr>
          <w:rFonts w:ascii="Times New Roman" w:hAnsi="Times New Roman" w:cs="Times New Roman"/>
        </w:rPr>
        <w:t>"O solo, fértil, garante a sobrevivência. A cultura, autônoma, garante a melhoria."</w:t>
      </w:r>
    </w:p>
    <w:p w14:paraId="5A87B67A" w14:textId="065E962B" w:rsidR="002234EA" w:rsidRPr="00F8658C" w:rsidRDefault="00000000" w:rsidP="00AC2A69">
      <w:pPr>
        <w:spacing w:after="240" w:line="360" w:lineRule="auto"/>
        <w:jc w:val="both"/>
        <w:rPr>
          <w:rFonts w:ascii="Times New Roman" w:hAnsi="Times New Roman" w:cs="Times New Roman"/>
        </w:rPr>
      </w:pPr>
      <w:r w:rsidRPr="00F8658C">
        <w:rPr>
          <w:rFonts w:ascii="Times New Roman" w:hAnsi="Times New Roman" w:cs="Times New Roman"/>
        </w:rPr>
        <w:t xml:space="preserve">A soberania biológica é alcançada quando o indivíduo assume o papel de Arquiteto e </w:t>
      </w:r>
      <w:r w:rsidR="00F8658C">
        <w:rPr>
          <w:rFonts w:ascii="Times New Roman" w:hAnsi="Times New Roman" w:cs="Times New Roman"/>
        </w:rPr>
        <w:t xml:space="preserve">Capitão da </w:t>
      </w:r>
      <w:r w:rsidR="00F8658C" w:rsidRPr="00F8658C">
        <w:rPr>
          <w:rFonts w:ascii="Times New Roman" w:hAnsi="Times New Roman" w:cs="Times New Roman"/>
        </w:rPr>
        <w:t>própria</w:t>
      </w:r>
      <w:r w:rsidRPr="00F8658C">
        <w:rPr>
          <w:rFonts w:ascii="Times New Roman" w:hAnsi="Times New Roman" w:cs="Times New Roman"/>
        </w:rPr>
        <w:t xml:space="preserve"> vida. Ao integrar essas ciências, o PRISMA13 ma</w:t>
      </w:r>
      <w:r w:rsidR="00F8658C">
        <w:rPr>
          <w:rFonts w:ascii="Times New Roman" w:hAnsi="Times New Roman" w:cs="Times New Roman"/>
        </w:rPr>
        <w:t>i</w:t>
      </w:r>
      <w:r w:rsidRPr="00F8658C">
        <w:rPr>
          <w:rFonts w:ascii="Times New Roman" w:hAnsi="Times New Roman" w:cs="Times New Roman"/>
        </w:rPr>
        <w:t>s uma r</w:t>
      </w:r>
      <w:r w:rsidR="00F8658C">
        <w:rPr>
          <w:rFonts w:ascii="Times New Roman" w:hAnsi="Times New Roman" w:cs="Times New Roman"/>
        </w:rPr>
        <w:t>)E</w:t>
      </w:r>
      <w:r w:rsidRPr="00F8658C">
        <w:rPr>
          <w:rFonts w:ascii="Times New Roman" w:hAnsi="Times New Roman" w:cs="Times New Roman"/>
        </w:rPr>
        <w:t xml:space="preserve">volução </w:t>
      </w:r>
      <w:r w:rsidR="00F8658C">
        <w:rPr>
          <w:rFonts w:ascii="Times New Roman" w:hAnsi="Times New Roman" w:cs="Times New Roman"/>
        </w:rPr>
        <w:t>d</w:t>
      </w:r>
      <w:r w:rsidRPr="00F8658C">
        <w:rPr>
          <w:rFonts w:ascii="Times New Roman" w:hAnsi="Times New Roman" w:cs="Times New Roman"/>
        </w:rPr>
        <w:t xml:space="preserve">a autonomia </w:t>
      </w:r>
      <w:r w:rsidR="00F8658C">
        <w:rPr>
          <w:rFonts w:ascii="Times New Roman" w:hAnsi="Times New Roman" w:cs="Times New Roman"/>
        </w:rPr>
        <w:t xml:space="preserve">em que </w:t>
      </w:r>
      <w:r w:rsidRPr="00F8658C">
        <w:rPr>
          <w:rFonts w:ascii="Times New Roman" w:hAnsi="Times New Roman" w:cs="Times New Roman"/>
        </w:rPr>
        <w:t>o valor supremo e a saúde é o resultado inevitável de um sistema em harmonia com suas leis naturais.</w:t>
      </w:r>
      <w:r w:rsidR="00F8658C">
        <w:rPr>
          <w:rFonts w:ascii="Times New Roman" w:hAnsi="Times New Roman" w:cs="Times New Roman"/>
        </w:rPr>
        <w:t xml:space="preserve"> </w:t>
      </w:r>
      <w:r w:rsidR="00F8658C" w:rsidRPr="00F8658C">
        <w:rPr>
          <w:rFonts w:ascii="Times New Roman" w:hAnsi="Times New Roman" w:cs="Times New Roman"/>
        </w:rPr>
        <w:t>Propõe</w:t>
      </w:r>
      <w:r w:rsidR="00F8658C">
        <w:rPr>
          <w:rFonts w:ascii="Times New Roman" w:hAnsi="Times New Roman" w:cs="Times New Roman"/>
        </w:rPr>
        <w:t xml:space="preserve"> </w:t>
      </w:r>
      <w:r w:rsidR="00F8658C" w:rsidRPr="00F8658C">
        <w:rPr>
          <w:rFonts w:ascii="Times New Roman" w:hAnsi="Times New Roman" w:cs="Times New Roman"/>
        </w:rPr>
        <w:t>tratamento</w:t>
      </w:r>
      <w:r w:rsidR="00F8658C">
        <w:rPr>
          <w:rFonts w:ascii="Times New Roman" w:hAnsi="Times New Roman" w:cs="Times New Roman"/>
        </w:rPr>
        <w:t xml:space="preserve"> de dentro para fora.</w:t>
      </w:r>
    </w:p>
    <w:p w14:paraId="2370500C" w14:textId="740E9F15" w:rsidR="002234EA" w:rsidRPr="00F8658C" w:rsidRDefault="00F8658C" w:rsidP="00AC2A69">
      <w:pPr>
        <w:spacing w:after="240" w:line="360" w:lineRule="auto"/>
        <w:jc w:val="center"/>
        <w:rPr>
          <w:rFonts w:ascii="Times New Roman" w:hAnsi="Times New Roman" w:cs="Times New Roman"/>
        </w:rPr>
      </w:pPr>
      <w:r>
        <w:rPr>
          <w:rFonts w:ascii="Times New Roman" w:hAnsi="Times New Roman" w:cs="Times New Roman"/>
        </w:rPr>
        <w:t>Jacareí (SP)</w:t>
      </w:r>
      <w:r w:rsidR="00000000" w:rsidRPr="00F8658C">
        <w:rPr>
          <w:rFonts w:ascii="Times New Roman" w:hAnsi="Times New Roman" w:cs="Times New Roman"/>
        </w:rPr>
        <w:t>, 06 de maio de 2026</w:t>
      </w:r>
    </w:p>
    <w:p w14:paraId="427BEF63" w14:textId="5E4CA8D1" w:rsidR="002234EA" w:rsidRDefault="00000000" w:rsidP="00AC2A69">
      <w:pPr>
        <w:spacing w:after="240" w:line="360" w:lineRule="auto"/>
        <w:jc w:val="center"/>
        <w:rPr>
          <w:rFonts w:ascii="Times New Roman" w:hAnsi="Times New Roman" w:cs="Times New Roman"/>
        </w:rPr>
      </w:pPr>
      <w:r w:rsidRPr="00F8658C">
        <w:rPr>
          <w:rFonts w:ascii="Times New Roman" w:hAnsi="Times New Roman" w:cs="Times New Roman"/>
        </w:rPr>
        <w:t>COORDENAÇÃO TÉCNICA PRISMA13</w:t>
      </w:r>
    </w:p>
    <w:p w14:paraId="767BF4AA" w14:textId="77777777" w:rsidR="00AC2A69" w:rsidRDefault="00AC2A69" w:rsidP="00AC2A69">
      <w:pPr>
        <w:spacing w:after="240" w:line="360" w:lineRule="auto"/>
        <w:jc w:val="center"/>
        <w:rPr>
          <w:rFonts w:ascii="Times New Roman" w:hAnsi="Times New Roman" w:cs="Times New Roman"/>
        </w:rPr>
      </w:pPr>
    </w:p>
    <w:p w14:paraId="41E936F3" w14:textId="77777777" w:rsidR="00AC2A69" w:rsidRDefault="00AC2A69" w:rsidP="00AC2A69">
      <w:pPr>
        <w:spacing w:after="240" w:line="360" w:lineRule="auto"/>
        <w:jc w:val="center"/>
        <w:rPr>
          <w:rFonts w:ascii="Times New Roman" w:hAnsi="Times New Roman" w:cs="Times New Roman"/>
        </w:rPr>
      </w:pPr>
    </w:p>
    <w:p w14:paraId="011720F3" w14:textId="052A3C8A" w:rsidR="00AC2A69" w:rsidRDefault="00AC2A69" w:rsidP="00AC2A69">
      <w:pPr>
        <w:jc w:val="center"/>
        <w:rPr>
          <w:rFonts w:ascii="Times New Roman" w:hAnsi="Times New Roman" w:cs="Times New Roman"/>
        </w:rPr>
      </w:pPr>
      <w:r>
        <w:rPr>
          <w:rFonts w:ascii="Times New Roman" w:hAnsi="Times New Roman" w:cs="Times New Roman"/>
        </w:rPr>
        <w:br w:type="page"/>
      </w:r>
    </w:p>
    <w:p w14:paraId="68AFC768" w14:textId="4E34EDB6" w:rsidR="00AC2A69" w:rsidRPr="00E505DC" w:rsidRDefault="00AC2A69" w:rsidP="00AC2A69">
      <w:pPr>
        <w:spacing w:after="240" w:line="360" w:lineRule="auto"/>
        <w:jc w:val="center"/>
        <w:rPr>
          <w:rFonts w:ascii="Times New Roman" w:hAnsi="Times New Roman" w:cs="Times New Roman"/>
        </w:rPr>
      </w:pPr>
      <w:r w:rsidRPr="00E505DC">
        <w:rPr>
          <w:rFonts w:ascii="Times New Roman" w:hAnsi="Times New Roman" w:cs="Times New Roman"/>
        </w:rPr>
        <w:lastRenderedPageBreak/>
        <w:t>C</w:t>
      </w:r>
      <w:r>
        <w:rPr>
          <w:rFonts w:ascii="Times New Roman" w:hAnsi="Times New Roman" w:cs="Times New Roman"/>
        </w:rPr>
        <w:t>EL – C</w:t>
      </w:r>
      <w:r w:rsidRPr="00E505DC">
        <w:rPr>
          <w:rFonts w:ascii="Times New Roman" w:hAnsi="Times New Roman" w:cs="Times New Roman"/>
        </w:rPr>
        <w:t>entro</w:t>
      </w:r>
      <w:r>
        <w:rPr>
          <w:rFonts w:ascii="Times New Roman" w:hAnsi="Times New Roman" w:cs="Times New Roman"/>
        </w:rPr>
        <w:t xml:space="preserve"> </w:t>
      </w:r>
      <w:r w:rsidRPr="00E505DC">
        <w:rPr>
          <w:rFonts w:ascii="Times New Roman" w:hAnsi="Times New Roman" w:cs="Times New Roman"/>
        </w:rPr>
        <w:t>de Estudos em Longevidade</w:t>
      </w:r>
    </w:p>
    <w:p w14:paraId="3A81C616" w14:textId="77777777" w:rsidR="00AC2A69" w:rsidRPr="00E505DC" w:rsidRDefault="00AC2A69" w:rsidP="00AC2A69">
      <w:pPr>
        <w:spacing w:after="240" w:line="360" w:lineRule="auto"/>
        <w:jc w:val="center"/>
        <w:rPr>
          <w:rFonts w:ascii="Times New Roman" w:hAnsi="Times New Roman" w:cs="Times New Roman"/>
        </w:rPr>
      </w:pPr>
      <w:r w:rsidRPr="00E505DC">
        <w:rPr>
          <w:rFonts w:ascii="Times New Roman" w:hAnsi="Times New Roman" w:cs="Times New Roman"/>
        </w:rPr>
        <w:t>ESTILO DE VIDA GLOBAL, LONGEVIDADE E SAÚDE INTEGRATIVA</w:t>
      </w:r>
    </w:p>
    <w:p w14:paraId="1F9903A6" w14:textId="77777777" w:rsidR="00AC2A69" w:rsidRPr="00E505DC" w:rsidRDefault="00AC2A69" w:rsidP="00AC2A69">
      <w:pPr>
        <w:spacing w:after="240" w:line="360" w:lineRule="auto"/>
        <w:jc w:val="center"/>
        <w:rPr>
          <w:rFonts w:ascii="Times New Roman" w:hAnsi="Times New Roman" w:cs="Times New Roman"/>
        </w:rPr>
      </w:pPr>
      <w:r w:rsidRPr="00E505DC">
        <w:rPr>
          <w:rFonts w:ascii="Times New Roman" w:hAnsi="Times New Roman" w:cs="Times New Roman"/>
        </w:rPr>
        <w:t>Uma análise transdisciplinar sobre o Eixo PNEI, Teoria Polivagal e o Sistema Endocanabinoide na Medicina do Estilo de Vida</w:t>
      </w:r>
    </w:p>
    <w:p w14:paraId="4C2DBFFC" w14:textId="27443A2E" w:rsidR="00AC2A69" w:rsidRPr="00E505DC" w:rsidRDefault="00AC2A69" w:rsidP="00AC2A69">
      <w:pPr>
        <w:spacing w:after="240" w:line="360" w:lineRule="auto"/>
        <w:jc w:val="center"/>
        <w:rPr>
          <w:rFonts w:ascii="Times New Roman" w:hAnsi="Times New Roman" w:cs="Times New Roman"/>
        </w:rPr>
      </w:pPr>
      <w:r>
        <w:rPr>
          <w:rFonts w:ascii="Times New Roman" w:hAnsi="Times New Roman" w:cs="Times New Roman"/>
        </w:rPr>
        <w:t>Jacareí /SP –</w:t>
      </w:r>
      <w:r w:rsidRPr="00E505DC">
        <w:rPr>
          <w:rFonts w:ascii="Times New Roman" w:hAnsi="Times New Roman" w:cs="Times New Roman"/>
        </w:rPr>
        <w:t>2026</w:t>
      </w:r>
    </w:p>
    <w:p w14:paraId="122B07BB" w14:textId="77777777" w:rsidR="00AC2A69" w:rsidRPr="00E505DC" w:rsidRDefault="00AC2A69" w:rsidP="00AC2A69">
      <w:pPr>
        <w:spacing w:after="240" w:line="360" w:lineRule="auto"/>
        <w:jc w:val="center"/>
        <w:rPr>
          <w:rFonts w:ascii="Times New Roman" w:hAnsi="Times New Roman" w:cs="Times New Roman"/>
        </w:rPr>
      </w:pPr>
    </w:p>
    <w:p w14:paraId="06D69FCE" w14:textId="77777777" w:rsidR="003A13E9" w:rsidRDefault="00AC2A69" w:rsidP="00AC2A69">
      <w:pPr>
        <w:spacing w:after="240" w:line="360" w:lineRule="auto"/>
        <w:jc w:val="both"/>
        <w:rPr>
          <w:rFonts w:ascii="Times New Roman" w:hAnsi="Times New Roman" w:cs="Times New Roman"/>
        </w:rPr>
      </w:pPr>
      <w:r w:rsidRPr="00E505DC">
        <w:rPr>
          <w:rFonts w:ascii="Times New Roman" w:hAnsi="Times New Roman" w:cs="Times New Roman"/>
        </w:rPr>
        <w:t xml:space="preserve">A compreensão contemporânea sobre a saúde humana transcende a mera ausência de </w:t>
      </w:r>
      <w:r w:rsidR="003A13E9">
        <w:rPr>
          <w:rFonts w:ascii="Times New Roman" w:hAnsi="Times New Roman" w:cs="Times New Roman"/>
        </w:rPr>
        <w:t xml:space="preserve">doenças do corpo nem </w:t>
      </w:r>
      <w:r w:rsidR="003A13E9">
        <w:rPr>
          <w:rFonts w:ascii="Times New Roman" w:hAnsi="Times New Roman" w:cs="Times New Roman"/>
        </w:rPr>
        <w:t>enfermidades</w:t>
      </w:r>
      <w:r w:rsidR="003A13E9">
        <w:rPr>
          <w:rFonts w:ascii="Times New Roman" w:hAnsi="Times New Roman" w:cs="Times New Roman"/>
        </w:rPr>
        <w:t xml:space="preserve"> da mente. É </w:t>
      </w:r>
      <w:r w:rsidRPr="00E505DC">
        <w:rPr>
          <w:rFonts w:ascii="Times New Roman" w:hAnsi="Times New Roman" w:cs="Times New Roman"/>
        </w:rPr>
        <w:t xml:space="preserve">um </w:t>
      </w:r>
      <w:r w:rsidR="003A13E9">
        <w:rPr>
          <w:rFonts w:ascii="Times New Roman" w:hAnsi="Times New Roman" w:cs="Times New Roman"/>
        </w:rPr>
        <w:t xml:space="preserve">modelo </w:t>
      </w:r>
      <w:r w:rsidRPr="00E505DC">
        <w:rPr>
          <w:rFonts w:ascii="Times New Roman" w:hAnsi="Times New Roman" w:cs="Times New Roman"/>
        </w:rPr>
        <w:t xml:space="preserve">de complexidade </w:t>
      </w:r>
      <w:r w:rsidR="003A13E9">
        <w:rPr>
          <w:rFonts w:ascii="Times New Roman" w:hAnsi="Times New Roman" w:cs="Times New Roman"/>
        </w:rPr>
        <w:t xml:space="preserve">holossistêmica em que </w:t>
      </w:r>
      <w:r w:rsidRPr="00E505DC">
        <w:rPr>
          <w:rFonts w:ascii="Times New Roman" w:hAnsi="Times New Roman" w:cs="Times New Roman"/>
        </w:rPr>
        <w:t>o estilo de vida global atua como o principal determinante da longevidade e da qualidade d</w:t>
      </w:r>
      <w:r w:rsidR="003A13E9">
        <w:rPr>
          <w:rFonts w:ascii="Times New Roman" w:hAnsi="Times New Roman" w:cs="Times New Roman"/>
        </w:rPr>
        <w:t>e vida n</w:t>
      </w:r>
      <w:r w:rsidRPr="00E505DC">
        <w:rPr>
          <w:rFonts w:ascii="Times New Roman" w:hAnsi="Times New Roman" w:cs="Times New Roman"/>
        </w:rPr>
        <w:t>o envelhec</w:t>
      </w:r>
      <w:r w:rsidR="003A13E9">
        <w:rPr>
          <w:rFonts w:ascii="Times New Roman" w:hAnsi="Times New Roman" w:cs="Times New Roman"/>
        </w:rPr>
        <w:t>er com animo juvenil.</w:t>
      </w:r>
    </w:p>
    <w:p w14:paraId="17D45AF7" w14:textId="67751B94" w:rsidR="00AC2A69" w:rsidRPr="00E505DC" w:rsidRDefault="003A13E9" w:rsidP="00AC2A69">
      <w:pPr>
        <w:spacing w:after="240" w:line="360" w:lineRule="auto"/>
        <w:jc w:val="both"/>
        <w:rPr>
          <w:rFonts w:ascii="Times New Roman" w:hAnsi="Times New Roman" w:cs="Times New Roman"/>
        </w:rPr>
      </w:pPr>
      <w:r w:rsidRPr="00E505DC">
        <w:rPr>
          <w:rFonts w:ascii="Times New Roman" w:hAnsi="Times New Roman" w:cs="Times New Roman"/>
        </w:rPr>
        <w:t>A</w:t>
      </w:r>
      <w:r w:rsidR="00AC2A69" w:rsidRPr="00E505DC">
        <w:rPr>
          <w:rFonts w:ascii="Times New Roman" w:hAnsi="Times New Roman" w:cs="Times New Roman"/>
        </w:rPr>
        <w:t>s</w:t>
      </w:r>
      <w:r>
        <w:rPr>
          <w:rFonts w:ascii="Times New Roman" w:hAnsi="Times New Roman" w:cs="Times New Roman"/>
        </w:rPr>
        <w:t xml:space="preserve"> </w:t>
      </w:r>
      <w:r w:rsidR="00AC2A69" w:rsidRPr="00E505DC">
        <w:rPr>
          <w:rFonts w:ascii="Times New Roman" w:hAnsi="Times New Roman" w:cs="Times New Roman"/>
        </w:rPr>
        <w:t>diretrizes da Organização Mundial da Saúde (OMS) para a Década do Envelhecimento Saudável enfatizam a necessidade de ambientes e comportamentos que promovam a capacidade funcional em de</w:t>
      </w:r>
      <w:r>
        <w:rPr>
          <w:rFonts w:ascii="Times New Roman" w:hAnsi="Times New Roman" w:cs="Times New Roman"/>
        </w:rPr>
        <w:t xml:space="preserve">sfavor do aumento </w:t>
      </w:r>
      <w:r w:rsidR="00AC2A69" w:rsidRPr="00E505DC">
        <w:rPr>
          <w:rFonts w:ascii="Times New Roman" w:hAnsi="Times New Roman" w:cs="Times New Roman"/>
        </w:rPr>
        <w:t xml:space="preserve">da </w:t>
      </w:r>
      <w:r>
        <w:rPr>
          <w:rFonts w:ascii="Times New Roman" w:hAnsi="Times New Roman" w:cs="Times New Roman"/>
        </w:rPr>
        <w:t xml:space="preserve">idade </w:t>
      </w:r>
      <w:r w:rsidR="00AC2A69" w:rsidRPr="00E505DC">
        <w:rPr>
          <w:rFonts w:ascii="Times New Roman" w:hAnsi="Times New Roman" w:cs="Times New Roman"/>
        </w:rPr>
        <w:t xml:space="preserve">cronológica. </w:t>
      </w:r>
      <w:r>
        <w:rPr>
          <w:rFonts w:ascii="Times New Roman" w:hAnsi="Times New Roman" w:cs="Times New Roman"/>
        </w:rPr>
        <w:t>É n</w:t>
      </w:r>
      <w:r w:rsidR="00AC2A69" w:rsidRPr="00E505DC">
        <w:rPr>
          <w:rFonts w:ascii="Times New Roman" w:hAnsi="Times New Roman" w:cs="Times New Roman"/>
        </w:rPr>
        <w:t>es</w:t>
      </w:r>
      <w:r>
        <w:rPr>
          <w:rFonts w:ascii="Times New Roman" w:hAnsi="Times New Roman" w:cs="Times New Roman"/>
        </w:rPr>
        <w:t>s</w:t>
      </w:r>
      <w:r w:rsidR="00AC2A69" w:rsidRPr="00E505DC">
        <w:rPr>
          <w:rFonts w:ascii="Times New Roman" w:hAnsi="Times New Roman" w:cs="Times New Roman"/>
        </w:rPr>
        <w:t>e contexto</w:t>
      </w:r>
      <w:r>
        <w:rPr>
          <w:rFonts w:ascii="Times New Roman" w:hAnsi="Times New Roman" w:cs="Times New Roman"/>
        </w:rPr>
        <w:t xml:space="preserve"> que a </w:t>
      </w:r>
      <w:proofErr w:type="spellStart"/>
      <w:r w:rsidR="00AC2A69" w:rsidRPr="00E505DC">
        <w:rPr>
          <w:rFonts w:ascii="Times New Roman" w:hAnsi="Times New Roman" w:cs="Times New Roman"/>
        </w:rPr>
        <w:t>a</w:t>
      </w:r>
      <w:proofErr w:type="spellEnd"/>
      <w:r w:rsidR="00AC2A69" w:rsidRPr="00E505DC">
        <w:rPr>
          <w:rFonts w:ascii="Times New Roman" w:hAnsi="Times New Roman" w:cs="Times New Roman"/>
        </w:rPr>
        <w:t xml:space="preserve"> Medicina do Estilo de Vida (MEV) emerge como uma disciplina estruturada em pilares</w:t>
      </w:r>
      <w:r>
        <w:rPr>
          <w:rFonts w:ascii="Times New Roman" w:hAnsi="Times New Roman" w:cs="Times New Roman"/>
        </w:rPr>
        <w:t xml:space="preserve">. Dentre outros, abarcam </w:t>
      </w:r>
      <w:r w:rsidR="00AC2A69" w:rsidRPr="00E505DC">
        <w:rPr>
          <w:rFonts w:ascii="Times New Roman" w:hAnsi="Times New Roman" w:cs="Times New Roman"/>
        </w:rPr>
        <w:t xml:space="preserve">a nutrição </w:t>
      </w:r>
      <w:r>
        <w:rPr>
          <w:rFonts w:ascii="Times New Roman" w:hAnsi="Times New Roman" w:cs="Times New Roman"/>
        </w:rPr>
        <w:t xml:space="preserve">– </w:t>
      </w:r>
      <w:r w:rsidR="00AC2A69" w:rsidRPr="00E505DC">
        <w:rPr>
          <w:rFonts w:ascii="Times New Roman" w:hAnsi="Times New Roman" w:cs="Times New Roman"/>
        </w:rPr>
        <w:t>baseada</w:t>
      </w:r>
      <w:r>
        <w:rPr>
          <w:rFonts w:ascii="Times New Roman" w:hAnsi="Times New Roman" w:cs="Times New Roman"/>
        </w:rPr>
        <w:t xml:space="preserve"> </w:t>
      </w:r>
      <w:r w:rsidR="00AC2A69" w:rsidRPr="00E505DC">
        <w:rPr>
          <w:rFonts w:ascii="Times New Roman" w:hAnsi="Times New Roman" w:cs="Times New Roman"/>
        </w:rPr>
        <w:t>em alimentos integrais</w:t>
      </w:r>
      <w:r>
        <w:rPr>
          <w:rFonts w:ascii="Times New Roman" w:hAnsi="Times New Roman" w:cs="Times New Roman"/>
        </w:rPr>
        <w:t xml:space="preserve"> –</w:t>
      </w:r>
      <w:r w:rsidR="00AC2A69" w:rsidRPr="00E505DC">
        <w:rPr>
          <w:rFonts w:ascii="Times New Roman" w:hAnsi="Times New Roman" w:cs="Times New Roman"/>
        </w:rPr>
        <w:t>, a prática regular de atividade física</w:t>
      </w:r>
      <w:r>
        <w:rPr>
          <w:rFonts w:ascii="Times New Roman" w:hAnsi="Times New Roman" w:cs="Times New Roman"/>
        </w:rPr>
        <w:t xml:space="preserve"> – caminhadas, dança, yoga –</w:t>
      </w:r>
      <w:r w:rsidR="00AC2A69" w:rsidRPr="00E505DC">
        <w:rPr>
          <w:rFonts w:ascii="Times New Roman" w:hAnsi="Times New Roman" w:cs="Times New Roman"/>
        </w:rPr>
        <w:t>, a higiene do sono</w:t>
      </w:r>
      <w:r>
        <w:rPr>
          <w:rFonts w:ascii="Times New Roman" w:hAnsi="Times New Roman" w:cs="Times New Roman"/>
        </w:rPr>
        <w:t xml:space="preserve"> – rotinas de vigília/repouso –</w:t>
      </w:r>
      <w:r w:rsidR="00AC2A69" w:rsidRPr="00E505DC">
        <w:rPr>
          <w:rFonts w:ascii="Times New Roman" w:hAnsi="Times New Roman" w:cs="Times New Roman"/>
        </w:rPr>
        <w:t>, o manejo do estresse</w:t>
      </w:r>
      <w:r>
        <w:rPr>
          <w:rFonts w:ascii="Times New Roman" w:hAnsi="Times New Roman" w:cs="Times New Roman"/>
        </w:rPr>
        <w:t xml:space="preserve"> – meditação, inteligência emocional –</w:t>
      </w:r>
      <w:r w:rsidR="00AC2A69" w:rsidRPr="00E505DC">
        <w:rPr>
          <w:rFonts w:ascii="Times New Roman" w:hAnsi="Times New Roman" w:cs="Times New Roman"/>
        </w:rPr>
        <w:t xml:space="preserve">, a cessação de substâncias tóxicas </w:t>
      </w:r>
      <w:r>
        <w:rPr>
          <w:rFonts w:ascii="Times New Roman" w:hAnsi="Times New Roman" w:cs="Times New Roman"/>
        </w:rPr>
        <w:t xml:space="preserve">– </w:t>
      </w:r>
      <w:r w:rsidR="00AC2A69" w:rsidRPr="00E505DC">
        <w:rPr>
          <w:rFonts w:ascii="Times New Roman" w:hAnsi="Times New Roman" w:cs="Times New Roman"/>
        </w:rPr>
        <w:t>e</w:t>
      </w:r>
      <w:r>
        <w:rPr>
          <w:rFonts w:ascii="Times New Roman" w:hAnsi="Times New Roman" w:cs="Times New Roman"/>
        </w:rPr>
        <w:t xml:space="preserve">ntorpecentes exógenos –, </w:t>
      </w:r>
      <w:r w:rsidR="00AC2A69" w:rsidRPr="00E505DC">
        <w:rPr>
          <w:rFonts w:ascii="Times New Roman" w:hAnsi="Times New Roman" w:cs="Times New Roman"/>
        </w:rPr>
        <w:t xml:space="preserve">a manutenção de conexões sociais saudáveis, </w:t>
      </w:r>
      <w:r>
        <w:rPr>
          <w:rFonts w:ascii="Times New Roman" w:hAnsi="Times New Roman" w:cs="Times New Roman"/>
        </w:rPr>
        <w:t xml:space="preserve">… </w:t>
      </w:r>
      <w:r w:rsidR="00AC2A69" w:rsidRPr="00E505DC">
        <w:rPr>
          <w:rFonts w:ascii="Times New Roman" w:hAnsi="Times New Roman" w:cs="Times New Roman"/>
        </w:rPr>
        <w:t xml:space="preserve">todos atuando de forma sinérgica para modular a expressão gênica e a resiliência biológica. O cerne desta interação biopsicossocial reside no Eixo Psiconeuroendocrinoimunologia (PNEI), um sistema de comunicação bidirecional e integrado que unifica os sistemas nervoso, endócrino e imunológico, demonstrando que estados mentais e comportamentais possuem correlatos moleculares diretos que podem induzir tanto a homeostase quanto a inflamação de baixo grau, conhecida como </w:t>
      </w:r>
      <w:proofErr w:type="spellStart"/>
      <w:r w:rsidR="00AC2A69" w:rsidRPr="003A13E9">
        <w:rPr>
          <w:rFonts w:ascii="Times New Roman" w:hAnsi="Times New Roman" w:cs="Times New Roman"/>
          <w:i/>
          <w:iCs/>
        </w:rPr>
        <w:t>inflammaging</w:t>
      </w:r>
      <w:proofErr w:type="spellEnd"/>
      <w:r w:rsidR="00AC2A69" w:rsidRPr="00E505DC">
        <w:rPr>
          <w:rFonts w:ascii="Times New Roman" w:hAnsi="Times New Roman" w:cs="Times New Roman"/>
        </w:rPr>
        <w:t xml:space="preserve">. A regulação deste eixo é profundamente influenciada pela Teoria Polivagal, proposta por Stephen Porges, que descreve como o sistema nervoso autônomo evoluiu para responder a desafios ambientais através de três estados distintos: o vago ventral (engajamento social e segurança), o sistema simpático (luta ou fuga) e o vago dorsal (imobilização e colapso). A predominância do tônus vagal ventral é essencial para a saúde integrativa, pois permite que o organismo mantenha processos de reparo celular e </w:t>
      </w:r>
      <w:proofErr w:type="spellStart"/>
      <w:r w:rsidR="00AC2A69" w:rsidRPr="00E505DC">
        <w:rPr>
          <w:rFonts w:ascii="Times New Roman" w:hAnsi="Times New Roman" w:cs="Times New Roman"/>
        </w:rPr>
        <w:t>imunovigilância</w:t>
      </w:r>
      <w:proofErr w:type="spellEnd"/>
      <w:r w:rsidR="00AC2A69" w:rsidRPr="00E505DC">
        <w:rPr>
          <w:rFonts w:ascii="Times New Roman" w:hAnsi="Times New Roman" w:cs="Times New Roman"/>
        </w:rPr>
        <w:t xml:space="preserve"> ativos, enquanto o estresse crônico, ao manter o indivíduo em estados de alerta simpático ou desligamento dorsal, desregula o cortisol e as citocinas pró-inflamatórias, acelerando o encurtamento </w:t>
      </w:r>
      <w:proofErr w:type="spellStart"/>
      <w:r w:rsidR="00AC2A69" w:rsidRPr="00E505DC">
        <w:rPr>
          <w:rFonts w:ascii="Times New Roman" w:hAnsi="Times New Roman" w:cs="Times New Roman"/>
        </w:rPr>
        <w:t>telomérico</w:t>
      </w:r>
      <w:proofErr w:type="spellEnd"/>
      <w:r w:rsidR="00AC2A69" w:rsidRPr="00E505DC">
        <w:rPr>
          <w:rFonts w:ascii="Times New Roman" w:hAnsi="Times New Roman" w:cs="Times New Roman"/>
        </w:rPr>
        <w:t xml:space="preserve"> e a senescência celular. Paralelamente, o Sistema Endocanabinoide (SEC) atua como um mestre regulador da homeostase sistêmica, operando através de receptores CB1 e CB2 e ligantes endógenos como a anandamida e o 2-AG para equilibrar funções que vão desde o metabolismo energético e a neuroplasticidade até a resposta imune e a percepção da dor. A deficiência clínica de </w:t>
      </w:r>
      <w:r w:rsidR="00AC2A69" w:rsidRPr="00E505DC">
        <w:rPr>
          <w:rFonts w:ascii="Times New Roman" w:hAnsi="Times New Roman" w:cs="Times New Roman"/>
        </w:rPr>
        <w:lastRenderedPageBreak/>
        <w:t>endocanabinoides tem sido associada a diversas condições crônicas, sugerindo que intervenções no estilo de vida, como o exercício aeróbico e a ingestão de ácidos graxos ômega-3, podem otimizar o SEC e, por conseguinte, fortalecer a resiliência do indivíduo frente aos estressores globais. A integração desses conceitos revela que a longevidade não é um evento estocástico, mas o resultado de uma orquestração precisa entre o ambiente externo e a biologia interna, onde a saúde integrativa propõe uma abordagem personalizada que considera a singularidade bioquímica e a trajetória de vida do sujeito. As evidências científicas atuais corroboram que a modificação de hábitos, fundamentada na compreensão técnica do Eixo PNEI e na regulação do sistema nervoso autônomo, é capaz de reverter marcadores de doenças crônicas não transmissíveis, que hoje representam o maior ônus para os sistemas de saúde globais. Portanto, a promoção de um estilo de vida global consciente e tecnicamente orientado não apenas estende a vida, mas assegura que os anos adicionais sejam vividos com vitalidade, propósito e autonomia, alinhando-se às metas de desenvolvimento sustentável e à visão de uma sociedade que valoriza o capital humano em todas as suas fases, transformando a prática clínica em uma jornada de educação, empoderamento e restauração biológica contínua, onde o paciente deixa de ser um receptor passivo de tratamentos para se tornar o arquiteto de sua própria saúde e longevidade, mediada por uma ciência que honra a interconexão absoluta entre mente, corpo e ambiente.</w:t>
      </w:r>
    </w:p>
    <w:p w14:paraId="48B27AE4" w14:textId="77777777" w:rsidR="00AC2A69" w:rsidRPr="00E505DC" w:rsidRDefault="00AC2A69" w:rsidP="00AC2A69">
      <w:pPr>
        <w:spacing w:after="240" w:line="360" w:lineRule="auto"/>
        <w:jc w:val="both"/>
        <w:rPr>
          <w:rFonts w:ascii="Times New Roman" w:hAnsi="Times New Roman" w:cs="Times New Roman"/>
        </w:rPr>
      </w:pPr>
    </w:p>
    <w:p w14:paraId="02214969" w14:textId="77777777" w:rsidR="00AC2A69" w:rsidRPr="00E505DC" w:rsidRDefault="00AC2A69" w:rsidP="00AC2A69">
      <w:pPr>
        <w:spacing w:after="240" w:line="360" w:lineRule="auto"/>
        <w:jc w:val="both"/>
        <w:rPr>
          <w:rFonts w:ascii="Times New Roman" w:hAnsi="Times New Roman" w:cs="Times New Roman"/>
        </w:rPr>
      </w:pPr>
      <w:r w:rsidRPr="00E505DC">
        <w:rPr>
          <w:rFonts w:ascii="Times New Roman" w:hAnsi="Times New Roman" w:cs="Times New Roman"/>
        </w:rPr>
        <w:t>1. Bibliografia Comentada (ABNT)</w:t>
      </w:r>
    </w:p>
    <w:p w14:paraId="5209E6AF" w14:textId="77777777" w:rsidR="00AC2A69" w:rsidRPr="00E505DC" w:rsidRDefault="00AC2A69" w:rsidP="00AC2A69">
      <w:pPr>
        <w:spacing w:after="240" w:line="360" w:lineRule="auto"/>
        <w:jc w:val="both"/>
        <w:rPr>
          <w:rFonts w:ascii="Times New Roman" w:hAnsi="Times New Roman" w:cs="Times New Roman"/>
        </w:rPr>
      </w:pPr>
      <w:r w:rsidRPr="00E505DC">
        <w:rPr>
          <w:rFonts w:ascii="Times New Roman" w:hAnsi="Times New Roman" w:cs="Times New Roman"/>
        </w:rPr>
        <w:t xml:space="preserve">ORGANIZAÇÃO MUNDIAL DA SAÚDE. World </w:t>
      </w:r>
      <w:proofErr w:type="spellStart"/>
      <w:r w:rsidRPr="00E505DC">
        <w:rPr>
          <w:rFonts w:ascii="Times New Roman" w:hAnsi="Times New Roman" w:cs="Times New Roman"/>
        </w:rPr>
        <w:t>report</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on</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ageing</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and</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health</w:t>
      </w:r>
      <w:proofErr w:type="spellEnd"/>
      <w:r w:rsidRPr="00E505DC">
        <w:rPr>
          <w:rFonts w:ascii="Times New Roman" w:hAnsi="Times New Roman" w:cs="Times New Roman"/>
        </w:rPr>
        <w:t>. Genebra: WHO, 2021. Disponível em: https://www.who.int/publications/i/item/9789241565042.</w:t>
      </w:r>
    </w:p>
    <w:p w14:paraId="60E3A17D" w14:textId="77777777" w:rsidR="00AC2A69" w:rsidRPr="00E505DC" w:rsidRDefault="00AC2A69" w:rsidP="00AC2A69">
      <w:pPr>
        <w:spacing w:after="240" w:line="360" w:lineRule="auto"/>
        <w:jc w:val="both"/>
        <w:rPr>
          <w:rFonts w:ascii="Times New Roman" w:hAnsi="Times New Roman" w:cs="Times New Roman"/>
        </w:rPr>
      </w:pPr>
      <w:r w:rsidRPr="00E505DC">
        <w:rPr>
          <w:rFonts w:ascii="Times New Roman" w:hAnsi="Times New Roman" w:cs="Times New Roman"/>
        </w:rPr>
        <w:t xml:space="preserve">Este relatório abrangente da Organização Mundial da Saúde estabelece o marco conceitual para a Década do Envelhecimento Saudável (2021-2030), redefinindo o envelhecimento não como a ausência de doença, mas como o processo de desenvolvimento e manutenção da capacidade funcional que permite o bem-estar na idade avançada. O documento detalha as evidências globais sobre as tendências demográficas e os desafios impostos pelo aumento da longevidade, propondo ações multissetoriais para adaptar os sistemas de saúde e criar ambientes amigáveis ao idoso. A publicação enfatiza a importância de combater o idadismo e de implementar intervenções baseadas em evidências que abordem os determinantes sociais da saúde. Além disso, o relatório discute a necessidade de monitoramento contínuo de indicadores de saúde funcional e a integração de cuidados de longo prazo. Ele serve como um guia político e técnico para governos e organizações de saúde ao redor do mundo, destacando que o investimento no envelhecimento saudável é essencial para o desenvolvimento sustentável. A obra também explora a relação entre trajetórias de capacidade intrínseca e o ambiente, demonstrando como a desigualdade ao longo da vida se manifesta na saúde dos idosos. Por fim, reforça que a saúde na velhice </w:t>
      </w:r>
      <w:r w:rsidRPr="00E505DC">
        <w:rPr>
          <w:rFonts w:ascii="Times New Roman" w:hAnsi="Times New Roman" w:cs="Times New Roman"/>
        </w:rPr>
        <w:lastRenderedPageBreak/>
        <w:t>é o resultado de escolhas e condições acumuladas desde a infância, exigindo uma abordagem de curso de vida para a prevenção de doenças crônicas.</w:t>
      </w:r>
    </w:p>
    <w:p w14:paraId="17B7280E" w14:textId="77777777" w:rsidR="00AC2A69" w:rsidRPr="00E505DC" w:rsidRDefault="00AC2A69" w:rsidP="00AC2A69">
      <w:pPr>
        <w:spacing w:after="240" w:line="360" w:lineRule="auto"/>
        <w:jc w:val="both"/>
        <w:rPr>
          <w:rFonts w:ascii="Times New Roman" w:hAnsi="Times New Roman" w:cs="Times New Roman"/>
        </w:rPr>
      </w:pPr>
      <w:r w:rsidRPr="00E505DC">
        <w:rPr>
          <w:rFonts w:ascii="Times New Roman" w:hAnsi="Times New Roman" w:cs="Times New Roman"/>
        </w:rPr>
        <w:t>A relevância desta fonte reside na sua autoridade global para definir as metas de saúde pública internacional. Ela fornece a base epidemiológica e política necessária para justificar a implementação da Medicina do Estilo de Vida em larga escala. Ao focar na capacidade funcional, o documento alinha-se perfeitamente ao conceito de saúde integrativa discutido no artigo. É a referência primária para entender como as diretrizes globais moldam as práticas locais de longevidade.</w:t>
      </w:r>
    </w:p>
    <w:p w14:paraId="68886D49" w14:textId="77777777" w:rsidR="00AC2A69" w:rsidRPr="00E505DC" w:rsidRDefault="00AC2A69" w:rsidP="00AC2A69">
      <w:pPr>
        <w:spacing w:after="240" w:line="360" w:lineRule="auto"/>
        <w:jc w:val="both"/>
        <w:rPr>
          <w:rFonts w:ascii="Times New Roman" w:hAnsi="Times New Roman" w:cs="Times New Roman"/>
        </w:rPr>
      </w:pPr>
      <w:r w:rsidRPr="00E505DC">
        <w:rPr>
          <w:rFonts w:ascii="Times New Roman" w:hAnsi="Times New Roman" w:cs="Times New Roman"/>
        </w:rPr>
        <w:t xml:space="preserve">PORGES, Stephen W. The </w:t>
      </w:r>
      <w:proofErr w:type="spellStart"/>
      <w:r w:rsidRPr="00E505DC">
        <w:rPr>
          <w:rFonts w:ascii="Times New Roman" w:hAnsi="Times New Roman" w:cs="Times New Roman"/>
        </w:rPr>
        <w:t>Polyvagal</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Theory</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Neurophysiological</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Foundations</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of</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Emotions</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Attachment</w:t>
      </w:r>
      <w:proofErr w:type="spellEnd"/>
      <w:r w:rsidRPr="00E505DC">
        <w:rPr>
          <w:rFonts w:ascii="Times New Roman" w:hAnsi="Times New Roman" w:cs="Times New Roman"/>
        </w:rPr>
        <w:t xml:space="preserve">, Communication, </w:t>
      </w:r>
      <w:proofErr w:type="spellStart"/>
      <w:r w:rsidRPr="00E505DC">
        <w:rPr>
          <w:rFonts w:ascii="Times New Roman" w:hAnsi="Times New Roman" w:cs="Times New Roman"/>
        </w:rPr>
        <w:t>and</w:t>
      </w:r>
      <w:proofErr w:type="spellEnd"/>
      <w:r w:rsidRPr="00E505DC">
        <w:rPr>
          <w:rFonts w:ascii="Times New Roman" w:hAnsi="Times New Roman" w:cs="Times New Roman"/>
        </w:rPr>
        <w:t xml:space="preserve"> Self-</w:t>
      </w:r>
      <w:proofErr w:type="spellStart"/>
      <w:r w:rsidRPr="00E505DC">
        <w:rPr>
          <w:rFonts w:ascii="Times New Roman" w:hAnsi="Times New Roman" w:cs="Times New Roman"/>
        </w:rPr>
        <w:t>regulation</w:t>
      </w:r>
      <w:proofErr w:type="spellEnd"/>
      <w:r w:rsidRPr="00E505DC">
        <w:rPr>
          <w:rFonts w:ascii="Times New Roman" w:hAnsi="Times New Roman" w:cs="Times New Roman"/>
        </w:rPr>
        <w:t xml:space="preserve">. New York: W. W. Norton &amp; </w:t>
      </w:r>
      <w:proofErr w:type="spellStart"/>
      <w:r w:rsidRPr="00E505DC">
        <w:rPr>
          <w:rFonts w:ascii="Times New Roman" w:hAnsi="Times New Roman" w:cs="Times New Roman"/>
        </w:rPr>
        <w:t>Company</w:t>
      </w:r>
      <w:proofErr w:type="spellEnd"/>
      <w:r w:rsidRPr="00E505DC">
        <w:rPr>
          <w:rFonts w:ascii="Times New Roman" w:hAnsi="Times New Roman" w:cs="Times New Roman"/>
        </w:rPr>
        <w:t>, 2011. Disponível em: https://www.ncbi.nlm.nih.gov/pmc/articles/PMC3108032/.</w:t>
      </w:r>
    </w:p>
    <w:p w14:paraId="54D57F4E" w14:textId="77777777" w:rsidR="00AC2A69" w:rsidRPr="00E505DC" w:rsidRDefault="00AC2A69" w:rsidP="00AC2A69">
      <w:pPr>
        <w:spacing w:after="240" w:line="360" w:lineRule="auto"/>
        <w:jc w:val="both"/>
        <w:rPr>
          <w:rFonts w:ascii="Times New Roman" w:hAnsi="Times New Roman" w:cs="Times New Roman"/>
        </w:rPr>
      </w:pPr>
      <w:r w:rsidRPr="00E505DC">
        <w:rPr>
          <w:rFonts w:ascii="Times New Roman" w:hAnsi="Times New Roman" w:cs="Times New Roman"/>
        </w:rPr>
        <w:t>A obra seminal de Stephen Porges apresenta a Teoria Polivagal, que revolucionou a compreensão do sistema nervoso autônomo (SNA) ao introduzir uma perspectiva evolutiva sobre a regulação biológica e o comportamento social. Porges descreve a existência de dois ramos distintos do nervo vago: o vago dorsal, filogeneticamente mais antigo e associado a respostas de imobilização, e o vago ventral, exclusivo de mamíferos e responsável pelo engajamento social e pela inibição do sistema simpático. O livro detalha como a percepção de segurança ou ameaça no ambiente (neurocepção) desencadeia estados fisiológicos que moldam nossas emoções e capacidades de comunicação. A teoria explica a base neurobiológica do trauma e do estresse crônico, demonstrando como a disfunção vagal contribui para uma série de patologias físicas e mentais. Através de uma análise rigorosa, o autor conecta a regulação do coração e dos músculos da face ao estado interno de homeostase, sugerindo que a saúde integrativa depende da capacidade do organismo de retornar ao estado de vago ventral. A obra também discute as implicações clínicas para a psicoterapia e a medicina, enfatizando a importância de ambientes seguros para a cura. É um texto fundamental para profissionais que buscam entender a conexão mente-corpo através da lente da neurofisiologia moderna. O livro fundamenta a necessidade de técnicas de manejo de estresse que visem a modulação do tônus vagal para a promoção da longevidade.</w:t>
      </w:r>
    </w:p>
    <w:p w14:paraId="1D81C1DC" w14:textId="77777777" w:rsidR="00AC2A69" w:rsidRPr="00E505DC" w:rsidRDefault="00AC2A69" w:rsidP="00AC2A69">
      <w:pPr>
        <w:spacing w:after="240" w:line="360" w:lineRule="auto"/>
        <w:jc w:val="both"/>
        <w:rPr>
          <w:rFonts w:ascii="Times New Roman" w:hAnsi="Times New Roman" w:cs="Times New Roman"/>
        </w:rPr>
      </w:pPr>
      <w:r w:rsidRPr="00E505DC">
        <w:rPr>
          <w:rFonts w:ascii="Times New Roman" w:hAnsi="Times New Roman" w:cs="Times New Roman"/>
        </w:rPr>
        <w:t>Esta fonte é crucial para o artigo pois fornece o mecanismo biológico que explica como o estilo de vida e o ambiente impactam a saúde através do sistema nervoso. A Teoria Polivagal é o elo entre o comportamento e a resposta fisiológica do Eixo PNEI. Sem esta fundamentação, a discussão sobre manejo de estresse permaneceria superficial e puramente subjetiva. Ela valida cientificamente a importância das conexões sociais e da segurança emocional na longevidade.</w:t>
      </w:r>
    </w:p>
    <w:p w14:paraId="15F6C554" w14:textId="77777777" w:rsidR="00AC2A69" w:rsidRPr="00E505DC" w:rsidRDefault="00AC2A69" w:rsidP="00AC2A69">
      <w:pPr>
        <w:spacing w:after="240" w:line="360" w:lineRule="auto"/>
        <w:jc w:val="both"/>
        <w:rPr>
          <w:rFonts w:ascii="Times New Roman" w:hAnsi="Times New Roman" w:cs="Times New Roman"/>
        </w:rPr>
      </w:pPr>
      <w:r w:rsidRPr="00E505DC">
        <w:rPr>
          <w:rFonts w:ascii="Times New Roman" w:hAnsi="Times New Roman" w:cs="Times New Roman"/>
        </w:rPr>
        <w:t xml:space="preserve">KATZ, David L. et al. Lifestyle Medicine: A Manual for Clinical </w:t>
      </w:r>
      <w:proofErr w:type="spellStart"/>
      <w:r w:rsidRPr="00E505DC">
        <w:rPr>
          <w:rFonts w:ascii="Times New Roman" w:hAnsi="Times New Roman" w:cs="Times New Roman"/>
        </w:rPr>
        <w:t>Practice</w:t>
      </w:r>
      <w:proofErr w:type="spellEnd"/>
      <w:r w:rsidRPr="00E505DC">
        <w:rPr>
          <w:rFonts w:ascii="Times New Roman" w:hAnsi="Times New Roman" w:cs="Times New Roman"/>
        </w:rPr>
        <w:t xml:space="preserve">. 3. ed. Ames: </w:t>
      </w:r>
      <w:proofErr w:type="spellStart"/>
      <w:r w:rsidRPr="00E505DC">
        <w:rPr>
          <w:rFonts w:ascii="Times New Roman" w:hAnsi="Times New Roman" w:cs="Times New Roman"/>
        </w:rPr>
        <w:t>Wiley</w:t>
      </w:r>
      <w:proofErr w:type="spellEnd"/>
      <w:r w:rsidRPr="00E505DC">
        <w:rPr>
          <w:rFonts w:ascii="Times New Roman" w:hAnsi="Times New Roman" w:cs="Times New Roman"/>
        </w:rPr>
        <w:t>-Blackwell, 2021. Disponível em: https://lifestylemedicine.org/.</w:t>
      </w:r>
    </w:p>
    <w:p w14:paraId="36FCE808" w14:textId="77777777" w:rsidR="00AC2A69" w:rsidRPr="00E505DC" w:rsidRDefault="00AC2A69" w:rsidP="00AC2A69">
      <w:pPr>
        <w:spacing w:after="240" w:line="360" w:lineRule="auto"/>
        <w:jc w:val="both"/>
        <w:rPr>
          <w:rFonts w:ascii="Times New Roman" w:hAnsi="Times New Roman" w:cs="Times New Roman"/>
        </w:rPr>
      </w:pPr>
      <w:r w:rsidRPr="00E505DC">
        <w:rPr>
          <w:rFonts w:ascii="Times New Roman" w:hAnsi="Times New Roman" w:cs="Times New Roman"/>
        </w:rPr>
        <w:lastRenderedPageBreak/>
        <w:t>Este manual clínico, editado por um dos maiores expoentes da Medicina do Estilo de Vida, David Katz, oferece uma síntese rigorosa das evidências científicas que sustentam os seis pilares da disciplina. O texto aborda detalhadamente como a nutrição, a atividade física, o sono, o manejo do estresse, o apoio social e a eliminação de substâncias tóxicas podem prevenir, tratar e, em muitos casos, reverter doenças crônicas como diabetes tipo 2, hipertensão e doenças cardiovasculares. Cada capítulo explora os mecanismos moleculares e fisiológicos envolvidos, desde a modulação da microbiota intestinal até a expressão de genes relacionados à inflamação. O livro fornece protocolos práticos para a implementação de mudanças de hábitos na prática clínica, enfatizando a importância da entrevista motivacional e do empoderamento do paciente. Além disso, discute a economia da saúde, demonstrando como a MEV pode reduzir drasticamente os custos dos sistemas de saúde globais. A obra é amplamente utilizada como referência para a certificação em Medicina do Estilo de Vida e é atualizada constantemente com as últimas pesquisas da área. Ela destaca a necessidade de uma abordagem transdisciplinar, envolvendo médicos, nutricionistas, psicólogos e educadores físicos. O manual também aborda a saúde planetária, conectando as escolhas individuais de estilo de vida à sustentabilidade ambiental. É uma ferramenta indispensável para a fundamentação técnica de qualquer intervenção voltada para a longevidade saudável e a saúde integrativa.</w:t>
      </w:r>
    </w:p>
    <w:p w14:paraId="1F5E3D72" w14:textId="77777777" w:rsidR="00AC2A69" w:rsidRPr="00E505DC" w:rsidRDefault="00AC2A69" w:rsidP="00AC2A69">
      <w:pPr>
        <w:spacing w:after="240" w:line="360" w:lineRule="auto"/>
        <w:jc w:val="both"/>
        <w:rPr>
          <w:rFonts w:ascii="Times New Roman" w:hAnsi="Times New Roman" w:cs="Times New Roman"/>
        </w:rPr>
      </w:pPr>
      <w:r w:rsidRPr="00E505DC">
        <w:rPr>
          <w:rFonts w:ascii="Times New Roman" w:hAnsi="Times New Roman" w:cs="Times New Roman"/>
        </w:rPr>
        <w:t xml:space="preserve">A relevância desta obra para o tema é absoluta, pois define os parâmetros práticos da Medicina do Estilo de Vida citada no texto. Ela fornece a base científica para os pilares que sustentam a longevidade, permitindo que o artigo transite da teoria para a aplicação clínica. É a fonte que </w:t>
      </w:r>
      <w:proofErr w:type="spellStart"/>
      <w:r w:rsidRPr="00E505DC">
        <w:rPr>
          <w:rFonts w:ascii="Times New Roman" w:hAnsi="Times New Roman" w:cs="Times New Roman"/>
        </w:rPr>
        <w:t>valida</w:t>
      </w:r>
      <w:proofErr w:type="spellEnd"/>
      <w:r w:rsidRPr="00E505DC">
        <w:rPr>
          <w:rFonts w:ascii="Times New Roman" w:hAnsi="Times New Roman" w:cs="Times New Roman"/>
        </w:rPr>
        <w:t xml:space="preserve"> a eficácia das intervenções comportamentais como medicina de primeira linha, essencial para a discussão sobre saúde integrativa.</w:t>
      </w:r>
    </w:p>
    <w:p w14:paraId="7D67FD47" w14:textId="77777777" w:rsidR="00AC2A69" w:rsidRPr="00E505DC" w:rsidRDefault="00AC2A69" w:rsidP="00AC2A69">
      <w:pPr>
        <w:spacing w:after="240" w:line="360" w:lineRule="auto"/>
        <w:jc w:val="both"/>
        <w:rPr>
          <w:rFonts w:ascii="Times New Roman" w:hAnsi="Times New Roman" w:cs="Times New Roman"/>
        </w:rPr>
      </w:pPr>
      <w:r w:rsidRPr="00E505DC">
        <w:rPr>
          <w:rFonts w:ascii="Times New Roman" w:hAnsi="Times New Roman" w:cs="Times New Roman"/>
        </w:rPr>
        <w:t xml:space="preserve">RUSSO, Ethan B. Clinical </w:t>
      </w:r>
      <w:proofErr w:type="spellStart"/>
      <w:r w:rsidRPr="00E505DC">
        <w:rPr>
          <w:rFonts w:ascii="Times New Roman" w:hAnsi="Times New Roman" w:cs="Times New Roman"/>
        </w:rPr>
        <w:t>Endocannabinoid</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Deficiency</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Revisited</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Can</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This</w:t>
      </w:r>
      <w:proofErr w:type="spellEnd"/>
      <w:r w:rsidRPr="00E505DC">
        <w:rPr>
          <w:rFonts w:ascii="Times New Roman" w:hAnsi="Times New Roman" w:cs="Times New Roman"/>
        </w:rPr>
        <w:t xml:space="preserve"> Concept </w:t>
      </w:r>
      <w:proofErr w:type="spellStart"/>
      <w:r w:rsidRPr="00E505DC">
        <w:rPr>
          <w:rFonts w:ascii="Times New Roman" w:hAnsi="Times New Roman" w:cs="Times New Roman"/>
        </w:rPr>
        <w:t>Explain</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the</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Therapeutic</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Effects</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of</w:t>
      </w:r>
      <w:proofErr w:type="spellEnd"/>
      <w:r w:rsidRPr="00E505DC">
        <w:rPr>
          <w:rFonts w:ascii="Times New Roman" w:hAnsi="Times New Roman" w:cs="Times New Roman"/>
        </w:rPr>
        <w:t xml:space="preserve"> Cannabis in </w:t>
      </w:r>
      <w:proofErr w:type="spellStart"/>
      <w:r w:rsidRPr="00E505DC">
        <w:rPr>
          <w:rFonts w:ascii="Times New Roman" w:hAnsi="Times New Roman" w:cs="Times New Roman"/>
        </w:rPr>
        <w:t>Fibromyalgia</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Migraine</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Irritable</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Bowel</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and</w:t>
      </w:r>
      <w:proofErr w:type="spellEnd"/>
      <w:r w:rsidRPr="00E505DC">
        <w:rPr>
          <w:rFonts w:ascii="Times New Roman" w:hAnsi="Times New Roman" w:cs="Times New Roman"/>
        </w:rPr>
        <w:t xml:space="preserve"> Other </w:t>
      </w:r>
      <w:proofErr w:type="spellStart"/>
      <w:r w:rsidRPr="00E505DC">
        <w:rPr>
          <w:rFonts w:ascii="Times New Roman" w:hAnsi="Times New Roman" w:cs="Times New Roman"/>
        </w:rPr>
        <w:t>Treatment-Resistant</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Syndromes</w:t>
      </w:r>
      <w:proofErr w:type="spellEnd"/>
      <w:r w:rsidRPr="00E505DC">
        <w:rPr>
          <w:rFonts w:ascii="Times New Roman" w:hAnsi="Times New Roman" w:cs="Times New Roman"/>
        </w:rPr>
        <w:t xml:space="preserve">? Cannabis </w:t>
      </w:r>
      <w:proofErr w:type="spellStart"/>
      <w:r w:rsidRPr="00E505DC">
        <w:rPr>
          <w:rFonts w:ascii="Times New Roman" w:hAnsi="Times New Roman" w:cs="Times New Roman"/>
        </w:rPr>
        <w:t>and</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Cannabinoid</w:t>
      </w:r>
      <w:proofErr w:type="spellEnd"/>
      <w:r w:rsidRPr="00E505DC">
        <w:rPr>
          <w:rFonts w:ascii="Times New Roman" w:hAnsi="Times New Roman" w:cs="Times New Roman"/>
        </w:rPr>
        <w:t xml:space="preserve"> </w:t>
      </w:r>
      <w:proofErr w:type="spellStart"/>
      <w:r w:rsidRPr="00E505DC">
        <w:rPr>
          <w:rFonts w:ascii="Times New Roman" w:hAnsi="Times New Roman" w:cs="Times New Roman"/>
        </w:rPr>
        <w:t>Research</w:t>
      </w:r>
      <w:proofErr w:type="spellEnd"/>
      <w:r w:rsidRPr="00E505DC">
        <w:rPr>
          <w:rFonts w:ascii="Times New Roman" w:hAnsi="Times New Roman" w:cs="Times New Roman"/>
        </w:rPr>
        <w:t>, v. 1, n. 1, p. 154-165, 2016. Disponível em: https://www.ncbi.nlm.nih.gov/pmc/articles/PMC5576607/.</w:t>
      </w:r>
    </w:p>
    <w:p w14:paraId="196C75D8" w14:textId="77777777" w:rsidR="00AC2A69" w:rsidRPr="00E505DC" w:rsidRDefault="00AC2A69" w:rsidP="00AC2A69">
      <w:pPr>
        <w:spacing w:after="240" w:line="360" w:lineRule="auto"/>
        <w:jc w:val="both"/>
        <w:rPr>
          <w:rFonts w:ascii="Times New Roman" w:hAnsi="Times New Roman" w:cs="Times New Roman"/>
        </w:rPr>
      </w:pPr>
      <w:r w:rsidRPr="00E505DC">
        <w:rPr>
          <w:rFonts w:ascii="Times New Roman" w:hAnsi="Times New Roman" w:cs="Times New Roman"/>
        </w:rPr>
        <w:t>Neste artigo de revisão fundamental, o Dr. Ethan Russo explora o conceito de Deficiência Clínica de Endocanabinoides (</w:t>
      </w:r>
      <w:proofErr w:type="spellStart"/>
      <w:r w:rsidRPr="00E505DC">
        <w:rPr>
          <w:rFonts w:ascii="Times New Roman" w:hAnsi="Times New Roman" w:cs="Times New Roman"/>
        </w:rPr>
        <w:t>CECD</w:t>
      </w:r>
      <w:proofErr w:type="spellEnd"/>
      <w:r w:rsidRPr="00E505DC">
        <w:rPr>
          <w:rFonts w:ascii="Times New Roman" w:hAnsi="Times New Roman" w:cs="Times New Roman"/>
        </w:rPr>
        <w:t xml:space="preserve">), sugerindo que baixos níveis de tônus endocanabinoide podem estar na base de várias condições de difícil tratamento, como fibromialgia, enxaqueca e síndrome do intestino irritável. O autor detalha o funcionamento do Sistema Endocanabinoide (SEC) como um regulador mestre da homeostase, influenciando o sono, o apetite, a dor e a resposta imune. Russo discute como fatores genéticos, ambientais e de estilo de vida podem levar a uma </w:t>
      </w:r>
      <w:proofErr w:type="spellStart"/>
      <w:r w:rsidRPr="00E505DC">
        <w:rPr>
          <w:rFonts w:ascii="Times New Roman" w:hAnsi="Times New Roman" w:cs="Times New Roman"/>
        </w:rPr>
        <w:t>hipofunção</w:t>
      </w:r>
      <w:proofErr w:type="spellEnd"/>
      <w:r w:rsidRPr="00E505DC">
        <w:rPr>
          <w:rFonts w:ascii="Times New Roman" w:hAnsi="Times New Roman" w:cs="Times New Roman"/>
        </w:rPr>
        <w:t xml:space="preserve"> deste sistema, resultando em uma desregulação sistêmica que afeta o Eixo PNEI. O estudo revisa evidências clínicas e pré-clínicas que demonstram como a modulação do SEC, seja através de fitocanabinoides ou de intervenções no estilo de vida como dieta e exercício, pode restaurar o equilíbrio biológico. O texto também aborda a interconectividade do SEC com outros sistemas de neurotransmissores e hormônios, reforçando a visão </w:t>
      </w:r>
      <w:r w:rsidRPr="00E505DC">
        <w:rPr>
          <w:rFonts w:ascii="Times New Roman" w:hAnsi="Times New Roman" w:cs="Times New Roman"/>
        </w:rPr>
        <w:lastRenderedPageBreak/>
        <w:t>integrativa da saúde. A pesquisa de Russo é um marco na medicina canabinoide, fornecendo uma explicação fisiopatológica para doenças que antes eram consideradas psicossomáticas. O artigo enfatiza que a otimização do SEC é uma estratégia promissora para a promoção da resiliência e da longevidade. Além disso, discute a segurança e a eficácia de abordagens terapêuticas que visam o SEC, destacando a necessidade de mais pesquisas clínicas. É uma leitura essencial para compreender a profundidade da regulação homeostática humana.</w:t>
      </w:r>
    </w:p>
    <w:p w14:paraId="6E189BF9" w14:textId="0066B75D" w:rsidR="00AC2A69" w:rsidRPr="00F8658C" w:rsidRDefault="00AC2A69" w:rsidP="00AC2A69">
      <w:pPr>
        <w:spacing w:after="240" w:line="360" w:lineRule="auto"/>
        <w:jc w:val="both"/>
        <w:rPr>
          <w:rFonts w:ascii="Times New Roman" w:hAnsi="Times New Roman" w:cs="Times New Roman"/>
        </w:rPr>
      </w:pPr>
      <w:r w:rsidRPr="00E505DC">
        <w:rPr>
          <w:rFonts w:ascii="Times New Roman" w:hAnsi="Times New Roman" w:cs="Times New Roman"/>
        </w:rPr>
        <w:t>Esta fonte fundamenta tecnicamente a seção sobre o Sistema Endocanabinoide no artigo. Ela é vital para explicar como a homeostase é mantida em nível molecular e como o estilo de vida influencia essa regulação. A teoria da deficiência de endocanabinoides de Russo oferece uma explicação científica robusta para a interconexão entre diferentes sintomas e sistemas, validando a abordagem integrativa proposta.</w:t>
      </w:r>
    </w:p>
    <w:sectPr w:rsidR="00AC2A69" w:rsidRPr="00F8658C" w:rsidSect="00F8658C">
      <w:pgSz w:w="11906" w:h="16838"/>
      <w:pgMar w:top="1701"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10162"/>
    <w:multiLevelType w:val="hybridMultilevel"/>
    <w:tmpl w:val="708890D4"/>
    <w:lvl w:ilvl="0" w:tplc="AF40D854">
      <w:start w:val="1"/>
      <w:numFmt w:val="bullet"/>
      <w:lvlText w:val="●"/>
      <w:lvlJc w:val="left"/>
      <w:pPr>
        <w:ind w:left="720" w:hanging="360"/>
      </w:pPr>
    </w:lvl>
    <w:lvl w:ilvl="1" w:tplc="B462825C">
      <w:start w:val="1"/>
      <w:numFmt w:val="bullet"/>
      <w:lvlText w:val="○"/>
      <w:lvlJc w:val="left"/>
      <w:pPr>
        <w:ind w:left="1440" w:hanging="360"/>
      </w:pPr>
    </w:lvl>
    <w:lvl w:ilvl="2" w:tplc="696A9354">
      <w:start w:val="1"/>
      <w:numFmt w:val="bullet"/>
      <w:lvlText w:val="■"/>
      <w:lvlJc w:val="left"/>
      <w:pPr>
        <w:ind w:left="2160" w:hanging="360"/>
      </w:pPr>
    </w:lvl>
    <w:lvl w:ilvl="3" w:tplc="A37C39D2">
      <w:start w:val="1"/>
      <w:numFmt w:val="bullet"/>
      <w:lvlText w:val="●"/>
      <w:lvlJc w:val="left"/>
      <w:pPr>
        <w:ind w:left="2880" w:hanging="360"/>
      </w:pPr>
    </w:lvl>
    <w:lvl w:ilvl="4" w:tplc="99BE8CD0">
      <w:start w:val="1"/>
      <w:numFmt w:val="bullet"/>
      <w:lvlText w:val="○"/>
      <w:lvlJc w:val="left"/>
      <w:pPr>
        <w:ind w:left="3600" w:hanging="360"/>
      </w:pPr>
    </w:lvl>
    <w:lvl w:ilvl="5" w:tplc="7F1E365C">
      <w:start w:val="1"/>
      <w:numFmt w:val="bullet"/>
      <w:lvlText w:val="■"/>
      <w:lvlJc w:val="left"/>
      <w:pPr>
        <w:ind w:left="4320" w:hanging="360"/>
      </w:pPr>
    </w:lvl>
    <w:lvl w:ilvl="6" w:tplc="C21099D0">
      <w:start w:val="1"/>
      <w:numFmt w:val="bullet"/>
      <w:lvlText w:val="●"/>
      <w:lvlJc w:val="left"/>
      <w:pPr>
        <w:ind w:left="5040" w:hanging="360"/>
      </w:pPr>
    </w:lvl>
    <w:lvl w:ilvl="7" w:tplc="59AC83F6">
      <w:start w:val="1"/>
      <w:numFmt w:val="bullet"/>
      <w:lvlText w:val="●"/>
      <w:lvlJc w:val="left"/>
      <w:pPr>
        <w:ind w:left="5760" w:hanging="360"/>
      </w:pPr>
    </w:lvl>
    <w:lvl w:ilvl="8" w:tplc="E9108CA0">
      <w:start w:val="1"/>
      <w:numFmt w:val="bullet"/>
      <w:lvlText w:val="●"/>
      <w:lvlJc w:val="left"/>
      <w:pPr>
        <w:ind w:left="6480" w:hanging="360"/>
      </w:pPr>
    </w:lvl>
  </w:abstractNum>
  <w:abstractNum w:abstractNumId="1" w15:restartNumberingAfterBreak="0">
    <w:nsid w:val="2DEC7804"/>
    <w:multiLevelType w:val="hybridMultilevel"/>
    <w:tmpl w:val="1B5E4A5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7D171ED"/>
    <w:multiLevelType w:val="hybridMultilevel"/>
    <w:tmpl w:val="B41AEE6E"/>
    <w:lvl w:ilvl="0" w:tplc="83F27078">
      <w:start w:val="1"/>
      <w:numFmt w:val="decimal"/>
      <w:lvlText w:val="%1."/>
      <w:lvlJc w:val="left"/>
      <w:pPr>
        <w:ind w:left="720" w:hanging="360"/>
      </w:pPr>
    </w:lvl>
    <w:lvl w:ilvl="1" w:tplc="4DD664DA">
      <w:numFmt w:val="decimal"/>
      <w:lvlText w:val=""/>
      <w:lvlJc w:val="left"/>
    </w:lvl>
    <w:lvl w:ilvl="2" w:tplc="6B0C0AFC">
      <w:numFmt w:val="decimal"/>
      <w:lvlText w:val=""/>
      <w:lvlJc w:val="left"/>
    </w:lvl>
    <w:lvl w:ilvl="3" w:tplc="D1CC39E6">
      <w:numFmt w:val="decimal"/>
      <w:lvlText w:val=""/>
      <w:lvlJc w:val="left"/>
    </w:lvl>
    <w:lvl w:ilvl="4" w:tplc="7FC2D742">
      <w:numFmt w:val="decimal"/>
      <w:lvlText w:val=""/>
      <w:lvlJc w:val="left"/>
    </w:lvl>
    <w:lvl w:ilvl="5" w:tplc="93AA443E">
      <w:numFmt w:val="decimal"/>
      <w:lvlText w:val=""/>
      <w:lvlJc w:val="left"/>
    </w:lvl>
    <w:lvl w:ilvl="6" w:tplc="8868A0EA">
      <w:numFmt w:val="decimal"/>
      <w:lvlText w:val=""/>
      <w:lvlJc w:val="left"/>
    </w:lvl>
    <w:lvl w:ilvl="7" w:tplc="C408FF56">
      <w:numFmt w:val="decimal"/>
      <w:lvlText w:val=""/>
      <w:lvlJc w:val="left"/>
    </w:lvl>
    <w:lvl w:ilvl="8" w:tplc="457AC15A">
      <w:numFmt w:val="decimal"/>
      <w:lvlText w:val=""/>
      <w:lvlJc w:val="left"/>
    </w:lvl>
  </w:abstractNum>
  <w:num w:numId="1" w16cid:durableId="653142657">
    <w:abstractNumId w:val="0"/>
    <w:lvlOverride w:ilvl="0">
      <w:startOverride w:val="1"/>
    </w:lvlOverride>
  </w:num>
  <w:num w:numId="2" w16cid:durableId="1498614655">
    <w:abstractNumId w:val="2"/>
    <w:lvlOverride w:ilvl="0">
      <w:startOverride w:val="1"/>
    </w:lvlOverride>
  </w:num>
  <w:num w:numId="3" w16cid:durableId="889848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4EA"/>
    <w:rsid w:val="002234EA"/>
    <w:rsid w:val="00282C07"/>
    <w:rsid w:val="003A13E9"/>
    <w:rsid w:val="005367D5"/>
    <w:rsid w:val="00AC2A69"/>
    <w:rsid w:val="00EF1A89"/>
    <w:rsid w:val="00F8658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6BCFF"/>
  <w15:docId w15:val="{B7CA1992-E080-4041-BAE5-AAAD5AB98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sz w:val="52"/>
      <w:szCs w:val="52"/>
    </w:rPr>
  </w:style>
  <w:style w:type="paragraph" w:styleId="Ttulo2">
    <w:name w:val="heading 2"/>
    <w:uiPriority w:val="9"/>
    <w:unhideWhenUsed/>
    <w:qFormat/>
    <w:pPr>
      <w:spacing w:before="360" w:after="180"/>
      <w:outlineLvl w:val="1"/>
    </w:pPr>
    <w:rPr>
      <w:b/>
      <w:bCs/>
      <w:sz w:val="36"/>
      <w:szCs w:val="36"/>
    </w:rPr>
  </w:style>
  <w:style w:type="paragraph" w:styleId="Ttulo3">
    <w:name w:val="heading 3"/>
    <w:uiPriority w:val="9"/>
    <w:unhideWhenUsed/>
    <w:qFormat/>
    <w:pPr>
      <w:spacing w:before="240"/>
      <w:outlineLvl w:val="2"/>
    </w:pPr>
    <w:rPr>
      <w:b/>
      <w:bCs/>
      <w:sz w:val="28"/>
      <w:szCs w:val="2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pPr>
      <w:spacing w:after="0"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9</Pages>
  <Words>3190</Words>
  <Characters>17227</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Olair Rafael Silva Jr</cp:lastModifiedBy>
  <cp:revision>3</cp:revision>
  <dcterms:created xsi:type="dcterms:W3CDTF">2026-05-08T05:19:00Z</dcterms:created>
  <dcterms:modified xsi:type="dcterms:W3CDTF">2026-05-08T19:35:00Z</dcterms:modified>
</cp:coreProperties>
</file>