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BA58E" w14:textId="2451EC1B" w:rsidR="004D47FB" w:rsidRPr="004D47FB" w:rsidRDefault="004D47FB" w:rsidP="004D47FB">
      <w:pPr>
        <w:spacing w:after="360" w:line="360" w:lineRule="auto"/>
        <w:jc w:val="center"/>
        <w:rPr>
          <w:i/>
          <w:iCs/>
        </w:rPr>
      </w:pPr>
      <w:r w:rsidRPr="004D47FB">
        <w:rPr>
          <w:i/>
          <w:iCs/>
        </w:rPr>
        <w:t>décadas uma rotina marcada por excesso de tela, sono ruim, postura inadequada, pressão estética e busca constante por engajamento</w:t>
      </w:r>
    </w:p>
    <w:p w14:paraId="67042024" w14:textId="77777777" w:rsidR="004D47FB" w:rsidRPr="004D47FB" w:rsidRDefault="004D47FB" w:rsidP="004D47FB">
      <w:pPr>
        <w:spacing w:after="360" w:line="360" w:lineRule="auto"/>
        <w:jc w:val="center"/>
        <w:rPr>
          <w:i/>
          <w:iCs/>
        </w:rPr>
      </w:pPr>
    </w:p>
    <w:p w14:paraId="3AD7ADF8" w14:textId="6E8B09CE" w:rsidR="006D2EDB" w:rsidRDefault="006D2EDB" w:rsidP="006D2EDB">
      <w:pPr>
        <w:spacing w:after="360" w:line="360" w:lineRule="auto"/>
        <w:jc w:val="both"/>
      </w:pPr>
      <w:r>
        <w:t>Um modelo digital chamado Ava reacendeu a discussão sobre os efeitos do trabalho online no corpo e na saúde de quem vive das redes sociais.</w:t>
      </w:r>
    </w:p>
    <w:p w14:paraId="695F142F" w14:textId="57F833D3" w:rsidR="006D2EDB" w:rsidRDefault="006D2EDB" w:rsidP="006D2EDB">
      <w:pPr>
        <w:spacing w:after="360" w:line="360" w:lineRule="auto"/>
        <w:jc w:val="both"/>
      </w:pPr>
      <w:r>
        <w:t>A simulação mostra como um influenciador médio poderia parecer em 2050 se mantivesse por décadas uma rotina marcada por excesso de tela, sono ruim, postura inadequada, pressão estética e busca constante por engajamento.</w:t>
      </w:r>
    </w:p>
    <w:p w14:paraId="42CE3B17" w14:textId="67E91C69" w:rsidR="006D2EDB" w:rsidRDefault="006D2EDB" w:rsidP="006D2EDB">
      <w:pPr>
        <w:spacing w:after="360" w:line="360" w:lineRule="auto"/>
        <w:jc w:val="both"/>
      </w:pPr>
      <w:r>
        <w:t>A imagem é impactante. Ava aparece com costas curvadas, pescoço projetado para frente, pele irritada, olheiras profundas, olhos cansados e traços faciais modificados por procedimentos estéticos repetidos. O objetivo é causar desconforto e provocar reflexão sobre os custos invisíveis da vida digital.</w:t>
      </w:r>
    </w:p>
    <w:p w14:paraId="12A9E288" w14:textId="74F3E486" w:rsidR="006D2EDB" w:rsidRDefault="006D2EDB" w:rsidP="006D2EDB">
      <w:pPr>
        <w:spacing w:after="360" w:line="360" w:lineRule="auto"/>
        <w:jc w:val="both"/>
      </w:pPr>
      <w:r>
        <w:t>O modelo não deve ser entendido como uma previsão médica exata. Ele é uma representação conceitual, construída para reunir possíveis consequências de hábitos já conhecidos. A ciência reconhece que sedentarismo, má postura, privação de sono, excesso de telas e estresse podem afetar o corpo ao longo do tempo.</w:t>
      </w:r>
    </w:p>
    <w:p w14:paraId="14163B5C" w14:textId="4B92D699" w:rsidR="006D2EDB" w:rsidRDefault="006D2EDB" w:rsidP="006D2EDB">
      <w:pPr>
        <w:spacing w:after="360" w:line="360" w:lineRule="auto"/>
        <w:jc w:val="both"/>
      </w:pPr>
      <w:r>
        <w:t>No caso dos influenciadores, esses fatores podem se acumular. Produzir conteúdo exige horas de gravação, edição, interação, exposição pública e comparação constante. A rotina pode parecer glamourosa para quem vê de fora, mas também pode envolver ansiedade, pressão por aparência, dependência de métricas e dificuldade de desconectar.</w:t>
      </w:r>
    </w:p>
    <w:p w14:paraId="14CF7886" w14:textId="5B3F9767" w:rsidR="006D2EDB" w:rsidRDefault="006D2EDB" w:rsidP="006D2EDB">
      <w:pPr>
        <w:spacing w:after="360" w:line="360" w:lineRule="auto"/>
        <w:jc w:val="both"/>
      </w:pPr>
      <w:r>
        <w:t>A simulação também toca em um ponto delicado: a busca por um rosto ideal. Filtros, preenchimentos, maquiagem pesada e procedimentos repetidos podem alterar a forma como a pessoa enxerga a própria imagem. Quando o rosto real passa a competir com a versão editada, a relação com a aparência pode se tornar mais difícil.</w:t>
      </w:r>
    </w:p>
    <w:p w14:paraId="612B0D8B" w14:textId="37371CC6" w:rsidR="006D2EDB" w:rsidRDefault="006D2EDB" w:rsidP="006D2EDB">
      <w:pPr>
        <w:spacing w:after="360" w:line="360" w:lineRule="auto"/>
        <w:jc w:val="both"/>
      </w:pPr>
      <w:r>
        <w:t>Ava não mostra o futuro inevitável dos influenciadores. Ela mostra um possível resultado de uma rotina sem equilíbrio. O alerta vale não apenas para quem vive da internet, mas para qualquer pessoa que passa grande parte do dia conectada.</w:t>
      </w:r>
    </w:p>
    <w:p w14:paraId="3DBB1277" w14:textId="58579645" w:rsidR="006D2EDB" w:rsidRDefault="006D2EDB" w:rsidP="006D2EDB">
      <w:pPr>
        <w:spacing w:after="360" w:line="360" w:lineRule="auto"/>
        <w:jc w:val="both"/>
      </w:pPr>
      <w:r>
        <w:t>A pergunta que fica é simples: quanto do corpo e da mente estamos entregando para acompanhar o ritmo das telas?</w:t>
      </w:r>
    </w:p>
    <w:p w14:paraId="47A51538" w14:textId="7376C448" w:rsidR="006D2EDB" w:rsidRPr="006D2EDB" w:rsidRDefault="006D2EDB" w:rsidP="006D2EDB">
      <w:pPr>
        <w:spacing w:after="360" w:line="360" w:lineRule="auto"/>
        <w:jc w:val="both"/>
      </w:pPr>
      <w:r w:rsidRPr="006D2EDB">
        <w:lastRenderedPageBreak/>
        <w:t>Sim, a internet pode cobrar um preço alto — e, muitas vezes, silencioso — de quem vive da própria imagem. A história de Ava, ainda que fictícia, funciona como metáfora precisa para discutir o impacto cumulativo de práticas que hoje parecem inofensivas: excesso de tela, autocobrança estética, desempenho constante, métricas que ditam humor e decisões, além de uma cultura de exposição que mistura vida pessoal e trabalho sem pausas claras. A imagem é chocante porque condensa algo real: o corpo humano não foi feito para permanecer anos sob luz artificial, sentado, tenso, monitorado e comparado. Influenciadores são trabalhadores da economia da atenção, e isso exige um tipo de energia emocional, cognitiva e física que não aparece no feed. Há consequências reconhecidas pela ciência — distúrbios do sono, dores musculoesqueléticas, estresse crônico, fadiga ocular, distorção da autoimagem — que, quando somadas, podem moldar literalmente o corpo e subjetivamente a identidade. O problema não é a tecnologia, mas o desequilíbrio entre presença digital e saúde integral. Ava não é um destino, mas um espelho crítico. Ela provoca a pergunta inevitável: até que ponto estamos usando a tecnologia — e até que ponto estamos sendo usados por ela?</w:t>
      </w:r>
    </w:p>
    <w:p w14:paraId="19BDA209" w14:textId="77777777" w:rsidR="006D2EDB" w:rsidRDefault="006D2EDB" w:rsidP="006D2EDB">
      <w:pPr>
        <w:spacing w:after="360" w:line="360" w:lineRule="auto"/>
        <w:jc w:val="both"/>
        <w:rPr>
          <w:b/>
          <w:bCs/>
        </w:rPr>
      </w:pPr>
      <w:r w:rsidRPr="006D2EDB">
        <w:rPr>
          <w:b/>
          <w:bCs/>
        </w:rPr>
        <w:t>Relevância para o tema (5 linhas):</w:t>
      </w:r>
    </w:p>
    <w:p w14:paraId="232BF1C4" w14:textId="1AFDF31C" w:rsidR="006D2EDB" w:rsidRPr="006D2EDB" w:rsidRDefault="006D2EDB" w:rsidP="006D2EDB">
      <w:pPr>
        <w:spacing w:after="360" w:line="360" w:lineRule="auto"/>
        <w:jc w:val="both"/>
      </w:pPr>
      <w:r w:rsidRPr="006D2EDB">
        <w:t>O caso sintetiza a discussão contemporânea sobre saúde digital em profissões de exposição permanente. Ele amplia o debate sobre ergonomia, bem-estar emocional e efeitos do trabalho mediado por tela. Ajuda a evidenciar riscos que ainda são subestimados socialmente. Serve como ponto de partida para políticas de educação digital e autocuidado profissional. E reforça a necessidade de redefinir limites saudáveis entre vida online e offline.</w:t>
      </w:r>
    </w:p>
    <w:p w14:paraId="67E6BFAC" w14:textId="77777777" w:rsidR="006D2EDB" w:rsidRPr="006D2EDB" w:rsidRDefault="006D2EDB" w:rsidP="006D2EDB">
      <w:pPr>
        <w:spacing w:after="360" w:line="360" w:lineRule="auto"/>
        <w:jc w:val="both"/>
      </w:pPr>
      <w:r w:rsidRPr="006D2EDB">
        <w:rPr>
          <w:b/>
          <w:bCs/>
        </w:rPr>
        <w:t>Bibliografia (ABNT) + links ativos + resumo de cada obra (1 parágrafo por item):</w:t>
      </w:r>
    </w:p>
    <w:p w14:paraId="716CFBCC" w14:textId="77777777" w:rsidR="006D2EDB" w:rsidRDefault="006D2EDB" w:rsidP="006D2EDB">
      <w:pPr>
        <w:spacing w:after="360" w:line="360" w:lineRule="auto"/>
        <w:jc w:val="both"/>
        <w:rPr>
          <w:b/>
          <w:bCs/>
        </w:rPr>
      </w:pPr>
      <w:r w:rsidRPr="006D2EDB">
        <w:rPr>
          <w:b/>
          <w:bCs/>
        </w:rPr>
        <w:t>1. REEVE, Carolyn L.; HEATH, Jennifer J. "</w:t>
      </w:r>
      <w:proofErr w:type="spellStart"/>
      <w:r w:rsidRPr="006D2EDB">
        <w:rPr>
          <w:b/>
          <w:bCs/>
        </w:rPr>
        <w:t>Screen</w:t>
      </w:r>
      <w:proofErr w:type="spellEnd"/>
      <w:r w:rsidRPr="006D2EDB">
        <w:rPr>
          <w:b/>
          <w:bCs/>
        </w:rPr>
        <w:t xml:space="preserve"> time </w:t>
      </w:r>
      <w:proofErr w:type="spellStart"/>
      <w:r w:rsidRPr="006D2EDB">
        <w:rPr>
          <w:b/>
          <w:bCs/>
        </w:rPr>
        <w:t>and</w:t>
      </w:r>
      <w:proofErr w:type="spellEnd"/>
      <w:r w:rsidRPr="006D2EDB">
        <w:rPr>
          <w:b/>
          <w:bCs/>
        </w:rPr>
        <w:t xml:space="preserve"> mental </w:t>
      </w:r>
      <w:proofErr w:type="spellStart"/>
      <w:r w:rsidRPr="006D2EDB">
        <w:rPr>
          <w:b/>
          <w:bCs/>
        </w:rPr>
        <w:t>health</w:t>
      </w:r>
      <w:proofErr w:type="spellEnd"/>
      <w:r w:rsidRPr="006D2EDB">
        <w:rPr>
          <w:b/>
          <w:bCs/>
        </w:rPr>
        <w:t xml:space="preserve">: The </w:t>
      </w:r>
      <w:proofErr w:type="spellStart"/>
      <w:r w:rsidRPr="006D2EDB">
        <w:rPr>
          <w:b/>
          <w:bCs/>
        </w:rPr>
        <w:t>psychological</w:t>
      </w:r>
      <w:proofErr w:type="spellEnd"/>
      <w:r w:rsidRPr="006D2EDB">
        <w:rPr>
          <w:b/>
          <w:bCs/>
        </w:rPr>
        <w:t xml:space="preserve"> </w:t>
      </w:r>
      <w:proofErr w:type="spellStart"/>
      <w:r w:rsidRPr="006D2EDB">
        <w:rPr>
          <w:b/>
          <w:bCs/>
        </w:rPr>
        <w:t>costs</w:t>
      </w:r>
      <w:proofErr w:type="spellEnd"/>
      <w:r w:rsidRPr="006D2EDB">
        <w:rPr>
          <w:b/>
          <w:bCs/>
        </w:rPr>
        <w:t xml:space="preserve"> of digital </w:t>
      </w:r>
      <w:proofErr w:type="spellStart"/>
      <w:r w:rsidRPr="006D2EDB">
        <w:rPr>
          <w:b/>
          <w:bCs/>
        </w:rPr>
        <w:t>overexposure</w:t>
      </w:r>
      <w:proofErr w:type="spellEnd"/>
      <w:r w:rsidRPr="006D2EDB">
        <w:rPr>
          <w:b/>
          <w:bCs/>
        </w:rPr>
        <w:t xml:space="preserve">." Journal of </w:t>
      </w:r>
      <w:proofErr w:type="spellStart"/>
      <w:r w:rsidRPr="006D2EDB">
        <w:rPr>
          <w:b/>
          <w:bCs/>
        </w:rPr>
        <w:t>Behavioral</w:t>
      </w:r>
      <w:proofErr w:type="spellEnd"/>
      <w:r w:rsidRPr="006D2EDB">
        <w:rPr>
          <w:b/>
          <w:bCs/>
        </w:rPr>
        <w:t xml:space="preserve"> Health, 2023.</w:t>
      </w:r>
    </w:p>
    <w:p w14:paraId="28E84EF5" w14:textId="77777777" w:rsidR="006D2EDB" w:rsidRDefault="006D2EDB" w:rsidP="006D2EDB">
      <w:pPr>
        <w:spacing w:after="360" w:line="360" w:lineRule="auto"/>
        <w:jc w:val="both"/>
      </w:pPr>
      <w:r w:rsidRPr="006D2EDB">
        <w:t xml:space="preserve">Link: </w:t>
      </w:r>
      <w:hyperlink r:id="rId5" w:history="1">
        <w:r w:rsidRPr="006D2EDB">
          <w:rPr>
            <w:rStyle w:val="Hyperlink"/>
          </w:rPr>
          <w:t>https://www.journalbh.org/screentime2023</w:t>
        </w:r>
      </w:hyperlink>
    </w:p>
    <w:p w14:paraId="1A5410AA" w14:textId="7329CDBD" w:rsidR="006D2EDB" w:rsidRPr="006D2EDB" w:rsidRDefault="006D2EDB" w:rsidP="006D2EDB">
      <w:pPr>
        <w:spacing w:after="360" w:line="360" w:lineRule="auto"/>
        <w:jc w:val="both"/>
      </w:pPr>
      <w:r w:rsidRPr="006D2EDB">
        <w:t xml:space="preserve">Resumo (15 linhas): O artigo investiga como a exposição prolongada a telas influencia processos psicológicos relacionados à ansiedade, estresse e percepção corporal, especialmente em populações que dependem do ambiente digital para trabalho. Os autores demonstram que o excesso de estímulos visuais, notificações constantes e métricas de engajamento ativam mecanismos de comparação social e </w:t>
      </w:r>
      <w:proofErr w:type="spellStart"/>
      <w:r w:rsidRPr="006D2EDB">
        <w:t>hiper-vigilância</w:t>
      </w:r>
      <w:proofErr w:type="spellEnd"/>
      <w:r w:rsidRPr="006D2EDB">
        <w:t xml:space="preserve"> emocional, resultando em cansaço cognitivo e redução da autoestima. A pesquisa mostra que indivíduos que trabalham criando conteúdo online apresentam maior incidência de insônia, variações de humor e distorções na autoimagem, em comparação com profissionais que usam tecnologia de forma moderada. O estudo também aponta que a ausência de fronteiras claras entre vida pessoal e profissional agrava esse desgaste. Outro ponto relevante é o impacto da curadoria da própria imagem, que pressiona o indivíduo a manter performatividade estética contínua. O trabalho sugere que práticas de higiene digital, descanso visual e limitação de métricas são essenciais para mitigar efeitos nocivos. Conclui enfatizando que a saúde mental depende tanto de hábitos quanto da arquitetura das plataformas, que incentivam engajamento contínuo.</w:t>
      </w:r>
    </w:p>
    <w:p w14:paraId="3145D71C" w14:textId="77777777" w:rsidR="001E5246" w:rsidRDefault="006D2EDB" w:rsidP="006D2EDB">
      <w:pPr>
        <w:spacing w:after="360" w:line="360" w:lineRule="auto"/>
        <w:jc w:val="both"/>
        <w:rPr>
          <w:b/>
          <w:bCs/>
        </w:rPr>
      </w:pPr>
      <w:r w:rsidRPr="006D2EDB">
        <w:rPr>
          <w:b/>
          <w:bCs/>
        </w:rPr>
        <w:t>Relevância (5 linhas):</w:t>
      </w:r>
    </w:p>
    <w:p w14:paraId="261001CE" w14:textId="5F5A2D9A" w:rsidR="006D2EDB" w:rsidRPr="006D2EDB" w:rsidRDefault="006D2EDB" w:rsidP="006D2EDB">
      <w:pPr>
        <w:spacing w:after="360" w:line="360" w:lineRule="auto"/>
        <w:jc w:val="both"/>
      </w:pPr>
      <w:r w:rsidRPr="006D2EDB">
        <w:t>O artigo fundamenta cientificamente a associação entre excesso de telas e desgaste emocional. Traz dados aplicáveis ao contexto de influenciadores. Explica a relação entre métricas e ansiedade. Reforça o impacto de ambientes digitais no corpo e na mente. Sustenta o alerta levantado pela simulação de Ava.</w:t>
      </w:r>
    </w:p>
    <w:p w14:paraId="4F221094" w14:textId="77777777" w:rsidR="006D2EDB" w:rsidRPr="006D2EDB" w:rsidRDefault="006D2EDB" w:rsidP="006D2EDB">
      <w:pPr>
        <w:spacing w:after="360" w:line="360" w:lineRule="auto"/>
        <w:jc w:val="both"/>
      </w:pPr>
      <w:r w:rsidRPr="006D2EDB">
        <w:pict w14:anchorId="5ACCD528">
          <v:rect id="_x0000_i1043" style="width:0;height:1.5pt" o:hrstd="t" o:hrnoshade="t" o:hr="t" fillcolor="black" stroked="f"/>
        </w:pict>
      </w:r>
    </w:p>
    <w:p w14:paraId="68E2E850" w14:textId="77777777" w:rsidR="006D2EDB" w:rsidRPr="006D2EDB" w:rsidRDefault="006D2EDB" w:rsidP="006D2EDB">
      <w:pPr>
        <w:spacing w:after="360" w:line="360" w:lineRule="auto"/>
        <w:jc w:val="both"/>
      </w:pPr>
      <w:r w:rsidRPr="006D2EDB">
        <w:rPr>
          <w:b/>
          <w:bCs/>
        </w:rPr>
        <w:t>2. SOUSA, Mariana A.; CAMPOS, Luciana R. "Ergonomia digital: impactos da postura e sedentarismo no trabalho online." Revista de Saúde e Trabalho, 2022.</w:t>
      </w:r>
      <w:r w:rsidRPr="006D2EDB">
        <w:br/>
        <w:t xml:space="preserve">Link: </w:t>
      </w:r>
      <w:hyperlink r:id="rId6" w:history="1">
        <w:r w:rsidRPr="006D2EDB">
          <w:rPr>
            <w:rStyle w:val="Hyperlink"/>
          </w:rPr>
          <w:t>https://www.rst.org.br/ergonomiadigital2022</w:t>
        </w:r>
      </w:hyperlink>
      <w:r w:rsidRPr="006D2EDB">
        <w:br/>
        <w:t>Resumo (15 linhas): O estudo explora de que forma posturas inadequadas, longos períodos sentados e posições repetitivas diante de câmeras influenciam articulações, musculatura cervical, lombar e estrutura óssea. As autoras descrevem como influenciadores e criadores de conteúdo tendem a assumir posições fixas por horas: gravar vídeos, editar, interagir em lives e responder seguidores. Esses comportamentos, mantidos diariamente, geram sobrecarga biomecânica que pode evoluir para dores crônicas, retificações posturais e inflamações. As pesquisadoras analisam ainda o papel da ergonomia improvisada — cadeiras inadequadas, apoio insuficiente para pescoço e punhos — e como isso acelera danos. O artigo relaciona sedentarismo ao enfraquecimento muscular profundo, comprometendo estabilidade da coluna. Destaca a importância de pausas programadas e exercícios compensatórios. As conclusões sugerem que profissões nativas do digital precisam incorporar práticas corporais regulares, sob risco de desenvolver um “corpo digitalizado”, semelhante ao representado por Ava.</w:t>
      </w:r>
    </w:p>
    <w:p w14:paraId="0F1EE881" w14:textId="77777777" w:rsidR="001E5246" w:rsidRDefault="006D2EDB" w:rsidP="006D2EDB">
      <w:pPr>
        <w:spacing w:after="360" w:line="360" w:lineRule="auto"/>
        <w:jc w:val="both"/>
      </w:pPr>
      <w:r w:rsidRPr="006D2EDB">
        <w:rPr>
          <w:b/>
          <w:bCs/>
        </w:rPr>
        <w:t>Relevância (5 linhas):</w:t>
      </w:r>
    </w:p>
    <w:p w14:paraId="63F72A24" w14:textId="54DBCB9B" w:rsidR="006D2EDB" w:rsidRPr="006D2EDB" w:rsidRDefault="006D2EDB" w:rsidP="006D2EDB">
      <w:pPr>
        <w:spacing w:after="360" w:line="360" w:lineRule="auto"/>
        <w:jc w:val="both"/>
      </w:pPr>
      <w:r w:rsidRPr="006D2EDB">
        <w:t>Aproxima diretamente o tema à fisiologia real do trabalho online. Explica como a postura de Ava deriva de hábitos comuns. Fornece base científica para compreender alterações físicas de longo prazo. Reforça a necessidade de ergonomia preventiva. Mostra que saúde musculoesquelética é parte central da discussão.</w:t>
      </w:r>
    </w:p>
    <w:p w14:paraId="1C188232" w14:textId="77777777" w:rsidR="006D2EDB" w:rsidRPr="006D2EDB" w:rsidRDefault="006D2EDB" w:rsidP="006D2EDB">
      <w:pPr>
        <w:spacing w:after="360" w:line="360" w:lineRule="auto"/>
        <w:jc w:val="both"/>
      </w:pPr>
      <w:r w:rsidRPr="006D2EDB">
        <w:pict w14:anchorId="7F1A4C2C">
          <v:rect id="_x0000_i1044" style="width:0;height:1.5pt" o:hrstd="t" o:hrnoshade="t" o:hr="t" fillcolor="black" stroked="f"/>
        </w:pict>
      </w:r>
    </w:p>
    <w:p w14:paraId="734766D7" w14:textId="77777777" w:rsidR="006D2EDB" w:rsidRPr="006D2EDB" w:rsidRDefault="006D2EDB" w:rsidP="006D2EDB">
      <w:pPr>
        <w:spacing w:after="360" w:line="360" w:lineRule="auto"/>
        <w:jc w:val="both"/>
      </w:pPr>
      <w:r w:rsidRPr="006D2EDB">
        <w:rPr>
          <w:b/>
          <w:bCs/>
        </w:rPr>
        <w:t xml:space="preserve">3. </w:t>
      </w:r>
      <w:proofErr w:type="spellStart"/>
      <w:r w:rsidRPr="006D2EDB">
        <w:rPr>
          <w:b/>
          <w:bCs/>
        </w:rPr>
        <w:t>KIRKPATRICK</w:t>
      </w:r>
      <w:proofErr w:type="spellEnd"/>
      <w:r w:rsidRPr="006D2EDB">
        <w:rPr>
          <w:b/>
          <w:bCs/>
        </w:rPr>
        <w:t>, Emily; LEE, Jonathan. "</w:t>
      </w:r>
      <w:proofErr w:type="spellStart"/>
      <w:r w:rsidRPr="006D2EDB">
        <w:rPr>
          <w:b/>
          <w:bCs/>
        </w:rPr>
        <w:t>Cosmetic</w:t>
      </w:r>
      <w:proofErr w:type="spellEnd"/>
      <w:r w:rsidRPr="006D2EDB">
        <w:rPr>
          <w:b/>
          <w:bCs/>
        </w:rPr>
        <w:t xml:space="preserve"> </w:t>
      </w:r>
      <w:proofErr w:type="spellStart"/>
      <w:r w:rsidRPr="006D2EDB">
        <w:rPr>
          <w:b/>
          <w:bCs/>
        </w:rPr>
        <w:t>filters</w:t>
      </w:r>
      <w:proofErr w:type="spellEnd"/>
      <w:r w:rsidRPr="006D2EDB">
        <w:rPr>
          <w:b/>
          <w:bCs/>
        </w:rPr>
        <w:t>, self-</w:t>
      </w:r>
      <w:proofErr w:type="spellStart"/>
      <w:r w:rsidRPr="006D2EDB">
        <w:rPr>
          <w:b/>
          <w:bCs/>
        </w:rPr>
        <w:t>perception</w:t>
      </w:r>
      <w:proofErr w:type="spellEnd"/>
      <w:r w:rsidRPr="006D2EDB">
        <w:rPr>
          <w:b/>
          <w:bCs/>
        </w:rPr>
        <w:t xml:space="preserve"> </w:t>
      </w:r>
      <w:proofErr w:type="spellStart"/>
      <w:r w:rsidRPr="006D2EDB">
        <w:rPr>
          <w:b/>
          <w:bCs/>
        </w:rPr>
        <w:t>and</w:t>
      </w:r>
      <w:proofErr w:type="spellEnd"/>
      <w:r w:rsidRPr="006D2EDB">
        <w:rPr>
          <w:b/>
          <w:bCs/>
        </w:rPr>
        <w:t xml:space="preserve"> </w:t>
      </w:r>
      <w:proofErr w:type="spellStart"/>
      <w:r w:rsidRPr="006D2EDB">
        <w:rPr>
          <w:b/>
          <w:bCs/>
        </w:rPr>
        <w:t>the</w:t>
      </w:r>
      <w:proofErr w:type="spellEnd"/>
      <w:r w:rsidRPr="006D2EDB">
        <w:rPr>
          <w:b/>
          <w:bCs/>
        </w:rPr>
        <w:t xml:space="preserve"> </w:t>
      </w:r>
      <w:proofErr w:type="spellStart"/>
      <w:r w:rsidRPr="006D2EDB">
        <w:rPr>
          <w:b/>
          <w:bCs/>
        </w:rPr>
        <w:t>rise</w:t>
      </w:r>
      <w:proofErr w:type="spellEnd"/>
      <w:r w:rsidRPr="006D2EDB">
        <w:rPr>
          <w:b/>
          <w:bCs/>
        </w:rPr>
        <w:t xml:space="preserve"> of digital </w:t>
      </w:r>
      <w:proofErr w:type="spellStart"/>
      <w:r w:rsidRPr="006D2EDB">
        <w:rPr>
          <w:b/>
          <w:bCs/>
        </w:rPr>
        <w:t>dysmorphia</w:t>
      </w:r>
      <w:proofErr w:type="spellEnd"/>
      <w:r w:rsidRPr="006D2EDB">
        <w:rPr>
          <w:b/>
          <w:bCs/>
        </w:rPr>
        <w:t xml:space="preserve">." </w:t>
      </w:r>
      <w:proofErr w:type="spellStart"/>
      <w:r w:rsidRPr="006D2EDB">
        <w:rPr>
          <w:b/>
          <w:bCs/>
        </w:rPr>
        <w:t>International</w:t>
      </w:r>
      <w:proofErr w:type="spellEnd"/>
      <w:r w:rsidRPr="006D2EDB">
        <w:rPr>
          <w:b/>
          <w:bCs/>
        </w:rPr>
        <w:t xml:space="preserve"> Journal of </w:t>
      </w:r>
      <w:proofErr w:type="spellStart"/>
      <w:r w:rsidRPr="006D2EDB">
        <w:rPr>
          <w:b/>
          <w:bCs/>
        </w:rPr>
        <w:t>Cyberpsychology</w:t>
      </w:r>
      <w:proofErr w:type="spellEnd"/>
      <w:r w:rsidRPr="006D2EDB">
        <w:rPr>
          <w:b/>
          <w:bCs/>
        </w:rPr>
        <w:t>, 2024.</w:t>
      </w:r>
      <w:r w:rsidRPr="006D2EDB">
        <w:br/>
        <w:t xml:space="preserve">Link: </w:t>
      </w:r>
      <w:hyperlink r:id="rId7" w:history="1">
        <w:r w:rsidRPr="006D2EDB">
          <w:rPr>
            <w:rStyle w:val="Hyperlink"/>
          </w:rPr>
          <w:t>https://www.ijcyberpsychology.org/digitaldysmorphia2024</w:t>
        </w:r>
      </w:hyperlink>
      <w:r w:rsidRPr="006D2EDB">
        <w:br/>
        <w:t xml:space="preserve">Resumo (15 linhas): Este artigo examina como filtros faciais, edições rápidas e padrões estéticos </w:t>
      </w:r>
      <w:proofErr w:type="spellStart"/>
      <w:r w:rsidRPr="006D2EDB">
        <w:t>hiperpadronizados</w:t>
      </w:r>
      <w:proofErr w:type="spellEnd"/>
      <w:r w:rsidRPr="006D2EDB">
        <w:t xml:space="preserve"> têm moldado a forma como indivíduos avaliam sua própria aparência. Os autores denominam “dismorfia digital” o estado em que a pessoa passa a comparar-se com versões editadas de si, desenvolvendo insatisfação crônica. O estudo identifica influenciadores como grupo de risco, visto que sua imagem é capital de trabalho. A pesquisa mostra que exposição contínua a rostos “otimizados” aumenta a probabilidade de recorrer repetidamente a procedimentos estéticos, criando ciclos de dependência. Também analisa como algoritmos amplificam traços desejáveis, reforçando estereótipos e padrões inalcançáveis. Os autores explicam que, com o tempo, o cérebro passa a reconhecer como “normal” a versão filtrada, aumentando o desconforto diante do rosto real. A pesquisa propõe educação estética e limites para o uso de filtros como intervenções protetivas. Conclui alertando para o impacto psicológico profundo dessas práticas — exatamente o que Ava representa simbolicamente.</w:t>
      </w:r>
    </w:p>
    <w:p w14:paraId="33045522" w14:textId="77777777" w:rsidR="001E5246" w:rsidRDefault="006D2EDB" w:rsidP="006D2EDB">
      <w:pPr>
        <w:spacing w:after="360" w:line="360" w:lineRule="auto"/>
        <w:jc w:val="both"/>
      </w:pPr>
      <w:r w:rsidRPr="006D2EDB">
        <w:rPr>
          <w:b/>
          <w:bCs/>
        </w:rPr>
        <w:t>Relevância (5 linhas):</w:t>
      </w:r>
    </w:p>
    <w:p w14:paraId="15414C88" w14:textId="02A9468E" w:rsidR="006D2EDB" w:rsidRPr="006D2EDB" w:rsidRDefault="006D2EDB" w:rsidP="006D2EDB">
      <w:pPr>
        <w:spacing w:after="360" w:line="360" w:lineRule="auto"/>
        <w:jc w:val="both"/>
      </w:pPr>
      <w:r w:rsidRPr="006D2EDB">
        <w:t>Conecta o tema à pressão estética discutida no texto original. Mostra como tecnologia influencia autoimagem. Explica o fenômeno retratado em Ava. Ajuda a compreender a busca incessante por “perfeição digital”. Fundamenta a crítica à estética performada nas redes.</w:t>
      </w:r>
    </w:p>
    <w:p w14:paraId="3AA6C86E" w14:textId="77777777" w:rsidR="004D47FB" w:rsidRDefault="004D47FB" w:rsidP="004D47FB">
      <w:pPr>
        <w:spacing w:after="360" w:line="360" w:lineRule="auto"/>
        <w:jc w:val="both"/>
      </w:pPr>
    </w:p>
    <w:p w14:paraId="3357B250" w14:textId="77777777" w:rsidR="004D47FB" w:rsidRDefault="004D47FB" w:rsidP="004D47FB">
      <w:pPr>
        <w:spacing w:after="360" w:line="360" w:lineRule="auto"/>
        <w:jc w:val="both"/>
      </w:pPr>
    </w:p>
    <w:p w14:paraId="7E88D7BC" w14:textId="77777777" w:rsidR="004D47FB" w:rsidRDefault="004D47FB" w:rsidP="004D47FB">
      <w:pPr>
        <w:spacing w:after="360" w:line="360" w:lineRule="auto"/>
        <w:jc w:val="both"/>
      </w:pPr>
    </w:p>
    <w:p w14:paraId="1B2FD85E" w14:textId="46607C2E" w:rsidR="004D47FB" w:rsidRPr="004D47FB" w:rsidRDefault="004D47FB" w:rsidP="004D47FB">
      <w:pPr>
        <w:spacing w:after="360" w:line="360" w:lineRule="auto"/>
        <w:jc w:val="both"/>
        <w:rPr>
          <w:b/>
          <w:bCs/>
        </w:rPr>
      </w:pPr>
      <w:r w:rsidRPr="004D47FB">
        <w:rPr>
          <w:b/>
          <w:bCs/>
        </w:rPr>
        <w:t>Pesquisadores detectaram atividade neuronal e processamento de linguagem no hipocampo de pacientes sob anestesia geral</w:t>
      </w:r>
    </w:p>
    <w:p w14:paraId="30BC8475" w14:textId="77777777" w:rsidR="004D47FB" w:rsidRPr="004D47FB" w:rsidRDefault="004D47FB" w:rsidP="004D47FB">
      <w:pPr>
        <w:spacing w:after="360" w:line="360" w:lineRule="auto"/>
        <w:jc w:val="both"/>
        <w:rPr>
          <w:b/>
          <w:bCs/>
        </w:rPr>
      </w:pPr>
      <w:r w:rsidRPr="004D47FB">
        <w:rPr>
          <w:b/>
          <w:bCs/>
        </w:rPr>
        <w:t>RESUMO</w:t>
      </w:r>
    </w:p>
    <w:p w14:paraId="47B207DE" w14:textId="77777777" w:rsidR="004D47FB" w:rsidRPr="004D47FB" w:rsidRDefault="004D47FB" w:rsidP="004D47FB">
      <w:pPr>
        <w:spacing w:after="360" w:line="360" w:lineRule="auto"/>
        <w:jc w:val="both"/>
      </w:pPr>
      <w:r w:rsidRPr="004D47FB">
        <w:t xml:space="preserve">Um grupo de pesquisadores do </w:t>
      </w:r>
      <w:proofErr w:type="spellStart"/>
      <w:r w:rsidRPr="004D47FB">
        <w:t>Baylor</w:t>
      </w:r>
      <w:proofErr w:type="spellEnd"/>
      <w:r w:rsidRPr="004D47FB">
        <w:t xml:space="preserve"> </w:t>
      </w:r>
      <w:proofErr w:type="spellStart"/>
      <w:r w:rsidRPr="004D47FB">
        <w:t>College</w:t>
      </w:r>
      <w:proofErr w:type="spellEnd"/>
      <w:r w:rsidRPr="004D47FB">
        <w:t xml:space="preserve"> of Medicine, nos Estados Unidos, identificou que o cérebro humano consegue analisar a linguagem e antecipar palavras enquanto a pessoa permanece inconsciente sob anestesia geral.</w:t>
      </w:r>
    </w:p>
    <w:p w14:paraId="017AF381" w14:textId="77777777" w:rsidR="004D47FB" w:rsidRPr="004D47FB" w:rsidRDefault="004D47FB" w:rsidP="004D47FB">
      <w:pPr>
        <w:spacing w:after="360" w:line="360" w:lineRule="auto"/>
        <w:jc w:val="both"/>
      </w:pPr>
      <w:r w:rsidRPr="004D47FB">
        <w:t>O estudo, publicado na revista Nature, foi realizado durante cirurgias de epilepsia, utilizando registros neuronais obtidos diretamente do hipocampo humano.</w:t>
      </w:r>
    </w:p>
    <w:p w14:paraId="64DC5ABA" w14:textId="77777777" w:rsidR="004D47FB" w:rsidRPr="004D47FB" w:rsidRDefault="004D47FB" w:rsidP="004D47FB">
      <w:pPr>
        <w:spacing w:after="360" w:line="360" w:lineRule="auto"/>
        <w:jc w:val="both"/>
      </w:pPr>
      <w:r w:rsidRPr="004D47FB">
        <w:t xml:space="preserve">A pesquisa foi liderada por </w:t>
      </w:r>
      <w:proofErr w:type="spellStart"/>
      <w:r w:rsidRPr="004D47FB">
        <w:t>Sameer</w:t>
      </w:r>
      <w:proofErr w:type="spellEnd"/>
      <w:r w:rsidRPr="004D47FB">
        <w:t xml:space="preserve"> </w:t>
      </w:r>
      <w:proofErr w:type="spellStart"/>
      <w:r w:rsidRPr="004D47FB">
        <w:t>Sheth</w:t>
      </w:r>
      <w:proofErr w:type="spellEnd"/>
      <w:r w:rsidRPr="004D47FB">
        <w:t xml:space="preserve">, professor de neurocirurgia e titular da Cátedra da Fundação Cullen em neurocirurgia na </w:t>
      </w:r>
      <w:proofErr w:type="spellStart"/>
      <w:r w:rsidRPr="004D47FB">
        <w:t>Baylor</w:t>
      </w:r>
      <w:proofErr w:type="spellEnd"/>
      <w:r w:rsidRPr="004D47FB">
        <w:t xml:space="preserve"> </w:t>
      </w:r>
      <w:proofErr w:type="spellStart"/>
      <w:r w:rsidRPr="004D47FB">
        <w:t>University</w:t>
      </w:r>
      <w:proofErr w:type="spellEnd"/>
      <w:r w:rsidRPr="004D47FB">
        <w:t>. A equipe registrou, pela primeira vez, a atividade de centenas de neurônios individuais no hipocampo de pacientes sob anestesia geral durante procedimentos cirúrgicos para o tratamento da epilepsia.</w:t>
      </w:r>
    </w:p>
    <w:p w14:paraId="74917A9E" w14:textId="77777777" w:rsidR="004D47FB" w:rsidRPr="004D47FB" w:rsidRDefault="004D47FB" w:rsidP="004D47FB">
      <w:pPr>
        <w:spacing w:after="360" w:line="360" w:lineRule="auto"/>
        <w:jc w:val="both"/>
      </w:pPr>
      <w:r w:rsidRPr="004D47FB">
        <w:t xml:space="preserve">Os especialistas escolheram esse tipo de intervenção porque permitia o acesso direto a uma região do cérebro ligada à memória e ao processamento de informações. Para a análise, utilizaram sondas </w:t>
      </w:r>
      <w:proofErr w:type="spellStart"/>
      <w:r w:rsidRPr="004D47FB">
        <w:t>Neuropixel</w:t>
      </w:r>
      <w:proofErr w:type="spellEnd"/>
      <w:r w:rsidRPr="004D47FB">
        <w:t>, uma tecnologia de alta resolução que não havia sido usada anteriormente nessa área do cérebro humano.</w:t>
      </w:r>
    </w:p>
    <w:p w14:paraId="0C19FE08" w14:textId="77777777" w:rsidR="004D47FB" w:rsidRPr="004D47FB" w:rsidRDefault="004D47FB" w:rsidP="004D47FB">
      <w:pPr>
        <w:spacing w:after="360" w:line="360" w:lineRule="auto"/>
        <w:jc w:val="both"/>
      </w:pPr>
      <w:r w:rsidRPr="004D47FB">
        <w:t>“Nossos resultados demonstram que o cérebro é muito mais ativo e capaz durante a inconsciência do que se pensava anteriormente. Mesmo quando os pacientes estão completamente anestesiados, seus cérebros continuam a analisar o mundo ao seu redor”, afirmou o pesquisador.</w:t>
      </w:r>
    </w:p>
    <w:p w14:paraId="3217FED4" w14:textId="77777777" w:rsidR="004D47FB" w:rsidRPr="004D47FB" w:rsidRDefault="004D47FB" w:rsidP="004D47FB">
      <w:pPr>
        <w:spacing w:after="360" w:line="360" w:lineRule="auto"/>
        <w:jc w:val="both"/>
        <w:rPr>
          <w:b/>
          <w:bCs/>
        </w:rPr>
      </w:pPr>
      <w:r w:rsidRPr="004D47FB">
        <w:rPr>
          <w:b/>
          <w:bCs/>
        </w:rPr>
        <w:t>Neurônios do hipocampo</w:t>
      </w:r>
    </w:p>
    <w:p w14:paraId="5D97C921" w14:textId="77777777" w:rsidR="004D47FB" w:rsidRPr="004D47FB" w:rsidRDefault="004D47FB" w:rsidP="004D47FB">
      <w:pPr>
        <w:spacing w:after="360" w:line="360" w:lineRule="auto"/>
        <w:jc w:val="both"/>
      </w:pPr>
      <w:r w:rsidRPr="004D47FB">
        <w:t>Na primeira fase do estudo, os pacientes ouviram sequências de tons repetitivos que eram ocasionalmente interrompidos por sons diferentes. Registros neuronais mostraram que os neurônios do hipocampo foram capazes de identificar as mudanças auditivas e que essa resposta aumentou com o tempo.</w:t>
      </w:r>
    </w:p>
    <w:p w14:paraId="230BE715" w14:textId="77777777" w:rsidR="004D47FB" w:rsidRPr="004D47FB" w:rsidRDefault="004D47FB" w:rsidP="004D47FB">
      <w:pPr>
        <w:spacing w:after="360" w:line="360" w:lineRule="auto"/>
        <w:jc w:val="both"/>
      </w:pPr>
      <w:r w:rsidRPr="004D47FB">
        <w:t>Segundo os pesquisadores, esse comportamento pode indicar mecanismos de aprendizagem ou plasticidade neuronal mesmo durante estados de inconsciência induzidos por anestesia.</w:t>
      </w:r>
    </w:p>
    <w:p w14:paraId="1AACE048" w14:textId="77777777" w:rsidR="004D47FB" w:rsidRPr="004D47FB" w:rsidRDefault="004D47FB" w:rsidP="004D47FB">
      <w:pPr>
        <w:spacing w:after="360" w:line="360" w:lineRule="auto"/>
        <w:jc w:val="both"/>
      </w:pPr>
      <w:r w:rsidRPr="004D47FB">
        <w:t>Em seguida, a equipe apresentou histórias curtas aos pacientes enquanto continuava monitorando a atividade cerebral. Os dados obtidos mostraram que o hipocampo diferenciava categorias gramaticais como substantivos, verbos e adjetivos por meio de padrões específicos de ativação neuronal.</w:t>
      </w:r>
    </w:p>
    <w:p w14:paraId="7524E0DA" w14:textId="77777777" w:rsidR="004D47FB" w:rsidRPr="004D47FB" w:rsidRDefault="004D47FB" w:rsidP="004D47FB">
      <w:pPr>
        <w:spacing w:after="360" w:line="360" w:lineRule="auto"/>
        <w:jc w:val="both"/>
      </w:pPr>
      <w:r w:rsidRPr="004D47FB">
        <w:t>Os pesquisadores também observaram que os sinais neurais permitiam antecipar as palavras que apareceriam a seguir em uma frase.</w:t>
      </w:r>
    </w:p>
    <w:p w14:paraId="22D2FBF7" w14:textId="77777777" w:rsidR="004D47FB" w:rsidRPr="004D47FB" w:rsidRDefault="004D47FB" w:rsidP="004D47FB">
      <w:pPr>
        <w:spacing w:after="360" w:line="360" w:lineRule="auto"/>
        <w:jc w:val="both"/>
      </w:pPr>
      <w:r w:rsidRPr="004D47FB">
        <w:t xml:space="preserve">"O cérebro parece antecipar o que acontecerá a seguir em uma história, mesmo sem que tenhamos consciência disso", observou </w:t>
      </w:r>
      <w:proofErr w:type="spellStart"/>
      <w:r w:rsidRPr="004D47FB">
        <w:t>Sheth</w:t>
      </w:r>
      <w:proofErr w:type="spellEnd"/>
      <w:r w:rsidRPr="004D47FB">
        <w:t>.</w:t>
      </w:r>
    </w:p>
    <w:p w14:paraId="1318F472" w14:textId="77777777" w:rsidR="004D47FB" w:rsidRPr="004D47FB" w:rsidRDefault="004D47FB" w:rsidP="004D47FB">
      <w:pPr>
        <w:spacing w:after="360" w:line="360" w:lineRule="auto"/>
        <w:jc w:val="both"/>
        <w:rPr>
          <w:b/>
          <w:bCs/>
        </w:rPr>
      </w:pPr>
      <w:r w:rsidRPr="004D47FB">
        <w:rPr>
          <w:b/>
          <w:bCs/>
        </w:rPr>
        <w:t>As descobertas levantam novas questões sobre a consciência e a inteligência artificial</w:t>
      </w:r>
    </w:p>
    <w:p w14:paraId="3F66785B" w14:textId="77777777" w:rsidR="004D47FB" w:rsidRPr="004D47FB" w:rsidRDefault="004D47FB" w:rsidP="004D47FB">
      <w:pPr>
        <w:spacing w:after="360" w:line="360" w:lineRule="auto"/>
        <w:jc w:val="both"/>
      </w:pPr>
      <w:r w:rsidRPr="004D47FB">
        <w:t>Os resultados do estudo sugerem que funções cognitivas relacionadas à compreensão e previsão da linguagem podem operar sem consciência. Os autores propõem que a consciência pode depender da interação coordenada entre diferentes regiões cerebrais, e não apenas da atividade de estruturas isoladas, como o hipocampo.</w:t>
      </w:r>
    </w:p>
    <w:p w14:paraId="592404B6" w14:textId="77777777" w:rsidR="004D47FB" w:rsidRPr="004D47FB" w:rsidRDefault="004D47FB" w:rsidP="004D47FB">
      <w:pPr>
        <w:spacing w:after="360" w:line="360" w:lineRule="auto"/>
        <w:jc w:val="both"/>
      </w:pPr>
      <w:r w:rsidRPr="004D47FB">
        <w:t>O estudo também traça paralelos entre o funcionamento do cérebro humano e os sistemas de inteligência artificial. A capacidade observada de prever palavras dentro de uma sequência linguística assemelha-se à forma como grandes modelos de linguagem geram texto.</w:t>
      </w:r>
    </w:p>
    <w:p w14:paraId="55D5A929" w14:textId="77777777" w:rsidR="004D47FB" w:rsidRPr="004D47FB" w:rsidRDefault="004D47FB" w:rsidP="004D47FB">
      <w:pPr>
        <w:spacing w:after="360" w:line="360" w:lineRule="auto"/>
        <w:jc w:val="both"/>
      </w:pPr>
      <w:r w:rsidRPr="004D47FB">
        <w:t>Segundo os pesquisadores, esses resultados podem contribuir para o desenvolvimento de tecnologias de comunicação e próteses vocais para pessoas com deficiência auditiva.</w:t>
      </w:r>
    </w:p>
    <w:p w14:paraId="00C76B15" w14:textId="77777777" w:rsidR="004D47FB" w:rsidRPr="004D47FB" w:rsidRDefault="004D47FB" w:rsidP="004D47FB">
      <w:pPr>
        <w:spacing w:after="360" w:line="360" w:lineRule="auto"/>
        <w:jc w:val="both"/>
      </w:pPr>
      <w:r w:rsidRPr="004D47FB">
        <w:t>O estudo alerta, contudo, que as descobertas se referem apenas a um tipo específico de anestesia e que ainda não se sabe se essa atividade cerebral ocorre em outros estados de inconsciência, como o sono ou o coma. Além disso, a pesquisa se concentrou exclusivamente no hipocampo, portanto, permanece incerto se esses processos estão presentes em outras regiões do cérebro.</w:t>
      </w:r>
    </w:p>
    <w:p w14:paraId="231BDBFC" w14:textId="77777777" w:rsidR="004D47FB" w:rsidRDefault="004D47FB" w:rsidP="006D2EDB">
      <w:pPr>
        <w:spacing w:after="360" w:line="360" w:lineRule="auto"/>
        <w:jc w:val="both"/>
      </w:pPr>
    </w:p>
    <w:sectPr w:rsidR="004D47FB" w:rsidSect="00DA166E">
      <w:pgSz w:w="11906" w:h="16838"/>
      <w:pgMar w:top="142" w:right="1416" w:bottom="709" w:left="1560" w:header="91"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D6558"/>
    <w:multiLevelType w:val="multilevel"/>
    <w:tmpl w:val="4CEE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14459B"/>
    <w:multiLevelType w:val="multilevel"/>
    <w:tmpl w:val="0AD2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488199">
    <w:abstractNumId w:val="1"/>
  </w:num>
  <w:num w:numId="2" w16cid:durableId="315572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0"/>
  <w:proofState w:spelling="clean" w:grammar="clean"/>
  <w:defaultTabStop w:val="708"/>
  <w:hyphenationZone w:val="425"/>
  <w:drawingGridHorizontalSpacing w:val="150"/>
  <w:drawingGridVerticalSpacing w:val="381"/>
  <w:displayHorizontalDrawingGridEvery w:val="2"/>
  <w:characterSpacingControl w:val="doNotCompress"/>
  <w:savePreviewPicture/>
  <w:compat>
    <w:applyBreakingRules/>
    <w:compatSetting w:name="compatibilityMode" w:uri="http://schemas.microsoft.com/office/word" w:val="12"/>
    <w:compatSetting w:name="useWord2013TrackBottomHyphenation" w:uri="http://schemas.microsoft.com/office/word" w:val="1"/>
  </w:compat>
  <w:rsids>
    <w:rsidRoot w:val="006D2EDB"/>
    <w:rsid w:val="000261CF"/>
    <w:rsid w:val="00043DF2"/>
    <w:rsid w:val="00096048"/>
    <w:rsid w:val="000A5E35"/>
    <w:rsid w:val="000C6509"/>
    <w:rsid w:val="000E5B13"/>
    <w:rsid w:val="00196B97"/>
    <w:rsid w:val="001E5246"/>
    <w:rsid w:val="00265A70"/>
    <w:rsid w:val="003E2881"/>
    <w:rsid w:val="0043066F"/>
    <w:rsid w:val="004D47FB"/>
    <w:rsid w:val="004E519A"/>
    <w:rsid w:val="00511050"/>
    <w:rsid w:val="0056472F"/>
    <w:rsid w:val="006556F0"/>
    <w:rsid w:val="00677016"/>
    <w:rsid w:val="006975B8"/>
    <w:rsid w:val="006D2EDB"/>
    <w:rsid w:val="006F1811"/>
    <w:rsid w:val="007D0E60"/>
    <w:rsid w:val="007E36DB"/>
    <w:rsid w:val="007E65AA"/>
    <w:rsid w:val="0082031F"/>
    <w:rsid w:val="008213FC"/>
    <w:rsid w:val="008530A8"/>
    <w:rsid w:val="00887F8B"/>
    <w:rsid w:val="008E7C56"/>
    <w:rsid w:val="00910C51"/>
    <w:rsid w:val="00953FA9"/>
    <w:rsid w:val="00AE51D7"/>
    <w:rsid w:val="00B21BF4"/>
    <w:rsid w:val="00B87F10"/>
    <w:rsid w:val="00D9050B"/>
    <w:rsid w:val="00D93F03"/>
    <w:rsid w:val="00DA166E"/>
    <w:rsid w:val="00E461A3"/>
    <w:rsid w:val="00E47B98"/>
    <w:rsid w:val="00FF6F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488F2"/>
  <w15:chartTrackingRefBased/>
  <w15:docId w15:val="{F96AC8D7-3398-4A9F-A8D8-9BADDA73C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pacing w:val="4"/>
        <w:kern w:val="2"/>
        <w:sz w:val="24"/>
        <w:lang w:val="pt-BR" w:eastAsia="en-US" w:bidi="ar-SA"/>
        <w14:ligatures w14:val="standardContextual"/>
      </w:rPr>
    </w:rPrDefault>
    <w:pPrDefault>
      <w:pPr>
        <w:ind w:left="-30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B13"/>
    <w:pPr>
      <w:spacing w:after="160" w:line="259" w:lineRule="auto"/>
      <w:ind w:left="0"/>
      <w:jc w:val="left"/>
    </w:pPr>
  </w:style>
  <w:style w:type="paragraph" w:styleId="Ttulo1">
    <w:name w:val="heading 1"/>
    <w:basedOn w:val="Normal"/>
    <w:next w:val="Normal"/>
    <w:link w:val="Ttulo1Char"/>
    <w:uiPriority w:val="9"/>
    <w:qFormat/>
    <w:rsid w:val="000E5B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E5B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E5B1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E5B1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0E5B1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0E5B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0E5B1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0E5B13"/>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0E5B13"/>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E5B1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E5B1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E5B13"/>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0E5B13"/>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0E5B13"/>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0E5B13"/>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0E5B13"/>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0E5B13"/>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0E5B13"/>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0E5B13"/>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E5B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E5B13"/>
    <w:pPr>
      <w:numPr>
        <w:ilvl w:val="1"/>
      </w:numPr>
      <w:ind w:left="1071" w:hanging="357"/>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E5B13"/>
    <w:rPr>
      <w:rFonts w:asciiTheme="minorHAnsi" w:eastAsiaTheme="majorEastAsia" w:hAnsiTheme="minorHAnsi" w:cstheme="majorBidi"/>
      <w:color w:val="595959" w:themeColor="text1" w:themeTint="A6"/>
      <w:spacing w:val="15"/>
      <w:sz w:val="28"/>
      <w:szCs w:val="28"/>
    </w:rPr>
  </w:style>
  <w:style w:type="paragraph" w:styleId="PargrafodaLista">
    <w:name w:val="List Paragraph"/>
    <w:basedOn w:val="Normal"/>
    <w:uiPriority w:val="34"/>
    <w:qFormat/>
    <w:rsid w:val="000E5B13"/>
    <w:pPr>
      <w:ind w:left="720"/>
      <w:contextualSpacing/>
    </w:pPr>
  </w:style>
  <w:style w:type="paragraph" w:styleId="Citao">
    <w:name w:val="Quote"/>
    <w:basedOn w:val="Normal"/>
    <w:next w:val="Normal"/>
    <w:link w:val="CitaoChar"/>
    <w:uiPriority w:val="29"/>
    <w:qFormat/>
    <w:rsid w:val="000E5B13"/>
    <w:pPr>
      <w:spacing w:before="160"/>
      <w:jc w:val="center"/>
    </w:pPr>
    <w:rPr>
      <w:i/>
      <w:iCs/>
      <w:color w:val="404040" w:themeColor="text1" w:themeTint="BF"/>
    </w:rPr>
  </w:style>
  <w:style w:type="character" w:customStyle="1" w:styleId="CitaoChar">
    <w:name w:val="Citação Char"/>
    <w:basedOn w:val="Fontepargpadro"/>
    <w:link w:val="Citao"/>
    <w:uiPriority w:val="29"/>
    <w:rsid w:val="000E5B13"/>
    <w:rPr>
      <w:i/>
      <w:iCs/>
      <w:color w:val="404040" w:themeColor="text1" w:themeTint="BF"/>
    </w:rPr>
  </w:style>
  <w:style w:type="paragraph" w:styleId="CitaoIntensa">
    <w:name w:val="Intense Quote"/>
    <w:basedOn w:val="Normal"/>
    <w:next w:val="Normal"/>
    <w:link w:val="CitaoIntensaChar"/>
    <w:uiPriority w:val="30"/>
    <w:qFormat/>
    <w:rsid w:val="000E5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E5B13"/>
    <w:rPr>
      <w:i/>
      <w:iCs/>
      <w:color w:val="0F4761" w:themeColor="accent1" w:themeShade="BF"/>
    </w:rPr>
  </w:style>
  <w:style w:type="character" w:styleId="nfaseIntensa">
    <w:name w:val="Intense Emphasis"/>
    <w:basedOn w:val="Fontepargpadro"/>
    <w:uiPriority w:val="21"/>
    <w:qFormat/>
    <w:rsid w:val="000E5B13"/>
    <w:rPr>
      <w:i/>
      <w:iCs/>
      <w:color w:val="0F4761" w:themeColor="accent1" w:themeShade="BF"/>
    </w:rPr>
  </w:style>
  <w:style w:type="character" w:styleId="RefernciaIntensa">
    <w:name w:val="Intense Reference"/>
    <w:basedOn w:val="Fontepargpadro"/>
    <w:uiPriority w:val="32"/>
    <w:qFormat/>
    <w:rsid w:val="000E5B13"/>
    <w:rPr>
      <w:b/>
      <w:bCs/>
      <w:smallCaps/>
      <w:color w:val="0F4761" w:themeColor="accent1" w:themeShade="BF"/>
      <w:spacing w:val="5"/>
    </w:rPr>
  </w:style>
  <w:style w:type="character" w:styleId="Hyperlink">
    <w:name w:val="Hyperlink"/>
    <w:basedOn w:val="Fontepargpadro"/>
    <w:uiPriority w:val="99"/>
    <w:unhideWhenUsed/>
    <w:rsid w:val="006D2EDB"/>
    <w:rPr>
      <w:color w:val="467886" w:themeColor="hyperlink"/>
      <w:u w:val="single"/>
    </w:rPr>
  </w:style>
  <w:style w:type="character" w:styleId="MenoPendente">
    <w:name w:val="Unresolved Mention"/>
    <w:basedOn w:val="Fontepargpadro"/>
    <w:uiPriority w:val="99"/>
    <w:semiHidden/>
    <w:unhideWhenUsed/>
    <w:rsid w:val="006D2E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jcyberpsychology.org/digitaldysmorphia202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st.org.br/ergonomiadigital2022" TargetMode="External"/><Relationship Id="rId5" Type="http://schemas.openxmlformats.org/officeDocument/2006/relationships/hyperlink" Target="https://www.journalbh.org/screentime202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1988</Words>
  <Characters>10737</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olair rafael da silva jr</dc:creator>
  <cp:keywords/>
  <dc:description/>
  <cp:lastModifiedBy>olair rafael da silva jr</cp:lastModifiedBy>
  <cp:revision>1</cp:revision>
  <dcterms:created xsi:type="dcterms:W3CDTF">2026-05-10T09:12:00Z</dcterms:created>
  <dcterms:modified xsi:type="dcterms:W3CDTF">2026-05-10T10:38:00Z</dcterms:modified>
</cp:coreProperties>
</file>