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0F49" w14:textId="77777777" w:rsidR="009E4BF9" w:rsidRDefault="00000000" w:rsidP="00D762CF">
      <w:pPr>
        <w:spacing w:before="60"/>
        <w:jc w:val="center"/>
      </w:pPr>
      <w:r>
        <w:rPr>
          <w:color w:val="9E9E9E"/>
          <w:sz w:val="17"/>
          <w:szCs w:val="17"/>
        </w:rPr>
        <w:t>PRISMA13</w:t>
      </w:r>
    </w:p>
    <w:p w14:paraId="52776BE3" w14:textId="77777777" w:rsidR="009E4BF9" w:rsidRDefault="00000000" w:rsidP="00D762CF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INTERCONEXÕES DAS CIÊNCIAS DA SAÚDE: O EIXO PNEI E A SUPERSAÚDE</w:t>
      </w:r>
    </w:p>
    <w:p w14:paraId="4A72D3C8" w14:textId="402ADA87" w:rsidR="009E4BF9" w:rsidRDefault="00000000" w:rsidP="00D762CF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O solo, fértil, garante a sobrevivência. A cultura, autônoma, garante a melhoria.</w:t>
      </w:r>
    </w:p>
    <w:p w14:paraId="282B4A18" w14:textId="77777777" w:rsidR="00D83511" w:rsidRDefault="00D83511" w:rsidP="00D762CF">
      <w:pPr>
        <w:spacing w:before="60"/>
        <w:jc w:val="both"/>
      </w:pPr>
    </w:p>
    <w:p w14:paraId="6E25CC87" w14:textId="0E748BFE" w:rsidR="00D83511" w:rsidRDefault="00D83511" w:rsidP="00D83511">
      <w:pPr>
        <w:spacing w:before="60"/>
        <w:ind w:firstLine="708"/>
        <w:jc w:val="both"/>
      </w:pPr>
      <w:r>
        <w:t>1. Introdução: A Transição do Paradigma Fragmentado</w:t>
      </w:r>
      <w:r>
        <w:t xml:space="preserve"> </w:t>
      </w:r>
    </w:p>
    <w:p w14:paraId="7767A013" w14:textId="40F41065" w:rsidR="009E4BF9" w:rsidRDefault="00000000" w:rsidP="00D762CF">
      <w:pPr>
        <w:spacing w:before="60"/>
        <w:jc w:val="both"/>
      </w:pPr>
      <w:r>
        <w:t xml:space="preserve">A história da medicina ocidental foi pautada, durante séculos, pelo reducionismo cartesiano. Nesta visão, o corpo humano é compreendido como uma máquina composta por peças isoladas, onde a falha de um componente é tratada de forma estanque, ignorando a complexidade sistêmica do organismo. Entretanto, o avanço das ciências genômicas, da biologia molecular e da neurociência contemporânea exige uma transição imediata para a </w:t>
      </w:r>
      <w:r>
        <w:rPr>
          <w:b/>
          <w:bCs/>
        </w:rPr>
        <w:t>visão integrativa e multidisciplinar</w:t>
      </w:r>
      <w:r>
        <w:t>.</w:t>
      </w:r>
    </w:p>
    <w:p w14:paraId="516B83AB" w14:textId="77777777" w:rsidR="00D762CF" w:rsidRDefault="00000000" w:rsidP="00D762CF">
      <w:pPr>
        <w:spacing w:before="60"/>
        <w:jc w:val="both"/>
      </w:pPr>
      <w:r>
        <w:t>A saúde</w:t>
      </w:r>
      <w:r w:rsidR="00D762CF">
        <w:t>, mais do que um</w:t>
      </w:r>
      <w:r>
        <w:t>a mera ausência de patologia</w:t>
      </w:r>
      <w:r w:rsidR="00D762CF">
        <w:t xml:space="preserve">s </w:t>
      </w:r>
      <w:r>
        <w:t>diagnosticáve</w:t>
      </w:r>
      <w:r w:rsidR="00D762CF">
        <w:t>is</w:t>
      </w:r>
      <w:r>
        <w:t xml:space="preserve">, </w:t>
      </w:r>
      <w:r w:rsidR="00D762CF">
        <w:t xml:space="preserve">é </w:t>
      </w:r>
      <w:r>
        <w:t xml:space="preserve">um estado dinâmico de </w:t>
      </w:r>
      <w:r>
        <w:rPr>
          <w:b/>
          <w:bCs/>
        </w:rPr>
        <w:t>autonomia biológica</w:t>
      </w:r>
      <w:r>
        <w:t xml:space="preserve"> e resiliência. O </w:t>
      </w:r>
      <w:r w:rsidR="00D762CF">
        <w:t xml:space="preserve">aplicativo </w:t>
      </w:r>
      <w:r>
        <w:t xml:space="preserve">PRISMA13 estabelece que a verdadeira </w:t>
      </w:r>
      <w:r w:rsidR="00D762CF">
        <w:t>recuperação de bem-estar</w:t>
      </w:r>
      <w:r>
        <w:t xml:space="preserve"> e a manutenção da vitalidade dependem da compreensão e </w:t>
      </w:r>
      <w:r w:rsidR="00D762CF">
        <w:t xml:space="preserve">prática </w:t>
      </w:r>
      <w:r>
        <w:t xml:space="preserve">que </w:t>
      </w:r>
      <w:r w:rsidR="00D762CF">
        <w:t xml:space="preserve">a pessoa </w:t>
      </w:r>
      <w:r>
        <w:t>é um ecossistema aberto</w:t>
      </w:r>
      <w:r w:rsidR="00D762CF">
        <w:t xml:space="preserve"> em que os </w:t>
      </w:r>
      <w:r>
        <w:t xml:space="preserve">sinais ambientais, </w:t>
      </w:r>
      <w:r w:rsidR="00D762CF">
        <w:t xml:space="preserve">os </w:t>
      </w:r>
      <w:r>
        <w:t xml:space="preserve">processos mentais e </w:t>
      </w:r>
      <w:r w:rsidR="00D762CF">
        <w:t xml:space="preserve">as </w:t>
      </w:r>
      <w:r>
        <w:t xml:space="preserve">respostas biológicas estão em constante diálogo. Este documento detalha </w:t>
      </w:r>
      <w:r w:rsidR="00D762CF">
        <w:t xml:space="preserve">como se processa </w:t>
      </w:r>
      <w:r>
        <w:t>essa integração</w:t>
      </w:r>
      <w:r w:rsidR="00D762CF">
        <w:t xml:space="preserve"> das manifestações do eixo </w:t>
      </w:r>
      <w:r w:rsidR="00D762CF">
        <w:t>PNEI</w:t>
      </w:r>
      <w:r w:rsidR="00D762CF">
        <w:t xml:space="preserve">, </w:t>
      </w:r>
      <w:r>
        <w:t>a Psiconeuroendocrinoimunologia</w:t>
      </w:r>
      <w:r w:rsidR="00D762CF">
        <w:t>, ou simplesmente neuroimunologia.</w:t>
      </w:r>
    </w:p>
    <w:p w14:paraId="398FF00A" w14:textId="77777777" w:rsidR="00D762CF" w:rsidRDefault="00D762CF" w:rsidP="00D762CF">
      <w:pPr>
        <w:spacing w:before="60"/>
        <w:jc w:val="both"/>
      </w:pPr>
    </w:p>
    <w:p w14:paraId="68B0F325" w14:textId="24A719A7" w:rsidR="009E4BF9" w:rsidRDefault="00000000" w:rsidP="00D83511">
      <w:pPr>
        <w:spacing w:before="60"/>
        <w:ind w:firstLine="708"/>
        <w:jc w:val="both"/>
      </w:pPr>
      <w:r>
        <w:t>2. O Eixo PNEI: A Teia da Vida Biológica</w:t>
      </w:r>
    </w:p>
    <w:p w14:paraId="676CB57F" w14:textId="77777777" w:rsidR="009E4BF9" w:rsidRDefault="00000000" w:rsidP="00D762CF">
      <w:pPr>
        <w:spacing w:before="60"/>
        <w:jc w:val="both"/>
      </w:pPr>
      <w:r>
        <w:t xml:space="preserve">O eixo </w:t>
      </w:r>
      <w:r>
        <w:rPr>
          <w:b/>
          <w:bCs/>
        </w:rPr>
        <w:t>PNEI</w:t>
      </w:r>
      <w:r>
        <w:t xml:space="preserve"> representa a unificação funcional de sistemas que a medicina tradicional costuma separar. Ele demonstra que a mente e o corpo não são entidades distintas, mas sim uma rede de comunicação bidirecional mediada por neurotransmissores, hormônios e citocinas.</w:t>
      </w:r>
    </w:p>
    <w:p w14:paraId="507BA7EC" w14:textId="77777777" w:rsidR="009E4BF9" w:rsidRDefault="00000000" w:rsidP="00D83511">
      <w:pPr>
        <w:ind w:firstLine="708"/>
        <w:jc w:val="both"/>
      </w:pPr>
      <w:r>
        <w:t>2.1. Psico: O Impacto dos Processos Mentais e Anseios da Alma</w:t>
      </w:r>
    </w:p>
    <w:p w14:paraId="32E5D9F5" w14:textId="77777777" w:rsidR="009E4BF9" w:rsidRDefault="00000000" w:rsidP="00D762CF">
      <w:pPr>
        <w:spacing w:before="60"/>
        <w:jc w:val="both"/>
      </w:pPr>
      <w:r>
        <w:t xml:space="preserve">A dimensão psíquica atua como o processador central de estímulos. Os </w:t>
      </w:r>
      <w:r>
        <w:rPr>
          <w:b/>
          <w:bCs/>
        </w:rPr>
        <w:t>desejos e anseios psíquicos</w:t>
      </w:r>
      <w:r>
        <w:t xml:space="preserve"> não são abstrações metafísicas; eles possuem correlatos biológicos imediatos. A percepção de propósito ou, inversamente, a sensação de desamparo, modula a expressão gênica através de mecanismos epigenéticos. Quando os anseios da alma são negligenciados, o organismo interpreta essa dissonância como uma ameaça crônica, ativando cascatas de estresse que degradam a integridade tecidual a longo prazo.</w:t>
      </w:r>
    </w:p>
    <w:p w14:paraId="36E761F3" w14:textId="77777777" w:rsidR="009E4BF9" w:rsidRDefault="00000000" w:rsidP="00D83511">
      <w:pPr>
        <w:ind w:firstLine="708"/>
        <w:jc w:val="both"/>
      </w:pPr>
      <w:r>
        <w:t>2.2. Neuro: A Abordagem Polivagal e a Regulação do SNC</w:t>
      </w:r>
    </w:p>
    <w:p w14:paraId="65A567DD" w14:textId="77777777" w:rsidR="009E4BF9" w:rsidRDefault="00000000" w:rsidP="00D762CF">
      <w:pPr>
        <w:spacing w:before="60"/>
        <w:jc w:val="both"/>
      </w:pPr>
      <w:r>
        <w:t xml:space="preserve">Fundamentada na </w:t>
      </w:r>
      <w:r>
        <w:rPr>
          <w:b/>
          <w:bCs/>
        </w:rPr>
        <w:t>Teoria Polivagal de Stephen Porges</w:t>
      </w:r>
      <w:r>
        <w:t xml:space="preserve">, a neurofisiologia moderna reconhece o papel central do nervo vago na regulação do estado de segurança. O sistema nervoso central (SNC) não apenas reage ao ambiente, ele o prediz. A regulação autonômica divide-se em circuitos de engajamento social (vagal ventral), luta/fuga (simpático) e colapso (vagal dorsal). A </w:t>
      </w:r>
      <w:r>
        <w:rPr>
          <w:b/>
          <w:bCs/>
        </w:rPr>
        <w:t>Supersaúde</w:t>
      </w:r>
      <w:r>
        <w:t xml:space="preserve"> depende da capacidade do indivíduo em retornar ao estado de segurança, permitindo que as funções de reparo e digestão prevaleçam sobre os mecanismos de sobrevivência imediata.</w:t>
      </w:r>
    </w:p>
    <w:p w14:paraId="158E7928" w14:textId="77777777" w:rsidR="009E4BF9" w:rsidRDefault="00000000" w:rsidP="00D83511">
      <w:pPr>
        <w:ind w:firstLine="708"/>
        <w:jc w:val="both"/>
      </w:pPr>
      <w:r>
        <w:t>2.3. Endócrino: Modulação Metabólica e Equilíbrio Hormonal</w:t>
      </w:r>
    </w:p>
    <w:p w14:paraId="15CAAE47" w14:textId="77777777" w:rsidR="009E4BF9" w:rsidRDefault="00000000" w:rsidP="00D762CF">
      <w:pPr>
        <w:spacing w:before="60"/>
        <w:jc w:val="both"/>
      </w:pPr>
      <w:r>
        <w:t xml:space="preserve">O sistema endócrino funciona como o braço executor químico do eixo PNEI. A </w:t>
      </w:r>
      <w:r>
        <w:rPr>
          <w:b/>
          <w:bCs/>
        </w:rPr>
        <w:t>modulação metabólica</w:t>
      </w:r>
      <w:r>
        <w:t xml:space="preserve"> é orquestrada por glândulas que respondem tanto a estímulos neurais quanto a sinais imunitários. O equilíbrio entre insulina, cortisol, hormônios tireoidianos e esteroides sexuais determina o nível de energia disponível e a capacidade de regeneração. Disrupções no eixo HPA (Hipotálamo-Pituitária-Adrenal) resultantes de estresse psicossocial levam a estados de inflamação subclínica e resistência metabólica.</w:t>
      </w:r>
    </w:p>
    <w:p w14:paraId="1B8C9CDB" w14:textId="77777777" w:rsidR="009E4BF9" w:rsidRDefault="00000000" w:rsidP="00D83511">
      <w:pPr>
        <w:ind w:firstLine="708"/>
        <w:jc w:val="both"/>
      </w:pPr>
      <w:r>
        <w:t>2.4. Imuno: Resposta Biológica e Neuroimunologia</w:t>
      </w:r>
    </w:p>
    <w:p w14:paraId="7C6A46D6" w14:textId="77777777" w:rsidR="009E4BF9" w:rsidRDefault="00000000" w:rsidP="00D762CF">
      <w:pPr>
        <w:spacing w:before="60"/>
        <w:jc w:val="both"/>
      </w:pPr>
      <w:r>
        <w:lastRenderedPageBreak/>
        <w:t xml:space="preserve">O sistema imunológico é, em última análise, um órgão sensorial de defesa e renovação celular. A </w:t>
      </w:r>
      <w:r>
        <w:rPr>
          <w:b/>
          <w:bCs/>
        </w:rPr>
        <w:t>neuroimunologia</w:t>
      </w:r>
      <w:r>
        <w:t xml:space="preserve"> revela que as células imunes possuem receptores para neurotransmissores, permitindo que o estado emocional influencie diretamente a eficácia da resposta contra patógenos e a vigilância oncológica. A inflamação, quando crônica e sistêmica, deixa de ser um mecanismo de cura para se tornar o motor das doenças degenerativas, evidenciando a necessidade de uma regulação imunitária precisa.</w:t>
      </w:r>
    </w:p>
    <w:p w14:paraId="79E1B75C" w14:textId="77777777" w:rsidR="00D83511" w:rsidRDefault="00D83511" w:rsidP="00D762CF">
      <w:pPr>
        <w:spacing w:before="60"/>
        <w:jc w:val="both"/>
      </w:pPr>
    </w:p>
    <w:p w14:paraId="09FA1C23" w14:textId="5B16199E" w:rsidR="00D83511" w:rsidRDefault="00D83511" w:rsidP="00D83511">
      <w:pPr>
        <w:spacing w:before="60"/>
        <w:ind w:firstLine="708"/>
        <w:jc w:val="both"/>
      </w:pPr>
      <w:r>
        <w:t>3. Conexão com a Mandala PRISMA13</w:t>
      </w:r>
    </w:p>
    <w:p w14:paraId="082A1034" w14:textId="28135D96" w:rsidR="009E4BF9" w:rsidRDefault="00000000" w:rsidP="00D762CF">
      <w:pPr>
        <w:spacing w:before="60"/>
        <w:jc w:val="both"/>
      </w:pPr>
      <w:r>
        <w:t xml:space="preserve">As 13 dimensões da </w:t>
      </w:r>
      <w:r>
        <w:rPr>
          <w:b/>
          <w:bCs/>
        </w:rPr>
        <w:t>Mandala PRISMA13</w:t>
      </w:r>
      <w:r>
        <w:t xml:space="preserve"> não são recomendações isoladas de estilo de vida, mas sim os </w:t>
      </w:r>
      <w:r>
        <w:rPr>
          <w:b/>
          <w:bCs/>
        </w:rPr>
        <w:t>inputs</w:t>
      </w:r>
      <w:r>
        <w:t xml:space="preserve"> fundamentais que alimentam o eixo PNEI. A qualidade do </w:t>
      </w:r>
      <w:r>
        <w:rPr>
          <w:b/>
          <w:bCs/>
        </w:rPr>
        <w:t>Ar Limpo</w:t>
      </w:r>
      <w:r>
        <w:t xml:space="preserve"> e da </w:t>
      </w:r>
      <w:r>
        <w:rPr>
          <w:b/>
          <w:bCs/>
        </w:rPr>
        <w:t>Nutrição</w:t>
      </w:r>
      <w:r>
        <w:t xml:space="preserve"> fornece os substratos químicos para a síntese hormonal e neurotransmissão. O </w:t>
      </w:r>
      <w:r>
        <w:rPr>
          <w:b/>
          <w:bCs/>
        </w:rPr>
        <w:t>Sono</w:t>
      </w:r>
      <w:r>
        <w:t xml:space="preserve"> é o período de reset neuroimunológico, enquanto a </w:t>
      </w:r>
      <w:r>
        <w:rPr>
          <w:b/>
          <w:bCs/>
        </w:rPr>
        <w:t>Luz</w:t>
      </w:r>
      <w:r>
        <w:t xml:space="preserve"> regula os ritmos circadianos que governam o sistema endócrino.</w:t>
      </w:r>
    </w:p>
    <w:p w14:paraId="50BC43A7" w14:textId="77777777" w:rsidR="009E4BF9" w:rsidRDefault="00000000" w:rsidP="00D762CF">
      <w:pPr>
        <w:spacing w:before="60"/>
        <w:jc w:val="both"/>
      </w:pPr>
      <w:r>
        <w:t xml:space="preserve">Dimensões como </w:t>
      </w:r>
      <w:r>
        <w:rPr>
          <w:b/>
          <w:bCs/>
        </w:rPr>
        <w:t>Pensamento</w:t>
      </w:r>
      <w:r>
        <w:t xml:space="preserve">, </w:t>
      </w:r>
      <w:r>
        <w:rPr>
          <w:b/>
          <w:bCs/>
        </w:rPr>
        <w:t>Emoção</w:t>
      </w:r>
      <w:r>
        <w:t xml:space="preserve"> e </w:t>
      </w:r>
      <w:r>
        <w:rPr>
          <w:b/>
          <w:bCs/>
        </w:rPr>
        <w:t>Espiritualidade</w:t>
      </w:r>
      <w:r>
        <w:t xml:space="preserve"> atuam diretamente no componente "Psico", filtrando a realidade e determinando se o sistema nervoso operará em modo de crescimento ou de proteção. O </w:t>
      </w:r>
      <w:r>
        <w:rPr>
          <w:b/>
          <w:bCs/>
        </w:rPr>
        <w:t>Ambiente</w:t>
      </w:r>
      <w:r>
        <w:t xml:space="preserve"> e a </w:t>
      </w:r>
      <w:r>
        <w:rPr>
          <w:b/>
          <w:bCs/>
        </w:rPr>
        <w:t>Comunidade</w:t>
      </w:r>
      <w:r>
        <w:t xml:space="preserve"> fornecem o contexto de segurança necessário para a ativação do complexo vagal ventral, consolidando a base para a Supersaúde.</w:t>
      </w:r>
    </w:p>
    <w:p w14:paraId="42806474" w14:textId="77777777" w:rsidR="00D83511" w:rsidRDefault="00D83511" w:rsidP="00D762CF">
      <w:pPr>
        <w:spacing w:before="60"/>
        <w:jc w:val="both"/>
      </w:pPr>
    </w:p>
    <w:p w14:paraId="005357A7" w14:textId="1856517A" w:rsidR="00D83511" w:rsidRDefault="00D83511" w:rsidP="00D83511">
      <w:pPr>
        <w:spacing w:before="60"/>
        <w:ind w:firstLine="708"/>
        <w:jc w:val="both"/>
      </w:pPr>
      <w:r>
        <w:t>4. Superação da Patologização e a Busca pela Supersaúde</w:t>
      </w:r>
      <w:r>
        <w:t xml:space="preserve"> </w:t>
      </w:r>
    </w:p>
    <w:p w14:paraId="74565450" w14:textId="34D5921E" w:rsidR="009E4BF9" w:rsidRDefault="00000000" w:rsidP="00D762CF">
      <w:pPr>
        <w:spacing w:before="60"/>
        <w:jc w:val="both"/>
      </w:pPr>
      <w:r>
        <w:t xml:space="preserve">A cultura contemporânea tende a </w:t>
      </w:r>
      <w:r>
        <w:rPr>
          <w:b/>
          <w:bCs/>
        </w:rPr>
        <w:t>patologizar</w:t>
      </w:r>
      <w:r>
        <w:t xml:space="preserve"> a existência, transformando respostas adaptativas do corpo em "doenças" que exigem supressão química imediata. Frequentemente, instala-se uma lógica de culpa ou castigo biológico. A proposta da </w:t>
      </w:r>
      <w:r>
        <w:rPr>
          <w:b/>
          <w:bCs/>
        </w:rPr>
        <w:t>Supersaúde</w:t>
      </w:r>
      <w:r>
        <w:t xml:space="preserve"> no PRISMA13 é a inversão dessa lógica: o foco desloca-se do combate ao sintoma para o fortalecimento do hospedeiro.</w:t>
      </w:r>
    </w:p>
    <w:p w14:paraId="2EED6671" w14:textId="77777777" w:rsidR="009E4BF9" w:rsidRDefault="00000000" w:rsidP="00D762CF">
      <w:pPr>
        <w:spacing w:before="60"/>
        <w:jc w:val="both"/>
      </w:pPr>
      <w:r>
        <w:t xml:space="preserve">A </w:t>
      </w:r>
      <w:r>
        <w:rPr>
          <w:b/>
          <w:bCs/>
        </w:rPr>
        <w:t>autonomia biológica</w:t>
      </w:r>
      <w:r>
        <w:t xml:space="preserve"> é alcançada quando o indivíduo compreende as leis que regem seu próprio eixo PNEI. Ao assumir a responsabilidade sobre as 13 dimensões, o ser humano deixa de ser um paciente passivo para se tornar o arquiteto de sua própria biologia. A Supersaúde é o resultado de uma cultura autônoma que garante não apenas a sobrevivência, mas a melhoria contínua do potencial humano.</w:t>
      </w:r>
    </w:p>
    <w:p w14:paraId="3D5B57AE" w14:textId="77777777" w:rsidR="00D83511" w:rsidRDefault="00D83511" w:rsidP="00D762CF">
      <w:pPr>
        <w:spacing w:before="60"/>
        <w:jc w:val="both"/>
      </w:pPr>
    </w:p>
    <w:p w14:paraId="02270AF3" w14:textId="2EDBB27E" w:rsidR="00D83511" w:rsidRDefault="00D83511" w:rsidP="00D83511">
      <w:pPr>
        <w:spacing w:before="60"/>
        <w:ind w:firstLine="708"/>
        <w:jc w:val="both"/>
      </w:pPr>
      <w:r>
        <w:t>5. Apêndice de Referências</w:t>
      </w:r>
      <w:r>
        <w:t xml:space="preserve"> </w:t>
      </w:r>
    </w:p>
    <w:p w14:paraId="16050A48" w14:textId="5B0C4E5C" w:rsidR="009E4BF9" w:rsidRDefault="00000000" w:rsidP="00D762CF">
      <w:pPr>
        <w:spacing w:before="60"/>
        <w:jc w:val="both"/>
      </w:pPr>
      <w:r>
        <w:t>As diretrizes e fundamentos técnicos deste documento baseiam-se nas seguintes normas e publicações científicas:</w:t>
      </w:r>
    </w:p>
    <w:p w14:paraId="5A68233A" w14:textId="77777777" w:rsidR="009E4BF9" w:rsidRDefault="00000000" w:rsidP="00D762CF">
      <w:pPr>
        <w:pStyle w:val="PargrafodaLista"/>
        <w:numPr>
          <w:ilvl w:val="0"/>
          <w:numId w:val="1"/>
        </w:numPr>
        <w:spacing w:before="40" w:after="40"/>
        <w:jc w:val="both"/>
      </w:pPr>
      <w:r>
        <w:t xml:space="preserve">ASSOCIAÇÃO BRASILEIRA DE NORMAS TÉCNICAS. </w:t>
      </w:r>
      <w:r>
        <w:rPr>
          <w:b/>
          <w:bCs/>
        </w:rPr>
        <w:t>NBR 6023</w:t>
      </w:r>
      <w:r>
        <w:t>: Informação e documentação - Referências - Elaboração. Rio de Janeiro: ABNT, 2018.</w:t>
      </w:r>
    </w:p>
    <w:p w14:paraId="681C5550" w14:textId="77777777" w:rsidR="009E4BF9" w:rsidRDefault="00000000" w:rsidP="00D762CF">
      <w:pPr>
        <w:pStyle w:val="PargrafodaLista"/>
        <w:numPr>
          <w:ilvl w:val="0"/>
          <w:numId w:val="1"/>
        </w:numPr>
        <w:spacing w:before="40" w:after="40"/>
        <w:jc w:val="both"/>
      </w:pPr>
      <w:proofErr w:type="spellStart"/>
      <w:r>
        <w:t>LONGEVITY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. </w:t>
      </w:r>
      <w:r>
        <w:rPr>
          <w:b/>
          <w:bCs/>
        </w:rPr>
        <w:t xml:space="preserve">Global Health Trends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PNEI </w:t>
      </w:r>
      <w:proofErr w:type="spellStart"/>
      <w:r>
        <w:rPr>
          <w:b/>
          <w:bCs/>
        </w:rPr>
        <w:t>Integration</w:t>
      </w:r>
      <w:proofErr w:type="spellEnd"/>
      <w:r>
        <w:t xml:space="preserve">. Zurich: </w:t>
      </w:r>
      <w:proofErr w:type="spellStart"/>
      <w:r>
        <w:t>Longevity</w:t>
      </w:r>
      <w:proofErr w:type="spellEnd"/>
      <w:r>
        <w:t xml:space="preserve"> Press, 2024.</w:t>
      </w:r>
    </w:p>
    <w:p w14:paraId="2201D7D3" w14:textId="77777777" w:rsidR="009E4BF9" w:rsidRDefault="00000000" w:rsidP="00D762CF">
      <w:pPr>
        <w:pStyle w:val="PargrafodaLista"/>
        <w:numPr>
          <w:ilvl w:val="0"/>
          <w:numId w:val="1"/>
        </w:numPr>
        <w:spacing w:before="40" w:after="40"/>
        <w:jc w:val="both"/>
      </w:pPr>
      <w:r>
        <w:t xml:space="preserve">PORGES, Stephen W.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Polyvagal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Theory</w:t>
      </w:r>
      <w:proofErr w:type="spellEnd"/>
      <w:r>
        <w:t xml:space="preserve">: </w:t>
      </w:r>
      <w:proofErr w:type="spellStart"/>
      <w:r>
        <w:t>Neurophysiological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of </w:t>
      </w:r>
      <w:proofErr w:type="spellStart"/>
      <w:r>
        <w:t>Emotions</w:t>
      </w:r>
      <w:proofErr w:type="spellEnd"/>
      <w:r>
        <w:t xml:space="preserve">, </w:t>
      </w:r>
      <w:proofErr w:type="spellStart"/>
      <w:r>
        <w:t>Attachment</w:t>
      </w:r>
      <w:proofErr w:type="spellEnd"/>
      <w:r>
        <w:t xml:space="preserve">, Communication, </w:t>
      </w:r>
      <w:proofErr w:type="spellStart"/>
      <w:r>
        <w:t>and</w:t>
      </w:r>
      <w:proofErr w:type="spellEnd"/>
      <w:r>
        <w:t xml:space="preserve"> Self-</w:t>
      </w:r>
      <w:proofErr w:type="spellStart"/>
      <w:r>
        <w:t>regulation</w:t>
      </w:r>
      <w:proofErr w:type="spellEnd"/>
      <w:r>
        <w:t xml:space="preserve">. New York: Norton &amp; </w:t>
      </w:r>
      <w:proofErr w:type="spellStart"/>
      <w:r>
        <w:t>Company</w:t>
      </w:r>
      <w:proofErr w:type="spellEnd"/>
      <w:r>
        <w:t>, 2011.</w:t>
      </w:r>
    </w:p>
    <w:p w14:paraId="65BE9689" w14:textId="7CB0F85B" w:rsidR="00D83511" w:rsidRDefault="00000000" w:rsidP="00D83511">
      <w:pPr>
        <w:pStyle w:val="PargrafodaLista"/>
        <w:numPr>
          <w:ilvl w:val="0"/>
          <w:numId w:val="1"/>
        </w:numPr>
        <w:spacing w:before="40" w:after="40"/>
        <w:jc w:val="both"/>
      </w:pPr>
      <w:r>
        <w:t xml:space="preserve">WORLD HEALTH </w:t>
      </w:r>
      <w:proofErr w:type="spellStart"/>
      <w:r>
        <w:t>ORGANIZATION</w:t>
      </w:r>
      <w:proofErr w:type="spellEnd"/>
      <w:r>
        <w:t xml:space="preserve"> (</w:t>
      </w:r>
      <w:proofErr w:type="gramStart"/>
      <w:r>
        <w:t>WHO</w:t>
      </w:r>
      <w:proofErr w:type="gramEnd"/>
      <w:r>
        <w:t xml:space="preserve">). </w:t>
      </w:r>
      <w:r>
        <w:rPr>
          <w:b/>
          <w:bCs/>
        </w:rPr>
        <w:t xml:space="preserve">World Health </w:t>
      </w:r>
      <w:proofErr w:type="spellStart"/>
      <w:r>
        <w:rPr>
          <w:b/>
          <w:bCs/>
        </w:rPr>
        <w:t>Statistics</w:t>
      </w:r>
      <w:proofErr w:type="spellEnd"/>
      <w:r>
        <w:rPr>
          <w:b/>
          <w:bCs/>
        </w:rPr>
        <w:t xml:space="preserve"> 2023</w:t>
      </w:r>
      <w:r>
        <w:t xml:space="preserve">: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SDGs</w:t>
      </w:r>
      <w:proofErr w:type="spellEnd"/>
      <w:r>
        <w:t xml:space="preserve">. Geneva: </w:t>
      </w:r>
      <w:proofErr w:type="gramStart"/>
      <w:r>
        <w:t>WHO</w:t>
      </w:r>
      <w:proofErr w:type="gramEnd"/>
      <w:r>
        <w:t>, 2023.</w:t>
      </w:r>
    </w:p>
    <w:sectPr w:rsidR="00D8351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80BC0"/>
    <w:multiLevelType w:val="hybridMultilevel"/>
    <w:tmpl w:val="D5605C6E"/>
    <w:lvl w:ilvl="0" w:tplc="7822272C">
      <w:start w:val="1"/>
      <w:numFmt w:val="bullet"/>
      <w:lvlText w:val="●"/>
      <w:lvlJc w:val="left"/>
      <w:pPr>
        <w:ind w:left="720" w:hanging="360"/>
      </w:pPr>
    </w:lvl>
    <w:lvl w:ilvl="1" w:tplc="48402A0A">
      <w:start w:val="1"/>
      <w:numFmt w:val="bullet"/>
      <w:lvlText w:val="○"/>
      <w:lvlJc w:val="left"/>
      <w:pPr>
        <w:ind w:left="1440" w:hanging="360"/>
      </w:pPr>
    </w:lvl>
    <w:lvl w:ilvl="2" w:tplc="2152950C">
      <w:start w:val="1"/>
      <w:numFmt w:val="bullet"/>
      <w:lvlText w:val="■"/>
      <w:lvlJc w:val="left"/>
      <w:pPr>
        <w:ind w:left="2160" w:hanging="360"/>
      </w:pPr>
    </w:lvl>
    <w:lvl w:ilvl="3" w:tplc="6DFA787A">
      <w:start w:val="1"/>
      <w:numFmt w:val="bullet"/>
      <w:lvlText w:val="●"/>
      <w:lvlJc w:val="left"/>
      <w:pPr>
        <w:ind w:left="2880" w:hanging="360"/>
      </w:pPr>
    </w:lvl>
    <w:lvl w:ilvl="4" w:tplc="67860BE8">
      <w:start w:val="1"/>
      <w:numFmt w:val="bullet"/>
      <w:lvlText w:val="○"/>
      <w:lvlJc w:val="left"/>
      <w:pPr>
        <w:ind w:left="3600" w:hanging="360"/>
      </w:pPr>
    </w:lvl>
    <w:lvl w:ilvl="5" w:tplc="459003D4">
      <w:start w:val="1"/>
      <w:numFmt w:val="bullet"/>
      <w:lvlText w:val="■"/>
      <w:lvlJc w:val="left"/>
      <w:pPr>
        <w:ind w:left="4320" w:hanging="360"/>
      </w:pPr>
    </w:lvl>
    <w:lvl w:ilvl="6" w:tplc="1D80167E">
      <w:start w:val="1"/>
      <w:numFmt w:val="bullet"/>
      <w:lvlText w:val="●"/>
      <w:lvlJc w:val="left"/>
      <w:pPr>
        <w:ind w:left="5040" w:hanging="360"/>
      </w:pPr>
    </w:lvl>
    <w:lvl w:ilvl="7" w:tplc="2C5655A0">
      <w:start w:val="1"/>
      <w:numFmt w:val="bullet"/>
      <w:lvlText w:val="●"/>
      <w:lvlJc w:val="left"/>
      <w:pPr>
        <w:ind w:left="5760" w:hanging="360"/>
      </w:pPr>
    </w:lvl>
    <w:lvl w:ilvl="8" w:tplc="456A4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60F61"/>
    <w:multiLevelType w:val="hybridMultilevel"/>
    <w:tmpl w:val="5FFA8572"/>
    <w:lvl w:ilvl="0" w:tplc="E6F62ECE">
      <w:start w:val="1"/>
      <w:numFmt w:val="decimal"/>
      <w:lvlText w:val="%1."/>
      <w:lvlJc w:val="left"/>
      <w:pPr>
        <w:ind w:left="720" w:hanging="360"/>
      </w:pPr>
    </w:lvl>
    <w:lvl w:ilvl="1" w:tplc="11D43494">
      <w:numFmt w:val="decimal"/>
      <w:lvlText w:val=""/>
      <w:lvlJc w:val="left"/>
    </w:lvl>
    <w:lvl w:ilvl="2" w:tplc="79CE624E">
      <w:numFmt w:val="decimal"/>
      <w:lvlText w:val=""/>
      <w:lvlJc w:val="left"/>
    </w:lvl>
    <w:lvl w:ilvl="3" w:tplc="BECC0F92">
      <w:numFmt w:val="decimal"/>
      <w:lvlText w:val=""/>
      <w:lvlJc w:val="left"/>
    </w:lvl>
    <w:lvl w:ilvl="4" w:tplc="C3841026">
      <w:numFmt w:val="decimal"/>
      <w:lvlText w:val=""/>
      <w:lvlJc w:val="left"/>
    </w:lvl>
    <w:lvl w:ilvl="5" w:tplc="F71A542C">
      <w:numFmt w:val="decimal"/>
      <w:lvlText w:val=""/>
      <w:lvlJc w:val="left"/>
    </w:lvl>
    <w:lvl w:ilvl="6" w:tplc="AEF6A142">
      <w:numFmt w:val="decimal"/>
      <w:lvlText w:val=""/>
      <w:lvlJc w:val="left"/>
    </w:lvl>
    <w:lvl w:ilvl="7" w:tplc="0A965C92">
      <w:numFmt w:val="decimal"/>
      <w:lvlText w:val=""/>
      <w:lvlJc w:val="left"/>
    </w:lvl>
    <w:lvl w:ilvl="8" w:tplc="C054DA82">
      <w:numFmt w:val="decimal"/>
      <w:lvlText w:val=""/>
      <w:lvlJc w:val="left"/>
    </w:lvl>
  </w:abstractNum>
  <w:num w:numId="1" w16cid:durableId="2083602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F9"/>
    <w:rsid w:val="00127E70"/>
    <w:rsid w:val="009E4BF9"/>
    <w:rsid w:val="00D762CF"/>
    <w:rsid w:val="00D8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A4D9A"/>
  <w15:docId w15:val="{76ECBA9A-80D7-4793-9BEE-764DE912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946</Words>
  <Characters>5109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olair rafael da silva jr</cp:lastModifiedBy>
  <cp:revision>3</cp:revision>
  <dcterms:created xsi:type="dcterms:W3CDTF">2026-05-06T18:31:00Z</dcterms:created>
  <dcterms:modified xsi:type="dcterms:W3CDTF">2026-05-06T18:40:00Z</dcterms:modified>
</cp:coreProperties>
</file>