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D3BF4" w14:textId="0731ECE4" w:rsidR="00D67BBA" w:rsidRDefault="00D67BBA" w:rsidP="00D67BBA">
      <w:pPr>
        <w:jc w:val="center"/>
        <w:rPr>
          <w:b/>
          <w:bCs/>
        </w:rPr>
      </w:pPr>
      <w:r w:rsidRPr="00D67BBA">
        <w:rPr>
          <w:b/>
          <w:bCs/>
        </w:rPr>
        <w:t>Índice de Coerência Cardíaca (</w:t>
      </w:r>
      <w:proofErr w:type="spellStart"/>
      <w:r w:rsidRPr="00D67BBA">
        <w:rPr>
          <w:b/>
          <w:bCs/>
        </w:rPr>
        <w:t>ICC</w:t>
      </w:r>
      <w:proofErr w:type="spellEnd"/>
      <w:r w:rsidRPr="00D67BBA">
        <w:rPr>
          <w:b/>
          <w:bCs/>
        </w:rPr>
        <w:t>)</w:t>
      </w:r>
    </w:p>
    <w:p w14:paraId="6DC3262E" w14:textId="11C8464A" w:rsidR="00D67BBA" w:rsidRPr="00D67BBA" w:rsidRDefault="00D67BBA" w:rsidP="00D67BBA">
      <w:r w:rsidRPr="00D67BBA">
        <w:rPr>
          <w:b/>
          <w:bCs/>
        </w:rPr>
        <w:t>O Índice de Coerência Cardíaca (</w:t>
      </w:r>
      <w:proofErr w:type="spellStart"/>
      <w:r w:rsidRPr="00D67BBA">
        <w:rPr>
          <w:b/>
          <w:bCs/>
        </w:rPr>
        <w:t>ICC</w:t>
      </w:r>
      <w:proofErr w:type="spellEnd"/>
      <w:r w:rsidRPr="00D67BBA">
        <w:rPr>
          <w:b/>
          <w:bCs/>
        </w:rPr>
        <w:t>) como Métrica de Excelência Biológica</w:t>
      </w:r>
    </w:p>
    <w:p w14:paraId="729CB4EF" w14:textId="77777777" w:rsidR="00D67BBA" w:rsidRPr="00D67BBA" w:rsidRDefault="00D67BBA" w:rsidP="00D67BBA">
      <w:r w:rsidRPr="00D67BBA">
        <w:pict w14:anchorId="7115FDFE">
          <v:rect id="_x0000_i1444" style="width:0;height:1.5pt" o:hralign="center" o:hrstd="t" o:hrnoshade="t" o:hr="t" stroked="f"/>
        </w:pict>
      </w:r>
    </w:p>
    <w:p w14:paraId="00D62958" w14:textId="77777777" w:rsidR="00D67BBA" w:rsidRPr="00D67BBA" w:rsidRDefault="00D67BBA" w:rsidP="00D67BBA">
      <w:pPr>
        <w:rPr>
          <w:b/>
          <w:bCs/>
        </w:rPr>
      </w:pPr>
      <w:r w:rsidRPr="00D67BBA">
        <w:rPr>
          <w:b/>
          <w:bCs/>
        </w:rPr>
        <w:t>Compreender o Índice de Coerência Cardíaca (</w:t>
      </w:r>
      <w:proofErr w:type="spellStart"/>
      <w:r w:rsidRPr="00D67BBA">
        <w:rPr>
          <w:b/>
          <w:bCs/>
        </w:rPr>
        <w:t>ICC</w:t>
      </w:r>
      <w:proofErr w:type="spellEnd"/>
      <w:r w:rsidRPr="00D67BBA">
        <w:rPr>
          <w:b/>
          <w:bCs/>
        </w:rPr>
        <w:t>)</w:t>
      </w:r>
    </w:p>
    <w:p w14:paraId="32FCB377" w14:textId="77777777" w:rsidR="00D67BBA" w:rsidRPr="00D67BBA" w:rsidRDefault="00D67BBA" w:rsidP="00D67BBA">
      <w:r w:rsidRPr="00D67BBA">
        <w:t>Definir o Índice de Coerência Cardíaca (</w:t>
      </w:r>
      <w:proofErr w:type="spellStart"/>
      <w:r w:rsidRPr="00D67BBA">
        <w:t>ICC</w:t>
      </w:r>
      <w:proofErr w:type="spellEnd"/>
      <w:r w:rsidRPr="00D67BBA">
        <w:t xml:space="preserve">) como a medida estatística da harmonia entre os sistemas fisiológicos assegura a compreensão da saúde como um estado vibracional e rítmico. Identificar o </w:t>
      </w:r>
      <w:proofErr w:type="spellStart"/>
      <w:r w:rsidRPr="00D67BBA">
        <w:t>ICC</w:t>
      </w:r>
      <w:proofErr w:type="spellEnd"/>
      <w:r w:rsidRPr="00D67BBA">
        <w:t xml:space="preserve"> por meio da análise da Variabilidade da Frequência Cardíaca (</w:t>
      </w:r>
      <w:proofErr w:type="spellStart"/>
      <w:r w:rsidRPr="00D67BBA">
        <w:t>VFC</w:t>
      </w:r>
      <w:proofErr w:type="spellEnd"/>
      <w:r w:rsidRPr="00D67BBA">
        <w:t xml:space="preserve">) permite monitorar a eficiência da comunicação entre o coração e o cérebro. Alcançar níveis elevados de coerência demonstra a predominância de um estado de equilíbrio autonômico e de resiliência ao estresse cotidiano. Utilizar este indicador como uma ferramenta de </w:t>
      </w:r>
      <w:proofErr w:type="spellStart"/>
      <w:r w:rsidRPr="00D67BBA">
        <w:t>biofeedback</w:t>
      </w:r>
      <w:proofErr w:type="spellEnd"/>
      <w:r w:rsidRPr="00D67BBA">
        <w:t xml:space="preserve"> (retroalimentação biológica) possibilita o ajuste imediato da fisiologia em direção à supersaúde e à longevidade ativa.</w:t>
      </w:r>
    </w:p>
    <w:p w14:paraId="237DB34D" w14:textId="77777777" w:rsidR="00D67BBA" w:rsidRPr="00D67BBA" w:rsidRDefault="00D67BBA" w:rsidP="00D67BBA">
      <w:pPr>
        <w:rPr>
          <w:b/>
          <w:bCs/>
        </w:rPr>
      </w:pPr>
      <w:r w:rsidRPr="00D67BBA">
        <w:rPr>
          <w:b/>
          <w:bCs/>
        </w:rPr>
        <w:t>Sincronizar a Comunicação entre Coração e Cérebro</w:t>
      </w:r>
    </w:p>
    <w:p w14:paraId="28545280" w14:textId="77777777" w:rsidR="00D67BBA" w:rsidRPr="00D67BBA" w:rsidRDefault="00D67BBA" w:rsidP="00D67BBA">
      <w:r w:rsidRPr="00D67BBA">
        <w:t xml:space="preserve">Estabelecer a sincronia rítmica entre os batimentos cardíacos e as ondas cerebrais constitui o fundamento técnico do </w:t>
      </w:r>
      <w:proofErr w:type="spellStart"/>
      <w:r w:rsidRPr="00D67BBA">
        <w:t>ICC</w:t>
      </w:r>
      <w:proofErr w:type="spellEnd"/>
      <w:r w:rsidRPr="00D67BBA">
        <w:t xml:space="preserve"> elevado. Reconhecer o coração como o principal oscilador do organismo humano facilita a indução de estados de alta performance cognitiva e emocional. Aplicar a respiração rítmica em ciclos de cinco segundos para a inspiração e cinco segundos para a expiração promove a estabilização instantânea do ritmo cardíaco. Fortalecer o sinal eletromagnético do coração através de sentimentos de gratidão assegura que a informação enviada ao "Palácio de Cristal" no cérebro seja de ordem e clareza e paz.</w:t>
      </w:r>
    </w:p>
    <w:p w14:paraId="45EDB933" w14:textId="77777777" w:rsidR="00D67BBA" w:rsidRPr="00D67BBA" w:rsidRDefault="00D67BBA" w:rsidP="00D67BBA">
      <w:pPr>
        <w:rPr>
          <w:b/>
          <w:bCs/>
        </w:rPr>
      </w:pPr>
      <w:r w:rsidRPr="00D67BBA">
        <w:rPr>
          <w:b/>
          <w:bCs/>
        </w:rPr>
        <w:t>Otimizar a Resposta Hormonal e Imunológica</w:t>
      </w:r>
    </w:p>
    <w:p w14:paraId="4BE6C0AA" w14:textId="77777777" w:rsidR="00D67BBA" w:rsidRPr="00D67BBA" w:rsidRDefault="00D67BBA" w:rsidP="00D67BBA">
      <w:r w:rsidRPr="00D67BBA">
        <w:t xml:space="preserve">Validar os benefícios biológicos de um </w:t>
      </w:r>
      <w:proofErr w:type="spellStart"/>
      <w:r w:rsidRPr="00D67BBA">
        <w:t>ICC</w:t>
      </w:r>
      <w:proofErr w:type="spellEnd"/>
      <w:r w:rsidRPr="00D67BBA">
        <w:t xml:space="preserve"> sustentado inclui o aumento da produção de imunoglobulina A (IgA) e a redução drástica dos níveis de cortisol no sangue. Promover a saúde mitocondrial através da redução do ruído informacional no sistema nervoso garante que a energia celular seja utilizada para a reparação e regeneração dos tecidos. Integrar a prática da coerência com a terapia de óleo integral equilibrado de cannabis potencializa a busca pela homeostase sistêmica e pela proteção neurológica. Manter o </w:t>
      </w:r>
      <w:proofErr w:type="spellStart"/>
      <w:r w:rsidRPr="00D67BBA">
        <w:t>ICC</w:t>
      </w:r>
      <w:proofErr w:type="spellEnd"/>
      <w:r w:rsidRPr="00D67BBA">
        <w:t xml:space="preserve"> em faixas ideais constitui a estratégia mais eficaz para prevenir o envelhecimento precoce e manifestar a vitalidade centenária.</w:t>
      </w:r>
    </w:p>
    <w:p w14:paraId="6E7A27E6" w14:textId="77777777" w:rsidR="00D67BBA" w:rsidRPr="00D67BBA" w:rsidRDefault="00D67BBA" w:rsidP="00D67BBA">
      <w:r w:rsidRPr="00D67BBA">
        <w:pict w14:anchorId="73BDEB76">
          <v:rect id="_x0000_i1445" style="width:0;height:1.5pt" o:hralign="center" o:hrstd="t" o:hrnoshade="t" o:hr="t" stroked="f"/>
        </w:pict>
      </w:r>
    </w:p>
    <w:p w14:paraId="5F59A334" w14:textId="77777777" w:rsidR="00D67BBA" w:rsidRPr="00D67BBA" w:rsidRDefault="00D67BBA" w:rsidP="00D67BBA">
      <w:pPr>
        <w:rPr>
          <w:b/>
          <w:bCs/>
        </w:rPr>
      </w:pPr>
      <w:r w:rsidRPr="00D67BBA">
        <w:rPr>
          <w:b/>
          <w:bCs/>
        </w:rPr>
        <w:t>Recapitulação e Integração da Prática</w:t>
      </w:r>
    </w:p>
    <w:p w14:paraId="0CD6FD73" w14:textId="77777777" w:rsidR="00D67BBA" w:rsidRPr="00D67BBA" w:rsidRDefault="00D67BBA" w:rsidP="00D67BBA">
      <w:r w:rsidRPr="00D67BBA">
        <w:t>Sintetizar o uso do Índice de Coerência Cardíaca (</w:t>
      </w:r>
      <w:proofErr w:type="spellStart"/>
      <w:r w:rsidRPr="00D67BBA">
        <w:t>ICC</w:t>
      </w:r>
      <w:proofErr w:type="spellEnd"/>
      <w:r w:rsidRPr="00D67BBA">
        <w:t>) como o guia para a autogestão da saúde permite a transformação real da biologia individual. Reiterar a importância do monitoramento constante e da prática deliberada de sentimentos positivos assegura a consolidação da supersaúde no cotidiano. Manter a mentalidade de aperfeiçoamento permanente e o poder de transformação continuada promove o bem-estar duradouro para a pessoa e para o núcleo familiar.</w:t>
      </w:r>
    </w:p>
    <w:p w14:paraId="2EC5EC69" w14:textId="77777777" w:rsidR="00D67BBA" w:rsidRPr="00D67BBA" w:rsidRDefault="00D67BBA" w:rsidP="00D67BBA">
      <w:r w:rsidRPr="00D67BBA">
        <w:pict w14:anchorId="57FF072D">
          <v:rect id="_x0000_i1446" style="width:0;height:1.5pt" o:hralign="center" o:hrstd="t" o:hrnoshade="t" o:hr="t" stroked="f"/>
        </w:pict>
      </w:r>
    </w:p>
    <w:p w14:paraId="7A0B447E" w14:textId="77777777" w:rsidR="00D67BBA" w:rsidRPr="00D67BBA" w:rsidRDefault="00D67BBA" w:rsidP="00D67BBA">
      <w:pPr>
        <w:rPr>
          <w:b/>
          <w:bCs/>
        </w:rPr>
      </w:pPr>
      <w:r w:rsidRPr="00D67BBA">
        <w:rPr>
          <w:b/>
          <w:bCs/>
        </w:rPr>
        <w:t>Apêndice de Referências Bibliográficas</w:t>
      </w:r>
    </w:p>
    <w:p w14:paraId="1D4F9980" w14:textId="77777777" w:rsidR="00D67BBA" w:rsidRPr="00D67BBA" w:rsidRDefault="00D67BBA" w:rsidP="00D67BBA">
      <w:r w:rsidRPr="00D67BBA">
        <w:rPr>
          <w:b/>
          <w:bCs/>
        </w:rPr>
        <w:t>SILVA JÚNIOR, Olair Rafael da. A Arte Científica da Saúde Integral e a Biologia da Perfeição. Jacareí: Edição do Autor, 2025.</w:t>
      </w:r>
    </w:p>
    <w:p w14:paraId="11C08391" w14:textId="77777777" w:rsidR="00D67BBA" w:rsidRPr="00D67BBA" w:rsidRDefault="00D67BBA" w:rsidP="00D67BBA">
      <w:pPr>
        <w:numPr>
          <w:ilvl w:val="0"/>
          <w:numId w:val="19"/>
        </w:numPr>
      </w:pPr>
      <w:r w:rsidRPr="00D67BBA">
        <w:rPr>
          <w:b/>
          <w:bCs/>
        </w:rPr>
        <w:t>Resumo:</w:t>
      </w:r>
      <w:r w:rsidRPr="00D67BBA">
        <w:t xml:space="preserve"> O tratado em questão sistematiza as estratégias para alcançar a longevidade superior por meio da integração biológica e emocional do indivíduo. O texto apresenta o conceito de "Supersaúde" como um estado de excelência funcional que transcende os padrões clínicos convencionais. A obra detalha a técnica da coerência cardíaca e explica como o coração atua como o principal oscilador biológico do corpo humano. O autor discorre sobre a importância do eixo coração-cérebro na regulação do sistema imunológico e na produção de neurotransmissores benéficos. O conteúdo aborda a glândula pineal como o centro de coordenação dos ritmos circadianos essenciais para a saúde celular. Oferece protocolos práticos de biotransformação que incluem diretrizes sobre sono e exposição solar e gestão do estresse crônico. A narrativa utiliza princípios de programação neurolinguística para facilitar a adesão da pessoa aos novos hábitos de forma otimista. Analisa a influência dos sentimentos positivos na expressão gênica e na manutenção do comprimento dos telômeros ao longo do tempo. O documento serve como um guia completo para a autogestão da saúde e para a conquista de uma vida centenária. Propõe uma visão onde a consciência é a força motriz que organiza a matéria em direção à perfeição biológica. O livro destaca o papel da família como o ambiente primordial para a manifestação da saúde e felicidade. As referências técnicas apoiam o uso de fitocanabinoides como moduladores da homeostase e da vitalidade sistêmica. A obra incentiva o aperfeiçoamento permanente e a busca constante por evidências científicas que validem o estilo de vida. O texto é estruturado para promover a resiliência biológica e a clareza cognitiva em todas as fases da vida. </w:t>
      </w:r>
    </w:p>
    <w:p w14:paraId="218410C5" w14:textId="77777777" w:rsidR="00D67BBA" w:rsidRPr="00D67BBA" w:rsidRDefault="00D67BBA" w:rsidP="00D67BBA">
      <w:pPr>
        <w:numPr>
          <w:ilvl w:val="0"/>
          <w:numId w:val="19"/>
        </w:numPr>
      </w:pPr>
      <w:r w:rsidRPr="00D67BBA">
        <w:rPr>
          <w:b/>
          <w:bCs/>
        </w:rPr>
        <w:t>Relevância:</w:t>
      </w:r>
      <w:r w:rsidRPr="00D67BBA">
        <w:t xml:space="preserve"> Esta obra fundamenta a totalidade das práticas de coerência e biotransformação essenciais para este produto digital. O texto valida o uso do coração como ferramenta de regulação biológica e estabilização do sistema nervoso autônomo. Fornece o arcabouço técnico para a compreensão da longevidade ativa por meio da integração entre mente e corpo. Justifica a aplicação de linguagem assertiva como meio de reprogramação celular e mudança de comportamento permanente. Estabelece a base científica para a integração entre medicina moderna e saberes ancestrais na promoção da saúde.</w:t>
      </w:r>
    </w:p>
    <w:p w14:paraId="628406CB" w14:textId="77777777" w:rsidR="00D67BBA" w:rsidRPr="00D67BBA" w:rsidRDefault="00D67BBA" w:rsidP="00D67BBA">
      <w:r w:rsidRPr="00D67BBA">
        <w:rPr>
          <w:b/>
          <w:bCs/>
        </w:rPr>
        <w:t>INSTITUTO SOL. Medicina da Presença: A Ciência do Cuidado Sistêmico. Jacareí: Instituto SOL, 2025.</w:t>
      </w:r>
    </w:p>
    <w:p w14:paraId="7E05808B" w14:textId="77777777" w:rsidR="00D67BBA" w:rsidRPr="00D67BBA" w:rsidRDefault="00D67BBA" w:rsidP="00D67BBA">
      <w:pPr>
        <w:numPr>
          <w:ilvl w:val="0"/>
          <w:numId w:val="20"/>
        </w:numPr>
      </w:pPr>
      <w:r w:rsidRPr="00D67BBA">
        <w:rPr>
          <w:b/>
          <w:bCs/>
        </w:rPr>
        <w:t>Resumo:</w:t>
      </w:r>
      <w:r w:rsidRPr="00D67BBA">
        <w:t xml:space="preserve"> O guia apresenta a Medicina da Presença como o alicerce para uma prática clínica e de autocuidado humanizada e eficaz no cotidiano. O texto define a presença consciente como o estado de atenção plena </w:t>
      </w:r>
      <w:proofErr w:type="gramStart"/>
      <w:r w:rsidRPr="00D67BBA">
        <w:t>no momento atual</w:t>
      </w:r>
      <w:proofErr w:type="gramEnd"/>
      <w:r w:rsidRPr="00D67BBA">
        <w:t xml:space="preserve"> e livre de distrações tecnológicas excessivas. Explica como a conexão profunda entre pessoas e membros da família cria um campo de informação favorável à recuperação biológica. O documento oferece evidências científicas sobre a redução de marcadores inflamatórios em indivíduos que praticam a quietude e a meditação. Aborda a importância do silêncio e da escuta ativa como instrumentos de diagnóstico e de intervenção terapêutica na saúde mental. O conteúdo explora a dinâmica dos sistemas familiares e como os padrões de emoção influenciam a biologia compartilhada do grupo. A publicação incentiva a adoção de rituais de conexão diários para fortalecer a resiliência emocional e a segurança psíquica. Analisa o impacto do estresse social na saúde cardiovascular e propõe métodos de resolução pacífica de conflitos baseados na empatia. O guia serve como um manual para a implementação de uma cultura de paz e saúde integral em ambientes domésticos. Reforça que a cura não é apenas um evento </w:t>
      </w:r>
      <w:proofErr w:type="gramStart"/>
      <w:r w:rsidRPr="00D67BBA">
        <w:t>bioquímico</w:t>
      </w:r>
      <w:proofErr w:type="gramEnd"/>
      <w:r w:rsidRPr="00D67BBA">
        <w:t xml:space="preserve"> mas um processo de conscientização e integração dimensional do ser. O texto utiliza uma abordagem impessoal para descrever os benefícios da atenção plena na melhora da resposta imunológica sistêmica. Destaca a necessidade de acolhimento para a superação de traumas e para a construção de uma base familiar sólida e saudável. Promove o despertar da consciência individual como motor para a transformação da saúde coletiva e comunitária de forma permanente. As estratégias apresentadas visam a redução da carga alostática e a proteção da integridade física e mental de crianças. </w:t>
      </w:r>
    </w:p>
    <w:p w14:paraId="34215CCB" w14:textId="77777777" w:rsidR="00D67BBA" w:rsidRPr="00D67BBA" w:rsidRDefault="00D67BBA" w:rsidP="00D67BBA">
      <w:pPr>
        <w:numPr>
          <w:ilvl w:val="0"/>
          <w:numId w:val="20"/>
        </w:numPr>
      </w:pPr>
      <w:r w:rsidRPr="00D67BBA">
        <w:rPr>
          <w:b/>
          <w:bCs/>
        </w:rPr>
        <w:t>Relevância:</w:t>
      </w:r>
      <w:r w:rsidRPr="00D67BBA">
        <w:t xml:space="preserve"> Este documento define a base ética e prática para a seção de dinâmica familiar e cultivo da presença consciente. O texto justifica a importância de eliminar o ruído na comunicação para preservar a integridade do sistema nervoso coletivo. Fundamenta a visão sistêmica onde a saúde do indivíduo está ligada à harmonia do campo emocional familiar compartilhado. Oferece as ferramentas de ancoragem no presente que auxiliam na manutenção da coerência cardíaca durante os desafios diários. Valida o uso da meditação e do silêncio como estratégias de alta eficácia para a prevenção de doenças degenerativas.</w:t>
      </w:r>
    </w:p>
    <w:p w14:paraId="7EF19ACE" w14:textId="77777777" w:rsidR="00D67BBA" w:rsidRPr="00D67BBA" w:rsidRDefault="00D67BBA" w:rsidP="00D67BBA">
      <w:r w:rsidRPr="00D67BBA">
        <w:rPr>
          <w:b/>
          <w:bCs/>
        </w:rPr>
        <w:t>FEYNMAN, Richard. Cérebro e Consciência: A Física da Percepção e da Matéria. [</w:t>
      </w:r>
      <w:proofErr w:type="spellStart"/>
      <w:r w:rsidRPr="00D67BBA">
        <w:rPr>
          <w:b/>
          <w:bCs/>
        </w:rPr>
        <w:t>S.l</w:t>
      </w:r>
      <w:proofErr w:type="spellEnd"/>
      <w:r w:rsidRPr="00D67BBA">
        <w:rPr>
          <w:b/>
          <w:bCs/>
        </w:rPr>
        <w:t>.]: [s.n.], 2025.</w:t>
      </w:r>
    </w:p>
    <w:p w14:paraId="15CCC07B" w14:textId="77777777" w:rsidR="00D67BBA" w:rsidRPr="00D67BBA" w:rsidRDefault="00D67BBA" w:rsidP="00D67BBA">
      <w:pPr>
        <w:numPr>
          <w:ilvl w:val="0"/>
          <w:numId w:val="21"/>
        </w:numPr>
      </w:pPr>
      <w:r w:rsidRPr="00D67BBA">
        <w:rPr>
          <w:b/>
          <w:bCs/>
        </w:rPr>
        <w:t>Resumo:</w:t>
      </w:r>
      <w:r w:rsidRPr="00D67BBA">
        <w:t xml:space="preserve"> A obra explora a fronteira entre a física das partículas fundamentais e a emergência do fenômeno da consciência em seres complexos. O texto discorre sobre o milagre da organização atômica que permite a existência de um ser capaz de compreender o universo. Feynman utiliza o rigor científico para demonstrar que a matéria e a energia e a informação são aspectos de uma realidade. O conteúdo aborda a renovação constante das células físicas e ressalta que a identidade reside na estrutura da informação biológica. A narrativa incentiva a pessoa a maravilhar-se com a complexidade do cérebro e sua capacidade de gerar pensamentos e sentimentos. O autor analisa como as leis da termodinâmica e da mecânica quântica se manifestam nos processos vitais e na ordem interna. O livro defende que a curiosidade intelectual e a busca pela verdade são os motores que mantêm a mente jovem. Oferece uma perspectiva inspiradora sobre o lugar da humanidade no cosmos e a responsabilidade de preservar a vida e a saúde. O texto serve como um antídoto ao desânimo e propõe que a compreensão da física aumenta a valorização da existência física. Feynman destaca a importância da precisão na linguagem e na observação para o progresso do conhecimento humano e do bem-estar. A obra é um convite à reflexão sobre a dignidade do ser como o ponto onde o universo se torna consciente. O texto explica que os arranjos de átomos em constante mudança mantêm a continuidade do "eu" através da memória e consciência. Reforça a ideia de que somos um conjunto organizado de elementos químicos que cooperam para a manifestação da vida inteligente. O documento integra a visão materialista científica com a admiração transcendental pela beleza e complexidade da natureza e da saúde. </w:t>
      </w:r>
    </w:p>
    <w:p w14:paraId="6B00FB09" w14:textId="77777777" w:rsidR="00D67BBA" w:rsidRPr="00D67BBA" w:rsidRDefault="00D67BBA" w:rsidP="00D67BBA">
      <w:pPr>
        <w:numPr>
          <w:ilvl w:val="0"/>
          <w:numId w:val="21"/>
        </w:numPr>
      </w:pPr>
      <w:r w:rsidRPr="00D67BBA">
        <w:rPr>
          <w:b/>
          <w:bCs/>
        </w:rPr>
        <w:t>Relevância:</w:t>
      </w:r>
      <w:r w:rsidRPr="00D67BBA">
        <w:t xml:space="preserve"> Esta fonte fornece a fundamentação biofísica para o conceito de consciência atômica e para a valorização da vida celular organizada. O texto permite unir a racionalidade científica com a admiração necessária para motivar a busca pela longevidade e saúde. Justifica a importância da integridade estrutural das informações genéticas para a manutenção da saúde ao longo das décadas vividas. Fundamenta a visão de que a mente e o corpo são partes de um sistema físico-informacional que deve ser cuidado. Valida o aprendizado contínuo e a exploração científica como práticas de rejuvenescimento mental e expansão da consciência individual.</w:t>
      </w:r>
    </w:p>
    <w:p w14:paraId="22B572F2" w14:textId="77777777" w:rsidR="007D7492" w:rsidRDefault="007D7492"/>
    <w:p w14:paraId="2238F6BC" w14:textId="77777777" w:rsidR="00623B0E" w:rsidRDefault="00623B0E"/>
    <w:p w14:paraId="05348FE7" w14:textId="77777777" w:rsidR="00623B0E" w:rsidRDefault="00623B0E"/>
    <w:p w14:paraId="1394861C" w14:textId="77777777" w:rsidR="00623B0E" w:rsidRDefault="00623B0E"/>
    <w:p w14:paraId="76D16AEF" w14:textId="77777777" w:rsidR="00623B0E" w:rsidRDefault="00623B0E"/>
    <w:sectPr w:rsidR="00623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1E5"/>
    <w:multiLevelType w:val="multilevel"/>
    <w:tmpl w:val="E42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multilevel"/>
    <w:tmpl w:val="6C6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978"/>
    <w:multiLevelType w:val="multilevel"/>
    <w:tmpl w:val="F73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11660"/>
    <w:multiLevelType w:val="multilevel"/>
    <w:tmpl w:val="0D3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96EF7"/>
    <w:multiLevelType w:val="multilevel"/>
    <w:tmpl w:val="6C7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25BC"/>
    <w:multiLevelType w:val="multilevel"/>
    <w:tmpl w:val="936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8292E"/>
    <w:multiLevelType w:val="multilevel"/>
    <w:tmpl w:val="F4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14319"/>
    <w:multiLevelType w:val="multilevel"/>
    <w:tmpl w:val="A54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046A7"/>
    <w:multiLevelType w:val="multilevel"/>
    <w:tmpl w:val="901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97992"/>
    <w:multiLevelType w:val="multilevel"/>
    <w:tmpl w:val="463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C52AA"/>
    <w:multiLevelType w:val="multilevel"/>
    <w:tmpl w:val="F1E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0349E"/>
    <w:multiLevelType w:val="multilevel"/>
    <w:tmpl w:val="9E7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A49AC"/>
    <w:multiLevelType w:val="multilevel"/>
    <w:tmpl w:val="40D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B7C9C"/>
    <w:multiLevelType w:val="multilevel"/>
    <w:tmpl w:val="737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C3A84"/>
    <w:multiLevelType w:val="multilevel"/>
    <w:tmpl w:val="4AA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E3264"/>
    <w:multiLevelType w:val="multilevel"/>
    <w:tmpl w:val="A14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669EB"/>
    <w:multiLevelType w:val="multilevel"/>
    <w:tmpl w:val="67C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F6206"/>
    <w:multiLevelType w:val="multilevel"/>
    <w:tmpl w:val="85B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53AA8"/>
    <w:multiLevelType w:val="multilevel"/>
    <w:tmpl w:val="214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14B"/>
    <w:multiLevelType w:val="multilevel"/>
    <w:tmpl w:val="8D5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F1982"/>
    <w:multiLevelType w:val="multilevel"/>
    <w:tmpl w:val="859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55212">
    <w:abstractNumId w:val="1"/>
  </w:num>
  <w:num w:numId="2" w16cid:durableId="1291980263">
    <w:abstractNumId w:val="5"/>
  </w:num>
  <w:num w:numId="3" w16cid:durableId="1222473603">
    <w:abstractNumId w:val="20"/>
  </w:num>
  <w:num w:numId="4" w16cid:durableId="920070115">
    <w:abstractNumId w:val="2"/>
  </w:num>
  <w:num w:numId="5" w16cid:durableId="284891139">
    <w:abstractNumId w:val="17"/>
  </w:num>
  <w:num w:numId="6" w16cid:durableId="2031493928">
    <w:abstractNumId w:val="10"/>
  </w:num>
  <w:num w:numId="7" w16cid:durableId="762187310">
    <w:abstractNumId w:val="9"/>
  </w:num>
  <w:num w:numId="8" w16cid:durableId="434523855">
    <w:abstractNumId w:val="11"/>
  </w:num>
  <w:num w:numId="9" w16cid:durableId="342830268">
    <w:abstractNumId w:val="16"/>
  </w:num>
  <w:num w:numId="10" w16cid:durableId="209727479">
    <w:abstractNumId w:val="7"/>
  </w:num>
  <w:num w:numId="11" w16cid:durableId="1511986000">
    <w:abstractNumId w:val="14"/>
  </w:num>
  <w:num w:numId="12" w16cid:durableId="986203873">
    <w:abstractNumId w:val="19"/>
  </w:num>
  <w:num w:numId="13" w16cid:durableId="1832678464">
    <w:abstractNumId w:val="8"/>
  </w:num>
  <w:num w:numId="14" w16cid:durableId="1781798121">
    <w:abstractNumId w:val="0"/>
  </w:num>
  <w:num w:numId="15" w16cid:durableId="577712100">
    <w:abstractNumId w:val="13"/>
  </w:num>
  <w:num w:numId="16" w16cid:durableId="1394156771">
    <w:abstractNumId w:val="12"/>
  </w:num>
  <w:num w:numId="17" w16cid:durableId="1846018076">
    <w:abstractNumId w:val="6"/>
  </w:num>
  <w:num w:numId="18" w16cid:durableId="291061431">
    <w:abstractNumId w:val="18"/>
  </w:num>
  <w:num w:numId="19" w16cid:durableId="2091612220">
    <w:abstractNumId w:val="3"/>
  </w:num>
  <w:num w:numId="20" w16cid:durableId="1718897259">
    <w:abstractNumId w:val="15"/>
  </w:num>
  <w:num w:numId="21" w16cid:durableId="1075249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04"/>
    <w:rsid w:val="00255713"/>
    <w:rsid w:val="003C5D04"/>
    <w:rsid w:val="005D5668"/>
    <w:rsid w:val="00623B0E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67BBA"/>
    <w:rsid w:val="00E73407"/>
    <w:rsid w:val="00F422DB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F422C"/>
  <w15:chartTrackingRefBased/>
  <w15:docId w15:val="{D91A08AA-B2D9-4BB9-924E-867232D3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3C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D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D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D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D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D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D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D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D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D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D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D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D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D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D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D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D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D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D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D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D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D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D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5D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5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1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2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1699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2514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12" w:color="E5E7EB"/>
                    <w:right w:val="single" w:sz="2" w:space="0" w:color="E5E7EB"/>
                  </w:divBdr>
                  <w:divsChild>
                    <w:div w:id="113410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23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8011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47158">
                                              <w:marLeft w:val="-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8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3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43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691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32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2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16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73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7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03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0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4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3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06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5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8738">
                                          <w:marLeft w:val="0"/>
                                          <w:marRight w:val="6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4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1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0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7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16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73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41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902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7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19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55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79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19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208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1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334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418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6251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698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6770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5237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5614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661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1943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9234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7329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2621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636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4449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208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87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337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110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8697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171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2677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839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1678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9612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150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1462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48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658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289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960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12627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82607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518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30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021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2848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9379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038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3383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12590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9452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30732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76447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848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25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986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25749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879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704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92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616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625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345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267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2141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1841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4544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49655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644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19644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5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8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71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401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629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350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49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19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0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3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021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3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243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960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30914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44460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5032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4777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0482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591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5453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55050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3925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8059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7312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04000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31878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8522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007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40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894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70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99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76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361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452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6218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273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06880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460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104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731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4043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179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071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5660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14150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5825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7971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1148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726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750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670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861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7767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951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969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447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2985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010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06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456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60680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1973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408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640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67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071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384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931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301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4958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3845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96248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026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48919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36395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755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719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45871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095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736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265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067955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2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1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2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53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14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061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9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5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2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9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45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6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70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8669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7800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258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839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73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609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03342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1731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9386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5221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8364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70064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741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652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761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924950">
                                                                                                      <w:marLeft w:val="0"/>
                                                                                                      <w:marRight w:val="12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8281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131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211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027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491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757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677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007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1322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9323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12105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664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194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268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2329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073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950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1383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60110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8644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384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131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1082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622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641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060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77774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88914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570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115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656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3043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7462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228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06790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7623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349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820994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1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2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1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029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60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294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99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52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39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01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55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756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609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448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2077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5097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1627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8160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7418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0287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92266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677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6959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105693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440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4604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031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850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8471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343881">
                                                                                                      <w:marLeft w:val="0"/>
                                                                                                      <w:marRight w:val="12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226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269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16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494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063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820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772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834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9621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73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02038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886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728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446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7663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3583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480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0811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75337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038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974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866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491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2357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04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507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39937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52138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0367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114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19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38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878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254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903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73428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0445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7519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21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5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96539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5239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12" w:color="E5E7EB"/>
                    <w:right w:val="single" w:sz="2" w:space="0" w:color="E5E7EB"/>
                  </w:divBdr>
                  <w:divsChild>
                    <w:div w:id="650450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42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8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640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0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8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53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8831">
                                              <w:marLeft w:val="-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9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33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1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78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45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020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3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509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019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7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12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1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9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99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15954">
                                          <w:marLeft w:val="0"/>
                                          <w:marRight w:val="6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8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48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30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3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7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58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177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92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84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122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91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31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132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469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9347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5711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4819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2585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7227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590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9214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340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4908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6100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693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4803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5678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952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256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353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333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006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94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510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5084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6186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66296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698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277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999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7977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5288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66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36235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27295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739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219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514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571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542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2559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577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91215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664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14557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66860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742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310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943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29911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3850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235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544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7049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756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565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6596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43599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25399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6186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83934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630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12088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2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27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2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43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753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06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08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9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6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4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9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803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8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242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036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724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0891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6744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816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5728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005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35733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891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6676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485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0311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6750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93668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40112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202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63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51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644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17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939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458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785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6554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6353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3216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222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737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59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544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1859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330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399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4559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264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75009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84350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719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4334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9779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681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8401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991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990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020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9386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284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9044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2598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25992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8149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7744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6967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3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044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548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2230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5120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3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205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498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71060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4821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0077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58115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055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166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8824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073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1120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483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199798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2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0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48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7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69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62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2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231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42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33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30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40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07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574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1174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079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6198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80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4971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83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8395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7694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23463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67139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358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170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6864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45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101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858174">
                                                                                                      <w:marLeft w:val="0"/>
                                                                                                      <w:marRight w:val="12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768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24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95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22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452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422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91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768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8110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3926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930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100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3774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629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2673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637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183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2312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6452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2532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810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284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076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44056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141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6338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17631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50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735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006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7247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1861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411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390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6611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084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129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769285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4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32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2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01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5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995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65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1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98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442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58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166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57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41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0142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14973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14272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7452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9315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390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0467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151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6150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5168057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617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4102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8453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22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667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812623">
                                                                                                      <w:marLeft w:val="0"/>
                                                                                                      <w:marRight w:val="12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63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271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069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554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185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268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913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523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6240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748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4014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630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20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24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7976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731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761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11253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9982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16595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361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121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0888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4369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953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56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03143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4532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02251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989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634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836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8093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237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97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89030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7720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594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340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1595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2026-03-16T20:21:00Z</dcterms:created>
  <dcterms:modified xsi:type="dcterms:W3CDTF">2026-03-16T21:16:00Z</dcterms:modified>
</cp:coreProperties>
</file>