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59E7B" w14:textId="77777777" w:rsidR="00A5746D" w:rsidRPr="00855BA9" w:rsidRDefault="00A5746D" w:rsidP="00A5746D">
      <w:pPr>
        <w:spacing w:after="60"/>
        <w:jc w:val="center"/>
        <w:rPr>
          <w:rFonts w:ascii="Calibri" w:hAnsi="Calibri" w:cs="Calibri"/>
          <w:color w:val="000000" w:themeColor="text1"/>
        </w:rPr>
      </w:pPr>
      <w:r w:rsidRPr="00855BA9">
        <w:rPr>
          <w:rFonts w:ascii="Calibri" w:hAnsi="Calibri" w:cs="Calibri"/>
          <w:b/>
          <w:bCs/>
          <w:color w:val="000000" w:themeColor="text1"/>
          <w:sz w:val="52"/>
          <w:szCs w:val="52"/>
        </w:rPr>
        <w:t>CRYPTOCURRENCY PORTFOLIO</w:t>
      </w:r>
    </w:p>
    <w:p w14:paraId="0F5DB9EA" w14:textId="77777777" w:rsidR="00A5746D" w:rsidRPr="00855BA9" w:rsidRDefault="00A5746D" w:rsidP="00A5746D">
      <w:pPr>
        <w:spacing w:after="240"/>
        <w:jc w:val="center"/>
        <w:rPr>
          <w:rFonts w:ascii="Calibri" w:hAnsi="Calibri" w:cs="Calibri"/>
          <w:color w:val="000000" w:themeColor="text1"/>
        </w:rPr>
      </w:pPr>
      <w:r w:rsidRPr="00855BA9">
        <w:rPr>
          <w:rFonts w:ascii="Calibri" w:hAnsi="Calibri" w:cs="Calibri"/>
          <w:b/>
          <w:bCs/>
          <w:color w:val="000000" w:themeColor="text1"/>
          <w:sz w:val="52"/>
          <w:szCs w:val="52"/>
        </w:rPr>
        <w:t>ANALYSIS REPORT</w:t>
      </w:r>
    </w:p>
    <w:p w14:paraId="19B208B2" w14:textId="77777777" w:rsidR="00A5746D" w:rsidRPr="00855BA9" w:rsidRDefault="00A5746D" w:rsidP="00A5746D">
      <w:pPr>
        <w:rPr>
          <w:rFonts w:ascii="Calibri" w:hAnsi="Calibri" w:cs="Calibri"/>
          <w:color w:val="000000" w:themeColor="text1"/>
        </w:rPr>
      </w:pPr>
    </w:p>
    <w:p w14:paraId="5E046177" w14:textId="77777777" w:rsidR="00A5746D" w:rsidRPr="00855BA9" w:rsidRDefault="00A5746D" w:rsidP="00A5746D">
      <w:pPr>
        <w:spacing w:before="240" w:after="120"/>
        <w:jc w:val="center"/>
        <w:rPr>
          <w:rFonts w:ascii="Calibri" w:hAnsi="Calibri" w:cs="Calibri"/>
          <w:color w:val="000000" w:themeColor="text1"/>
        </w:rPr>
      </w:pPr>
      <w:r w:rsidRPr="00855BA9">
        <w:rPr>
          <w:rFonts w:ascii="Calibri" w:hAnsi="Calibri" w:cs="Calibri"/>
          <w:i/>
          <w:iCs/>
          <w:color w:val="000000" w:themeColor="text1"/>
          <w:sz w:val="30"/>
          <w:szCs w:val="30"/>
        </w:rPr>
        <w:t>Performance &amp; Risk Analysis</w:t>
      </w:r>
    </w:p>
    <w:p w14:paraId="691BF309" w14:textId="77777777" w:rsidR="00A5746D" w:rsidRPr="00855BA9" w:rsidRDefault="00A5746D" w:rsidP="00A5746D">
      <w:pPr>
        <w:spacing w:before="60" w:after="480"/>
        <w:jc w:val="center"/>
        <w:rPr>
          <w:rFonts w:ascii="Calibri" w:hAnsi="Calibri" w:cs="Calibri"/>
          <w:color w:val="000000" w:themeColor="text1"/>
        </w:rPr>
      </w:pPr>
      <w:r w:rsidRPr="00855BA9">
        <w:rPr>
          <w:rFonts w:ascii="Calibri" w:hAnsi="Calibri" w:cs="Calibri"/>
          <w:color w:val="000000" w:themeColor="text1"/>
          <w:sz w:val="24"/>
          <w:szCs w:val="24"/>
        </w:rPr>
        <w:t xml:space="preserve">June 2025 – May </w:t>
      </w:r>
      <w:proofErr w:type="gramStart"/>
      <w:r w:rsidRPr="00855BA9">
        <w:rPr>
          <w:rFonts w:ascii="Calibri" w:hAnsi="Calibri" w:cs="Calibri"/>
          <w:color w:val="000000" w:themeColor="text1"/>
          <w:sz w:val="24"/>
          <w:szCs w:val="24"/>
        </w:rPr>
        <w:t>2026  |</w:t>
      </w:r>
      <w:proofErr w:type="gramEnd"/>
      <w:r w:rsidRPr="00855BA9">
        <w:rPr>
          <w:rFonts w:ascii="Calibri" w:hAnsi="Calibri" w:cs="Calibri"/>
          <w:color w:val="000000" w:themeColor="text1"/>
          <w:sz w:val="24"/>
          <w:szCs w:val="24"/>
        </w:rPr>
        <w:t xml:space="preserve">  12-Month Review</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55BA9" w:rsidRPr="00855BA9" w14:paraId="4FCF4473" w14:textId="77777777" w:rsidTr="00855BA9">
        <w:tc>
          <w:tcPr>
            <w:tcW w:w="3120" w:type="dxa"/>
            <w:shd w:val="clear" w:color="auto" w:fill="auto"/>
            <w:tcMar>
              <w:top w:w="80" w:type="dxa"/>
              <w:left w:w="120" w:type="dxa"/>
              <w:bottom w:w="80" w:type="dxa"/>
              <w:right w:w="120" w:type="dxa"/>
            </w:tcMar>
            <w:vAlign w:val="center"/>
          </w:tcPr>
          <w:p w14:paraId="7047942E" w14:textId="0EE7CC9D"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4"/>
                <w:szCs w:val="24"/>
              </w:rPr>
              <w:t>Bitcoin (BTC)</w:t>
            </w:r>
          </w:p>
        </w:tc>
        <w:tc>
          <w:tcPr>
            <w:tcW w:w="3120" w:type="dxa"/>
            <w:shd w:val="clear" w:color="auto" w:fill="auto"/>
            <w:tcMar>
              <w:top w:w="80" w:type="dxa"/>
              <w:left w:w="120" w:type="dxa"/>
              <w:bottom w:w="80" w:type="dxa"/>
              <w:right w:w="120" w:type="dxa"/>
            </w:tcMar>
            <w:vAlign w:val="center"/>
          </w:tcPr>
          <w:p w14:paraId="050CA8D8" w14:textId="5F092F8E"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4"/>
                <w:szCs w:val="24"/>
              </w:rPr>
              <w:t xml:space="preserve"> Ethereum (ETH)</w:t>
            </w:r>
          </w:p>
        </w:tc>
        <w:tc>
          <w:tcPr>
            <w:tcW w:w="3120" w:type="dxa"/>
            <w:shd w:val="clear" w:color="auto" w:fill="auto"/>
            <w:tcMar>
              <w:top w:w="80" w:type="dxa"/>
              <w:left w:w="120" w:type="dxa"/>
              <w:bottom w:w="80" w:type="dxa"/>
              <w:right w:w="120" w:type="dxa"/>
            </w:tcMar>
            <w:vAlign w:val="center"/>
          </w:tcPr>
          <w:p w14:paraId="64768B1F" w14:textId="77777777" w:rsidR="00855BA9" w:rsidRPr="00855BA9" w:rsidRDefault="00855BA9" w:rsidP="00855BA9">
            <w:pPr>
              <w:rPr>
                <w:rFonts w:ascii="Calibri" w:hAnsi="Calibri" w:cs="Calibri"/>
                <w:b/>
                <w:bCs/>
                <w:color w:val="000000" w:themeColor="text1"/>
              </w:rPr>
            </w:pPr>
          </w:p>
          <w:p w14:paraId="6D7B2969" w14:textId="130C932B" w:rsidR="00A5746D" w:rsidRPr="00855BA9" w:rsidRDefault="00855BA9" w:rsidP="00855BA9">
            <w:pPr>
              <w:rPr>
                <w:rFonts w:ascii="Calibri" w:hAnsi="Calibri" w:cs="Calibri"/>
                <w:b/>
                <w:bCs/>
                <w:color w:val="000000" w:themeColor="text1"/>
              </w:rPr>
            </w:pPr>
            <w:r w:rsidRPr="00855BA9">
              <w:rPr>
                <w:rFonts w:ascii="Calibri" w:hAnsi="Calibri" w:cs="Calibri"/>
                <w:b/>
                <w:bCs/>
                <w:color w:val="000000" w:themeColor="text1"/>
              </w:rPr>
              <w:t>Solana (SOL)</w:t>
            </w:r>
          </w:p>
          <w:p w14:paraId="51B60AF5" w14:textId="5330151D" w:rsidR="00855BA9" w:rsidRPr="00855BA9" w:rsidRDefault="00855BA9" w:rsidP="00855BA9">
            <w:pPr>
              <w:rPr>
                <w:rFonts w:ascii="Calibri" w:hAnsi="Calibri" w:cs="Calibri"/>
                <w:b/>
                <w:bCs/>
                <w:color w:val="000000" w:themeColor="text1"/>
              </w:rPr>
            </w:pPr>
          </w:p>
        </w:tc>
      </w:tr>
    </w:tbl>
    <w:p w14:paraId="5CEB1C8B" w14:textId="77777777" w:rsidR="00855BA9" w:rsidRPr="00855BA9" w:rsidRDefault="00855BA9" w:rsidP="00855BA9">
      <w:pPr>
        <w:spacing w:before="240" w:after="60"/>
        <w:rPr>
          <w:rFonts w:ascii="Calibri" w:hAnsi="Calibri" w:cs="Calibri"/>
          <w:color w:val="000000" w:themeColor="text1"/>
        </w:rPr>
      </w:pPr>
    </w:p>
    <w:p w14:paraId="62D0A284" w14:textId="77777777" w:rsidR="00855BA9" w:rsidRPr="00855BA9" w:rsidRDefault="00855BA9" w:rsidP="00855BA9">
      <w:pPr>
        <w:spacing w:before="240" w:after="60"/>
        <w:rPr>
          <w:rFonts w:ascii="Calibri" w:hAnsi="Calibri" w:cs="Calibri"/>
          <w:color w:val="000000" w:themeColor="text1"/>
        </w:rPr>
      </w:pPr>
    </w:p>
    <w:p w14:paraId="4B43562C" w14:textId="77777777" w:rsidR="00855BA9" w:rsidRPr="00855BA9" w:rsidRDefault="00855BA9" w:rsidP="00855BA9">
      <w:pPr>
        <w:spacing w:before="240" w:after="60"/>
        <w:rPr>
          <w:rFonts w:ascii="Calibri" w:hAnsi="Calibri" w:cs="Calibri"/>
          <w:color w:val="000000" w:themeColor="text1"/>
        </w:rPr>
      </w:pPr>
    </w:p>
    <w:p w14:paraId="4F55E12E" w14:textId="77777777" w:rsidR="00855BA9" w:rsidRPr="00855BA9" w:rsidRDefault="00855BA9" w:rsidP="00855BA9">
      <w:pPr>
        <w:spacing w:before="240" w:after="60"/>
        <w:rPr>
          <w:rFonts w:ascii="Calibri" w:hAnsi="Calibri" w:cs="Calibri"/>
          <w:color w:val="000000" w:themeColor="text1"/>
        </w:rPr>
      </w:pPr>
    </w:p>
    <w:p w14:paraId="73AFF7FD" w14:textId="77777777" w:rsidR="00855BA9" w:rsidRPr="00855BA9" w:rsidRDefault="00855BA9" w:rsidP="00855BA9">
      <w:pPr>
        <w:spacing w:before="240" w:after="60"/>
        <w:rPr>
          <w:rFonts w:ascii="Calibri" w:hAnsi="Calibri" w:cs="Calibri"/>
          <w:color w:val="000000" w:themeColor="text1"/>
        </w:rPr>
      </w:pPr>
    </w:p>
    <w:p w14:paraId="13DE4F21" w14:textId="77777777" w:rsidR="00855BA9" w:rsidRPr="00855BA9" w:rsidRDefault="00855BA9" w:rsidP="00855BA9">
      <w:pPr>
        <w:spacing w:before="240" w:after="60"/>
        <w:rPr>
          <w:rFonts w:ascii="Calibri" w:hAnsi="Calibri" w:cs="Calibri"/>
          <w:color w:val="000000" w:themeColor="text1"/>
        </w:rPr>
      </w:pPr>
    </w:p>
    <w:p w14:paraId="3A4EFA1E" w14:textId="77777777" w:rsidR="00855BA9" w:rsidRPr="00855BA9" w:rsidRDefault="00855BA9" w:rsidP="00855BA9">
      <w:pPr>
        <w:spacing w:before="240" w:after="60"/>
        <w:rPr>
          <w:rFonts w:ascii="Calibri" w:hAnsi="Calibri" w:cs="Calibri"/>
          <w:color w:val="000000" w:themeColor="text1"/>
        </w:rPr>
      </w:pPr>
    </w:p>
    <w:p w14:paraId="202E856E" w14:textId="77777777" w:rsidR="00855BA9" w:rsidRPr="00855BA9" w:rsidRDefault="00855BA9" w:rsidP="00855BA9">
      <w:pPr>
        <w:spacing w:before="240" w:after="60"/>
        <w:rPr>
          <w:rFonts w:ascii="Calibri" w:hAnsi="Calibri" w:cs="Calibri"/>
          <w:color w:val="000000" w:themeColor="text1"/>
        </w:rPr>
      </w:pPr>
    </w:p>
    <w:p w14:paraId="22C501B7" w14:textId="77777777" w:rsidR="00855BA9" w:rsidRPr="00855BA9" w:rsidRDefault="00855BA9" w:rsidP="00855BA9">
      <w:pPr>
        <w:spacing w:before="240" w:after="60"/>
        <w:rPr>
          <w:rFonts w:ascii="Calibri" w:hAnsi="Calibri" w:cs="Calibri"/>
          <w:color w:val="000000" w:themeColor="text1"/>
        </w:rPr>
      </w:pPr>
    </w:p>
    <w:p w14:paraId="6F1F22C1" w14:textId="77777777" w:rsidR="00855BA9" w:rsidRPr="00855BA9" w:rsidRDefault="00855BA9" w:rsidP="00855BA9">
      <w:pPr>
        <w:spacing w:before="240" w:after="60"/>
        <w:rPr>
          <w:rFonts w:ascii="Calibri" w:hAnsi="Calibri" w:cs="Calibri"/>
          <w:color w:val="000000" w:themeColor="text1"/>
        </w:rPr>
      </w:pPr>
    </w:p>
    <w:p w14:paraId="492A02BA" w14:textId="77777777" w:rsidR="00855BA9" w:rsidRPr="00855BA9" w:rsidRDefault="00855BA9" w:rsidP="00855BA9">
      <w:pPr>
        <w:spacing w:before="240" w:after="60"/>
        <w:rPr>
          <w:rFonts w:ascii="Calibri" w:hAnsi="Calibri" w:cs="Calibri"/>
          <w:color w:val="000000" w:themeColor="text1"/>
        </w:rPr>
      </w:pPr>
    </w:p>
    <w:p w14:paraId="54079978" w14:textId="78BCC2BD" w:rsidR="00A5746D" w:rsidRPr="00855BA9" w:rsidRDefault="00855BA9" w:rsidP="00855BA9">
      <w:pPr>
        <w:spacing w:before="240" w:after="60"/>
        <w:rPr>
          <w:rFonts w:ascii="Calibri" w:hAnsi="Calibri" w:cs="Calibri"/>
          <w:color w:val="000000" w:themeColor="text1"/>
        </w:rPr>
      </w:pPr>
      <w:r w:rsidRPr="00855BA9">
        <w:rPr>
          <w:rFonts w:ascii="Calibri" w:hAnsi="Calibri" w:cs="Calibri"/>
          <w:color w:val="000000" w:themeColor="text1"/>
        </w:rPr>
        <w:t xml:space="preserve">                                                                 </w:t>
      </w:r>
      <w:r w:rsidR="00A5746D" w:rsidRPr="00855BA9">
        <w:rPr>
          <w:rFonts w:ascii="Calibri" w:hAnsi="Calibri" w:cs="Calibri"/>
          <w:color w:val="000000" w:themeColor="text1"/>
        </w:rPr>
        <w:t>Prepared: June 2025</w:t>
      </w:r>
    </w:p>
    <w:p w14:paraId="42976CC1" w14:textId="77777777" w:rsidR="00A5746D" w:rsidRPr="00855BA9" w:rsidRDefault="00A5746D" w:rsidP="00A5746D">
      <w:pPr>
        <w:jc w:val="center"/>
        <w:rPr>
          <w:rFonts w:ascii="Calibri" w:hAnsi="Calibri" w:cs="Calibri"/>
          <w:color w:val="000000" w:themeColor="text1"/>
        </w:rPr>
      </w:pPr>
      <w:r w:rsidRPr="00855BA9">
        <w:rPr>
          <w:rFonts w:ascii="Calibri" w:hAnsi="Calibri" w:cs="Calibri"/>
          <w:i/>
          <w:iCs/>
          <w:color w:val="000000" w:themeColor="text1"/>
          <w:sz w:val="20"/>
          <w:szCs w:val="20"/>
        </w:rPr>
        <w:t xml:space="preserve">Data Sources: </w:t>
      </w:r>
      <w:proofErr w:type="spellStart"/>
      <w:r w:rsidRPr="00855BA9">
        <w:rPr>
          <w:rFonts w:ascii="Calibri" w:hAnsi="Calibri" w:cs="Calibri"/>
          <w:i/>
          <w:iCs/>
          <w:color w:val="000000" w:themeColor="text1"/>
          <w:sz w:val="20"/>
          <w:szCs w:val="20"/>
        </w:rPr>
        <w:t>CoinMarketCap</w:t>
      </w:r>
      <w:proofErr w:type="spellEnd"/>
      <w:r w:rsidRPr="00855BA9">
        <w:rPr>
          <w:rFonts w:ascii="Calibri" w:hAnsi="Calibri" w:cs="Calibri"/>
          <w:i/>
          <w:iCs/>
          <w:color w:val="000000" w:themeColor="text1"/>
          <w:sz w:val="20"/>
          <w:szCs w:val="20"/>
        </w:rPr>
        <w:t xml:space="preserve"> · </w:t>
      </w:r>
      <w:proofErr w:type="spellStart"/>
      <w:r w:rsidRPr="00855BA9">
        <w:rPr>
          <w:rFonts w:ascii="Calibri" w:hAnsi="Calibri" w:cs="Calibri"/>
          <w:i/>
          <w:iCs/>
          <w:color w:val="000000" w:themeColor="text1"/>
          <w:sz w:val="20"/>
          <w:szCs w:val="20"/>
        </w:rPr>
        <w:t>CoinGecko</w:t>
      </w:r>
      <w:proofErr w:type="spellEnd"/>
      <w:r w:rsidRPr="00855BA9">
        <w:rPr>
          <w:rFonts w:ascii="Calibri" w:hAnsi="Calibri" w:cs="Calibri"/>
          <w:i/>
          <w:iCs/>
          <w:color w:val="000000" w:themeColor="text1"/>
          <w:sz w:val="20"/>
          <w:szCs w:val="20"/>
        </w:rPr>
        <w:t xml:space="preserve"> · </w:t>
      </w:r>
      <w:proofErr w:type="spellStart"/>
      <w:r w:rsidRPr="00855BA9">
        <w:rPr>
          <w:rFonts w:ascii="Calibri" w:hAnsi="Calibri" w:cs="Calibri"/>
          <w:i/>
          <w:iCs/>
          <w:color w:val="000000" w:themeColor="text1"/>
          <w:sz w:val="20"/>
          <w:szCs w:val="20"/>
        </w:rPr>
        <w:t>TradingView</w:t>
      </w:r>
      <w:proofErr w:type="spellEnd"/>
    </w:p>
    <w:p w14:paraId="463411FD" w14:textId="77777777" w:rsidR="00A5746D" w:rsidRPr="00855BA9" w:rsidRDefault="00A5746D" w:rsidP="00A5746D">
      <w:pPr>
        <w:rPr>
          <w:rFonts w:ascii="Calibri" w:hAnsi="Calibri" w:cs="Calibri"/>
          <w:color w:val="000000" w:themeColor="text1"/>
        </w:rPr>
      </w:pPr>
      <w:r w:rsidRPr="00855BA9">
        <w:rPr>
          <w:rFonts w:ascii="Calibri" w:hAnsi="Calibri" w:cs="Calibri"/>
          <w:color w:val="000000" w:themeColor="text1"/>
        </w:rPr>
        <w:br w:type="page"/>
      </w:r>
    </w:p>
    <w:p w14:paraId="56A2E3A3" w14:textId="77777777" w:rsidR="00A5746D" w:rsidRPr="00855BA9" w:rsidRDefault="00A5746D" w:rsidP="00A5746D">
      <w:pPr>
        <w:pStyle w:val="Heading1"/>
        <w:rPr>
          <w:rFonts w:ascii="Calibri" w:hAnsi="Calibri" w:cs="Calibri"/>
          <w:color w:val="000000" w:themeColor="text1"/>
        </w:rPr>
      </w:pPr>
      <w:r w:rsidRPr="00855BA9">
        <w:rPr>
          <w:rFonts w:ascii="Calibri" w:eastAsia="Arial" w:hAnsi="Calibri" w:cs="Calibri"/>
          <w:b/>
          <w:bCs/>
          <w:color w:val="000000" w:themeColor="text1"/>
          <w:sz w:val="36"/>
          <w:szCs w:val="36"/>
        </w:rPr>
        <w:lastRenderedPageBreak/>
        <w:t>1. Executive Summary</w:t>
      </w:r>
    </w:p>
    <w:p w14:paraId="4203BE0E" w14:textId="55A59788"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This report analyses the performance and risk profile of a three-asset cryptocurrency portfolio comprising Bitcoin (BTC), Ethereum (ETH), and Solana (SOL) over the twelve-month period from June 2025 to May 2026. The analysis covers price performance, monthly returns, volatility, and risk-adjusted returns (Sharpe Ratio), concluding with portfolio-level insights and forward-looking recommendations.</w:t>
      </w:r>
    </w:p>
    <w:p w14:paraId="249EF0C3" w14:textId="77777777" w:rsidR="00A5746D" w:rsidRPr="00855BA9" w:rsidRDefault="00A5746D" w:rsidP="00A5746D">
      <w:pPr>
        <w:spacing w:before="80" w:after="80"/>
        <w:rPr>
          <w:rFonts w:ascii="Calibri" w:hAnsi="Calibri" w:cs="Calibri"/>
          <w:color w:val="000000" w:themeColor="text1"/>
        </w:rPr>
      </w:pPr>
    </w:p>
    <w:p w14:paraId="00871BDF" w14:textId="77777777" w:rsidR="00A5746D" w:rsidRPr="00855BA9" w:rsidRDefault="00A5746D" w:rsidP="00A5746D">
      <w:pPr>
        <w:pStyle w:val="Heading2"/>
        <w:rPr>
          <w:rFonts w:ascii="Calibri" w:hAnsi="Calibri" w:cs="Calibri"/>
          <w:color w:val="000000" w:themeColor="text1"/>
        </w:rPr>
      </w:pPr>
      <w:r w:rsidRPr="00855BA9">
        <w:rPr>
          <w:rFonts w:ascii="Calibri" w:eastAsia="Arial" w:hAnsi="Calibri" w:cs="Calibri"/>
          <w:b/>
          <w:bCs/>
          <w:color w:val="000000" w:themeColor="text1"/>
          <w:sz w:val="28"/>
          <w:szCs w:val="28"/>
        </w:rPr>
        <w:t>Key Findings</w:t>
      </w:r>
    </w:p>
    <w:p w14:paraId="5A44E1DF"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All three assets experienced net price declines over the full 12-month window, with SOL posting the steepest drop (-46.67%), followed by BTC (-31.50%) and ETH (-19.04%).</w:t>
      </w:r>
    </w:p>
    <w:p w14:paraId="1F9A1A22"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Despite negative total returns, all coins recorded significant intra-period gains, reflecting high volatility and sharp mid-period bull runs.</w:t>
      </w:r>
    </w:p>
    <w:p w14:paraId="75E93B6D"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BTC peaked near $114,048 (Feb 2025) while SOL hit $208 and ETH reached $4,391 during the same period.</w:t>
      </w:r>
    </w:p>
    <w:p w14:paraId="0F99C3D4"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SOL delivered the highest Sharpe Ratio (0.42), suggesting the best risk-adjusted return profile among the three assets.</w:t>
      </w:r>
    </w:p>
    <w:p w14:paraId="18FA5FFA"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ETH showed the weakest risk-adjusted return (Sharpe: 0.18) with the highest per-unit volatility.</w:t>
      </w:r>
    </w:p>
    <w:p w14:paraId="5840C9FE" w14:textId="77777777" w:rsidR="00A5746D" w:rsidRPr="00855BA9" w:rsidRDefault="00A5746D" w:rsidP="00A5746D">
      <w:pPr>
        <w:spacing w:before="80"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5BA9" w:rsidRPr="00855BA9" w14:paraId="77264DAD"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891FCC0" w14:textId="77777777" w:rsidR="00A5746D" w:rsidRPr="00906C5C" w:rsidRDefault="00A5746D" w:rsidP="00212355">
            <w:pPr>
              <w:jc w:val="center"/>
              <w:rPr>
                <w:rFonts w:ascii="Calibri" w:hAnsi="Calibri" w:cs="Calibri"/>
                <w:color w:val="000000" w:themeColor="text1"/>
              </w:rPr>
            </w:pPr>
            <w:r w:rsidRPr="00906C5C">
              <w:rPr>
                <w:rFonts w:ascii="Calibri" w:hAnsi="Calibri" w:cs="Calibri"/>
                <w:b/>
                <w:bCs/>
                <w:color w:val="000000" w:themeColor="text1"/>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39A25A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BA3FBBE"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CFD941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w:t>
            </w:r>
          </w:p>
        </w:tc>
      </w:tr>
      <w:tr w:rsidR="00855BA9" w:rsidRPr="00855BA9" w14:paraId="6A00D2A7"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37EEF92" w14:textId="77777777"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Start Price</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7B9622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$73,417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DF60DE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$2,013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3817F64"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$82.58</w:t>
            </w:r>
          </w:p>
        </w:tc>
      </w:tr>
      <w:tr w:rsidR="00855BA9" w:rsidRPr="00855BA9" w14:paraId="2025DFFB" w14:textId="77777777" w:rsidTr="00906C5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E3AC4" w14:textId="77777777"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End Price</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D4152D6"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$107,171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3A937"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$2,487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4F9C25"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$154.84</w:t>
            </w:r>
          </w:p>
        </w:tc>
      </w:tr>
      <w:tr w:rsidR="00855BA9" w:rsidRPr="00855BA9" w14:paraId="79E70A78"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80E5DED" w14:textId="77777777"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12-Month Return</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A36315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-31.50%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C1024E2"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-19.04%</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263CE1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-46.67%</w:t>
            </w:r>
          </w:p>
        </w:tc>
      </w:tr>
      <w:tr w:rsidR="00855BA9" w:rsidRPr="00855BA9" w14:paraId="68C1AED4" w14:textId="77777777" w:rsidTr="00906C5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899901" w14:textId="77777777"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Peak Price</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CBF7522"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$115,765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D74E9"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$4,391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B0D81"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$208.66</w:t>
            </w:r>
          </w:p>
        </w:tc>
      </w:tr>
      <w:tr w:rsidR="00855BA9" w:rsidRPr="00855BA9" w14:paraId="40CB37AF"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95CF838" w14:textId="77777777"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Avg Volatility</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EAB75A7"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9.84%</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2CD646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19.46%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C92A4DB"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14.95%</w:t>
            </w:r>
          </w:p>
        </w:tc>
      </w:tr>
      <w:tr w:rsidR="00855BA9" w:rsidRPr="00855BA9" w14:paraId="6B25E95A" w14:textId="77777777" w:rsidTr="00906C5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4020D" w14:textId="77777777"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Sharpe Ratio</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36F7F8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0.376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BE024"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0.184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2A237"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0.422</w:t>
            </w:r>
          </w:p>
        </w:tc>
      </w:tr>
    </w:tbl>
    <w:p w14:paraId="28760594" w14:textId="77777777" w:rsidR="00A5746D" w:rsidRPr="00855BA9" w:rsidRDefault="00A5746D" w:rsidP="00A5746D">
      <w:pPr>
        <w:rPr>
          <w:rFonts w:ascii="Calibri" w:hAnsi="Calibri" w:cs="Calibri"/>
          <w:color w:val="000000" w:themeColor="text1"/>
        </w:rPr>
      </w:pPr>
      <w:r w:rsidRPr="00855BA9">
        <w:rPr>
          <w:rFonts w:ascii="Calibri" w:hAnsi="Calibri" w:cs="Calibri"/>
          <w:color w:val="000000" w:themeColor="text1"/>
        </w:rPr>
        <w:br w:type="page"/>
      </w:r>
    </w:p>
    <w:p w14:paraId="52C0B730" w14:textId="77777777" w:rsidR="00A5746D" w:rsidRPr="00855BA9" w:rsidRDefault="00A5746D" w:rsidP="00A5746D">
      <w:pPr>
        <w:pStyle w:val="Heading1"/>
        <w:rPr>
          <w:rFonts w:ascii="Calibri" w:hAnsi="Calibri" w:cs="Calibri"/>
          <w:color w:val="000000" w:themeColor="text1"/>
        </w:rPr>
      </w:pPr>
      <w:r w:rsidRPr="00855BA9">
        <w:rPr>
          <w:rFonts w:ascii="Calibri" w:eastAsia="Arial" w:hAnsi="Calibri" w:cs="Calibri"/>
          <w:b/>
          <w:bCs/>
          <w:color w:val="000000" w:themeColor="text1"/>
          <w:sz w:val="36"/>
          <w:szCs w:val="36"/>
        </w:rPr>
        <w:lastRenderedPageBreak/>
        <w:t>2. Market Overview</w:t>
      </w:r>
    </w:p>
    <w:p w14:paraId="46407DA9"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2.1  Bitcoin</w:t>
      </w:r>
      <w:proofErr w:type="gramEnd"/>
      <w:r w:rsidRPr="00855BA9">
        <w:rPr>
          <w:rFonts w:ascii="Calibri" w:eastAsia="Arial" w:hAnsi="Calibri" w:cs="Calibri"/>
          <w:b/>
          <w:bCs/>
          <w:color w:val="000000" w:themeColor="text1"/>
          <w:sz w:val="28"/>
          <w:szCs w:val="28"/>
        </w:rPr>
        <w:t xml:space="preserve"> (BTC)</w:t>
      </w:r>
    </w:p>
    <w:p w14:paraId="33219257"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 xml:space="preserve">Bitcoin is the world's first and largest cryptocurrency by market </w:t>
      </w:r>
      <w:proofErr w:type="spellStart"/>
      <w:r w:rsidRPr="00855BA9">
        <w:rPr>
          <w:rFonts w:ascii="Calibri" w:hAnsi="Calibri" w:cs="Calibri"/>
          <w:color w:val="000000" w:themeColor="text1"/>
        </w:rPr>
        <w:t>capitalisation</w:t>
      </w:r>
      <w:proofErr w:type="spellEnd"/>
      <w:r w:rsidRPr="00855BA9">
        <w:rPr>
          <w:rFonts w:ascii="Calibri" w:hAnsi="Calibri" w:cs="Calibri"/>
          <w:color w:val="000000" w:themeColor="text1"/>
        </w:rPr>
        <w:t>. As a store-of-value asset often described as "digital gold," BTC serves as the benchmark for the broader crypto market. Over the review period, BTC benefited from the April 2024 halving event (which reduced block rewards from 6.25 to 3.125 BTC), growing institutional adoption, and the launch of spot Bitcoin ETFs in the United States — factors that drove prices to all-time highs above $114,000 in early 2025 before a significant correction.</w:t>
      </w:r>
    </w:p>
    <w:p w14:paraId="29F7D432" w14:textId="77777777" w:rsidR="00A5746D" w:rsidRPr="00855BA9" w:rsidRDefault="00A5746D" w:rsidP="00A5746D">
      <w:pPr>
        <w:spacing w:before="80" w:after="80"/>
        <w:rPr>
          <w:rFonts w:ascii="Calibri" w:hAnsi="Calibri" w:cs="Calibri"/>
          <w:color w:val="000000" w:themeColor="text1"/>
        </w:rPr>
      </w:pPr>
    </w:p>
    <w:p w14:paraId="23944BAC"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2.2  Ethereum</w:t>
      </w:r>
      <w:proofErr w:type="gramEnd"/>
      <w:r w:rsidRPr="00855BA9">
        <w:rPr>
          <w:rFonts w:ascii="Calibri" w:eastAsia="Arial" w:hAnsi="Calibri" w:cs="Calibri"/>
          <w:b/>
          <w:bCs/>
          <w:color w:val="000000" w:themeColor="text1"/>
          <w:sz w:val="28"/>
          <w:szCs w:val="28"/>
        </w:rPr>
        <w:t xml:space="preserve"> (ETH)</w:t>
      </w:r>
    </w:p>
    <w:p w14:paraId="0B27C03B"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 xml:space="preserve">Ethereum is the leading smart-contract platform powering </w:t>
      </w:r>
      <w:proofErr w:type="spellStart"/>
      <w:r w:rsidRPr="00855BA9">
        <w:rPr>
          <w:rFonts w:ascii="Calibri" w:hAnsi="Calibri" w:cs="Calibri"/>
          <w:color w:val="000000" w:themeColor="text1"/>
        </w:rPr>
        <w:t>decentralised</w:t>
      </w:r>
      <w:proofErr w:type="spellEnd"/>
      <w:r w:rsidRPr="00855BA9">
        <w:rPr>
          <w:rFonts w:ascii="Calibri" w:hAnsi="Calibri" w:cs="Calibri"/>
          <w:color w:val="000000" w:themeColor="text1"/>
        </w:rPr>
        <w:t xml:space="preserve"> finance (DeFi), NFTs, and Web3 applications. ETH experienced strong momentum during the mid-period bull run, reaching above $4,391, buoyed by continued network upgrades and increasing on-chain activity. However, growing competition from layer-2 solutions and alternative chains contributed to ETH's relative underperformance compared to BTC and SOL on a risk-adjusted basis.</w:t>
      </w:r>
    </w:p>
    <w:p w14:paraId="0F065A7F" w14:textId="77777777" w:rsidR="00A5746D" w:rsidRPr="00855BA9" w:rsidRDefault="00A5746D" w:rsidP="00A5746D">
      <w:pPr>
        <w:spacing w:before="80" w:after="80"/>
        <w:rPr>
          <w:rFonts w:ascii="Calibri" w:hAnsi="Calibri" w:cs="Calibri"/>
          <w:color w:val="000000" w:themeColor="text1"/>
        </w:rPr>
      </w:pPr>
    </w:p>
    <w:p w14:paraId="01CA836C"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2.3  Solana</w:t>
      </w:r>
      <w:proofErr w:type="gramEnd"/>
      <w:r w:rsidRPr="00855BA9">
        <w:rPr>
          <w:rFonts w:ascii="Calibri" w:eastAsia="Arial" w:hAnsi="Calibri" w:cs="Calibri"/>
          <w:b/>
          <w:bCs/>
          <w:color w:val="000000" w:themeColor="text1"/>
          <w:sz w:val="28"/>
          <w:szCs w:val="28"/>
        </w:rPr>
        <w:t xml:space="preserve"> (SOL)</w:t>
      </w:r>
    </w:p>
    <w:p w14:paraId="51206C13"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Solana is a high-throughput blockchain known for fast, low-cost transactions. SOL was the most volatile asset in this portfolio, posting the highest single-month gain (+40.25% in Jan 2025) but also experiencing the steepest overall decline (-46.67%). SOL's price trajectory reflected both explosive speculative demand during the bull phase and sharp profit-taking during the correction.</w:t>
      </w:r>
    </w:p>
    <w:p w14:paraId="63DEE454" w14:textId="77777777" w:rsidR="00A5746D" w:rsidRPr="00855BA9" w:rsidRDefault="00A5746D" w:rsidP="00A5746D">
      <w:pPr>
        <w:spacing w:before="80" w:after="80"/>
        <w:rPr>
          <w:rFonts w:ascii="Calibri" w:hAnsi="Calibri" w:cs="Calibri"/>
          <w:color w:val="000000" w:themeColor="text1"/>
        </w:rPr>
      </w:pPr>
    </w:p>
    <w:p w14:paraId="78EA49AC"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2.4  Macro</w:t>
      </w:r>
      <w:proofErr w:type="gramEnd"/>
      <w:r w:rsidRPr="00855BA9">
        <w:rPr>
          <w:rFonts w:ascii="Calibri" w:eastAsia="Arial" w:hAnsi="Calibri" w:cs="Calibri"/>
          <w:b/>
          <w:bCs/>
          <w:color w:val="000000" w:themeColor="text1"/>
          <w:sz w:val="28"/>
          <w:szCs w:val="28"/>
        </w:rPr>
        <w:t xml:space="preserve"> Context</w:t>
      </w:r>
    </w:p>
    <w:p w14:paraId="4F193F8C"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 xml:space="preserve">The 12-month period was shaped by several macro tailwinds and headwinds: the Bitcoin halving in April 2024 historically drives bull cycles 6–18 months out; spot BTC ETF approvals boosted institutional flows; global interest rate expectations evolved with central banks </w:t>
      </w:r>
      <w:proofErr w:type="spellStart"/>
      <w:r w:rsidRPr="00855BA9">
        <w:rPr>
          <w:rFonts w:ascii="Calibri" w:hAnsi="Calibri" w:cs="Calibri"/>
          <w:color w:val="000000" w:themeColor="text1"/>
        </w:rPr>
        <w:t>signalling</w:t>
      </w:r>
      <w:proofErr w:type="spellEnd"/>
      <w:r w:rsidRPr="00855BA9">
        <w:rPr>
          <w:rFonts w:ascii="Calibri" w:hAnsi="Calibri" w:cs="Calibri"/>
          <w:color w:val="000000" w:themeColor="text1"/>
        </w:rPr>
        <w:t xml:space="preserve"> potential cuts; and regulatory clarity in key markets (US, EU) improved sentiment. The period ended with a market-wide correction from highs set in late 2024 and early 2025.</w:t>
      </w:r>
    </w:p>
    <w:p w14:paraId="16A7C5A3" w14:textId="77777777" w:rsidR="00A5746D" w:rsidRPr="00855BA9" w:rsidRDefault="00A5746D" w:rsidP="00A5746D">
      <w:pPr>
        <w:rPr>
          <w:rFonts w:ascii="Calibri" w:hAnsi="Calibri" w:cs="Calibri"/>
          <w:color w:val="000000" w:themeColor="text1"/>
        </w:rPr>
      </w:pPr>
      <w:r w:rsidRPr="00855BA9">
        <w:rPr>
          <w:rFonts w:ascii="Calibri" w:hAnsi="Calibri" w:cs="Calibri"/>
          <w:color w:val="000000" w:themeColor="text1"/>
        </w:rPr>
        <w:br w:type="page"/>
      </w:r>
    </w:p>
    <w:p w14:paraId="3D55C7A5" w14:textId="77777777" w:rsidR="00A5746D" w:rsidRPr="00855BA9" w:rsidRDefault="00A5746D" w:rsidP="00A5746D">
      <w:pPr>
        <w:pStyle w:val="Heading1"/>
        <w:rPr>
          <w:rFonts w:ascii="Calibri" w:hAnsi="Calibri" w:cs="Calibri"/>
          <w:color w:val="000000" w:themeColor="text1"/>
        </w:rPr>
      </w:pPr>
      <w:r w:rsidRPr="00855BA9">
        <w:rPr>
          <w:rFonts w:ascii="Calibri" w:eastAsia="Arial" w:hAnsi="Calibri" w:cs="Calibri"/>
          <w:b/>
          <w:bCs/>
          <w:color w:val="000000" w:themeColor="text1"/>
          <w:sz w:val="36"/>
          <w:szCs w:val="36"/>
        </w:rPr>
        <w:lastRenderedPageBreak/>
        <w:t>3. Performance Analysis</w:t>
      </w:r>
    </w:p>
    <w:p w14:paraId="1ED8DF15"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The table below presents monthly closing prices and month-on-month returns for each asset across the 12-month review period. Green values denote positive monthly returns; red values denote negative returns.</w:t>
      </w:r>
    </w:p>
    <w:p w14:paraId="00F2EFD1" w14:textId="77777777" w:rsidR="00A5746D" w:rsidRPr="00855BA9" w:rsidRDefault="00A5746D" w:rsidP="00A5746D">
      <w:pPr>
        <w:spacing w:before="80"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479"/>
        <w:gridCol w:w="1329"/>
        <w:gridCol w:w="1370"/>
        <w:gridCol w:w="1329"/>
        <w:gridCol w:w="1296"/>
        <w:gridCol w:w="1329"/>
      </w:tblGrid>
      <w:tr w:rsidR="00855BA9" w:rsidRPr="00855BA9" w14:paraId="3C1051C7" w14:textId="77777777" w:rsidTr="00855BA9">
        <w:tc>
          <w:tcPr>
            <w:tcW w:w="1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2E6C779" w14:textId="77777777"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Month</w:t>
            </w:r>
          </w:p>
        </w:tc>
        <w:tc>
          <w:tcPr>
            <w:tcW w:w="12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A7F165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 Price</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88810F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 Ret.</w:t>
            </w:r>
          </w:p>
        </w:tc>
        <w:tc>
          <w:tcPr>
            <w:tcW w:w="12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6FF44F9"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 Price</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A05C04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 Ret.</w:t>
            </w:r>
          </w:p>
        </w:tc>
        <w:tc>
          <w:tcPr>
            <w:tcW w:w="12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9AD2F2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 Price</w:t>
            </w:r>
          </w:p>
        </w:tc>
        <w:tc>
          <w:tcPr>
            <w:tcW w:w="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3F65464"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 Ret.</w:t>
            </w:r>
          </w:p>
        </w:tc>
      </w:tr>
      <w:tr w:rsidR="00855BA9" w:rsidRPr="00855BA9" w14:paraId="65B64F1D"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91E03C7" w14:textId="3C1AA883"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May 2026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F83C3E1"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$73,417.2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CFE7FBB"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A76FF7A"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$2013.02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233BD4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5F1B526"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$82.58</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4BF308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w:t>
            </w:r>
          </w:p>
        </w:tc>
      </w:tr>
      <w:tr w:rsidR="00855BA9" w:rsidRPr="00855BA9" w14:paraId="0F6E20D2" w14:textId="77777777" w:rsidTr="00855BA9">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5E6E0" w14:textId="7F166526"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Apr 2026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376E2F5"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$76,316.6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2EDCB0F"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+3.95%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793FA8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$2257.19</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2FF057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+12.13%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C810902"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$83.06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D4371B6"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+0.59%</w:t>
            </w:r>
          </w:p>
        </w:tc>
      </w:tr>
      <w:tr w:rsidR="00855BA9" w:rsidRPr="00855BA9" w14:paraId="79A76E42"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EEDD9A1" w14:textId="002F7455"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Mar 2026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5C2B7F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$68,268.3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A17C38A"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-10.55%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CB54BF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$2105.31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22F28F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-6.73%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643E326"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$83.17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56E0AF6"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+0.13%</w:t>
            </w:r>
          </w:p>
        </w:tc>
      </w:tr>
      <w:tr w:rsidR="00855BA9" w:rsidRPr="00855BA9" w14:paraId="4B0B73F9" w14:textId="77777777" w:rsidTr="00855BA9">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DD396" w14:textId="7D1C2F8E"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Feb 2026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9EAF3D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$66,995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5994A7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-1.87%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4CB468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$1964.99</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55E37F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-6.67%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A969132"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$84.34</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D4CEC2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+1.41%</w:t>
            </w:r>
          </w:p>
        </w:tc>
      </w:tr>
      <w:tr w:rsidR="00855BA9" w:rsidRPr="00855BA9" w14:paraId="75B6B14B"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16CE3F6" w14:textId="449B7D7E"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Jan 2026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972194E"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$78,726.5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9417D02"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+17.51%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0658DFD"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$2449.82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305221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+24.67%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6F8A317"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$105.51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B959D0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+25.10%</w:t>
            </w:r>
          </w:p>
        </w:tc>
      </w:tr>
      <w:tr w:rsidR="00855BA9" w:rsidRPr="00855BA9" w14:paraId="56A6DD7C" w14:textId="77777777" w:rsidTr="00855BA9">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C8593" w14:textId="6912CDEF"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Dec 2025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75D5801"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$87,612.7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3060518"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+11.29%</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8FE1E52"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$2971.69</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7DDF6E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+21.30%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955AE7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$124.59</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71408EA"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+18.08%</w:t>
            </w:r>
          </w:p>
        </w:tc>
      </w:tr>
      <w:tr w:rsidR="00855BA9" w:rsidRPr="00855BA9" w14:paraId="11E49B1D"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A8BCE37" w14:textId="0E9E23B6"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Nov 2025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072EA99"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$90,374.2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39EC886"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+3.15%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D7F8775"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$2991.73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07C77F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+0.67%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213C847"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$133.47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BF71B7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+7.13%</w:t>
            </w:r>
          </w:p>
        </w:tc>
      </w:tr>
      <w:tr w:rsidR="00855BA9" w:rsidRPr="00855BA9" w14:paraId="17761B7E" w14:textId="77777777" w:rsidTr="00855BA9">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F71F1" w14:textId="4B334929"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Oct 2025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362EC2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$109,602.8</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50BCBC6"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+21.28%</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09538C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$3848.00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7B01FEF"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+28.62%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AC5CE0B"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$187.19</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17E5B0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+40.25%</w:t>
            </w:r>
          </w:p>
        </w:tc>
      </w:tr>
      <w:tr w:rsidR="00855BA9" w:rsidRPr="00855BA9" w14:paraId="4E65EF43"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9097A6E" w14:textId="7BFF74FB"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Sep 2025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BAA96A4"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$114,048.5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A61F2C4"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+4.06%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AAAECF1"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$4144.60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A50CC0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+7.71%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8B08A74"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$208.66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7BC506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+11.47%</w:t>
            </w:r>
          </w:p>
        </w:tc>
      </w:tr>
      <w:tr w:rsidR="00855BA9" w:rsidRPr="00855BA9" w14:paraId="3EDA84E5" w14:textId="77777777" w:rsidTr="00855BA9">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8C7BD" w14:textId="6A85AC58"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Aug 2025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B3374C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$108,226.8</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014BFD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-5.10%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70FFC76"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$4391.11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B55098A"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+5.95%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85BF656"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$200.68</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B05F6D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-3.83%</w:t>
            </w:r>
          </w:p>
        </w:tc>
      </w:tr>
      <w:tr w:rsidR="00855BA9" w:rsidRPr="00855BA9" w14:paraId="4B466FD5" w14:textId="77777777" w:rsidTr="00463E47">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0291E48" w14:textId="0CA4BFBE"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Jul 2025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47B88E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$115,765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23EAF4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+6.97%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9D5F4BB"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$3698.46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01A728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-15.77%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1A8F25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$172.23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9660E7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-14.18%</w:t>
            </w:r>
          </w:p>
        </w:tc>
      </w:tr>
      <w:tr w:rsidR="00855BA9" w:rsidRPr="00855BA9" w14:paraId="3E0F4267" w14:textId="77777777" w:rsidTr="00855BA9">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D0E7A" w14:textId="49AA1FFA"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Jun 2025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9613ED5"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$107,171.1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2B4230E"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-7.42%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3B1BA57"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$2486.52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4463E99"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-32.77%</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5DC46C1"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$154.84</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E93256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-10.10%</w:t>
            </w:r>
          </w:p>
        </w:tc>
      </w:tr>
    </w:tbl>
    <w:p w14:paraId="6A733CA9" w14:textId="77777777" w:rsidR="00A5746D" w:rsidRPr="00855BA9" w:rsidRDefault="00A5746D" w:rsidP="00A5746D">
      <w:pPr>
        <w:spacing w:before="80" w:after="80"/>
        <w:rPr>
          <w:rFonts w:ascii="Calibri" w:hAnsi="Calibri" w:cs="Calibri"/>
          <w:color w:val="000000" w:themeColor="text1"/>
        </w:rPr>
      </w:pPr>
    </w:p>
    <w:p w14:paraId="61EB1807"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3.1  Performance</w:t>
      </w:r>
      <w:proofErr w:type="gramEnd"/>
      <w:r w:rsidRPr="00855BA9">
        <w:rPr>
          <w:rFonts w:ascii="Calibri" w:eastAsia="Arial" w:hAnsi="Calibri" w:cs="Calibri"/>
          <w:b/>
          <w:bCs/>
          <w:color w:val="000000" w:themeColor="text1"/>
          <w:sz w:val="28"/>
          <w:szCs w:val="28"/>
        </w:rPr>
        <w:t xml:space="preserve"> Highlights</w:t>
      </w:r>
    </w:p>
    <w:p w14:paraId="1305AF52" w14:textId="56DD853C"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BTC Best Month: October 2025 (+21.28%) — driven by ETF momentum and halving cycle dynamics.</w:t>
      </w:r>
    </w:p>
    <w:p w14:paraId="5C238A0B" w14:textId="0C5EAE95"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ETH Best Month: October 2025 (+28.62%) — broad altcoin bull run alongside BTC.</w:t>
      </w:r>
    </w:p>
    <w:p w14:paraId="5A73BD1C" w14:textId="41D61BED"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SOL Best Month: October 2025 (+40.25%) — highest single-month return in the portfolio.</w:t>
      </w:r>
    </w:p>
    <w:p w14:paraId="252AB157" w14:textId="03DC281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BTC Worst Month: February 2026 (-10.55%) — post-rally consolidation and macro uncertainty.</w:t>
      </w:r>
    </w:p>
    <w:p w14:paraId="71E22C19" w14:textId="1F22DDF6"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ETH Worst Month: March 2026 (-32.77%) — sharp risk-off correction; ETH underperformed peers.</w:t>
      </w:r>
    </w:p>
    <w:p w14:paraId="0CC29E97" w14:textId="0124B929"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SOL Worst Month: August 2025 (-14.18%) — continued correction from elevated Jan–Feb highs.</w:t>
      </w:r>
    </w:p>
    <w:p w14:paraId="214AC2BA" w14:textId="77777777" w:rsidR="00A5746D" w:rsidRPr="00855BA9" w:rsidRDefault="00A5746D" w:rsidP="00A5746D">
      <w:pPr>
        <w:spacing w:before="80" w:after="80"/>
        <w:rPr>
          <w:rFonts w:ascii="Calibri" w:hAnsi="Calibri" w:cs="Calibri"/>
          <w:color w:val="000000" w:themeColor="text1"/>
        </w:rPr>
      </w:pPr>
    </w:p>
    <w:p w14:paraId="4C1D1211"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3.2  Portfolio</w:t>
      </w:r>
      <w:proofErr w:type="gramEnd"/>
      <w:r w:rsidRPr="00855BA9">
        <w:rPr>
          <w:rFonts w:ascii="Calibri" w:eastAsia="Arial" w:hAnsi="Calibri" w:cs="Calibri"/>
          <w:b/>
          <w:bCs/>
          <w:color w:val="000000" w:themeColor="text1"/>
          <w:sz w:val="28"/>
          <w:szCs w:val="28"/>
        </w:rPr>
        <w:t xml:space="preserve"> Simulation ($1,000 Equal Split)</w:t>
      </w:r>
    </w:p>
    <w:p w14:paraId="124AEE5F" w14:textId="1EA7D84A"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Assuming an equal $333.33 allocation into each asset at the start of the period (June 2025):</w:t>
      </w:r>
    </w:p>
    <w:p w14:paraId="5FA75DF8" w14:textId="77777777" w:rsidR="00A5746D" w:rsidRPr="00855BA9" w:rsidRDefault="00A5746D" w:rsidP="00A5746D">
      <w:pPr>
        <w:spacing w:before="80"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5BA9" w:rsidRPr="00855BA9" w14:paraId="2676151C" w14:textId="77777777" w:rsidTr="00906C5C">
        <w:tc>
          <w:tcPr>
            <w:tcW w:w="2340" w:type="dxa"/>
            <w:tcBorders>
              <w:top w:val="single" w:sz="2" w:space="0" w:color="CCCCCC"/>
              <w:left w:val="single" w:sz="2" w:space="0" w:color="CCCCCC"/>
              <w:bottom w:val="nil"/>
              <w:right w:val="single" w:sz="2" w:space="0" w:color="CCCCCC"/>
            </w:tcBorders>
            <w:shd w:val="clear" w:color="auto" w:fill="auto"/>
            <w:tcMar>
              <w:top w:w="80" w:type="dxa"/>
              <w:left w:w="120" w:type="dxa"/>
              <w:bottom w:w="80" w:type="dxa"/>
              <w:right w:w="120" w:type="dxa"/>
            </w:tcMar>
            <w:vAlign w:val="center"/>
          </w:tcPr>
          <w:p w14:paraId="32CCDA6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Asset</w:t>
            </w:r>
          </w:p>
        </w:tc>
        <w:tc>
          <w:tcPr>
            <w:tcW w:w="2340" w:type="dxa"/>
            <w:tcBorders>
              <w:top w:val="single" w:sz="2" w:space="0" w:color="CCCCCC"/>
              <w:left w:val="single" w:sz="2" w:space="0" w:color="CCCCCC"/>
              <w:bottom w:val="nil"/>
              <w:right w:val="single" w:sz="2" w:space="0" w:color="CCCCCC"/>
            </w:tcBorders>
            <w:shd w:val="clear" w:color="auto" w:fill="auto"/>
            <w:tcMar>
              <w:top w:w="80" w:type="dxa"/>
              <w:left w:w="120" w:type="dxa"/>
              <w:bottom w:w="80" w:type="dxa"/>
              <w:right w:w="120" w:type="dxa"/>
            </w:tcMar>
            <w:vAlign w:val="center"/>
          </w:tcPr>
          <w:p w14:paraId="77E42737"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Starting Value</w:t>
            </w:r>
          </w:p>
        </w:tc>
        <w:tc>
          <w:tcPr>
            <w:tcW w:w="2340" w:type="dxa"/>
            <w:tcBorders>
              <w:top w:val="single" w:sz="2" w:space="0" w:color="CCCCCC"/>
              <w:left w:val="single" w:sz="2" w:space="0" w:color="CCCCCC"/>
              <w:bottom w:val="nil"/>
              <w:right w:val="single" w:sz="2" w:space="0" w:color="CCCCCC"/>
            </w:tcBorders>
            <w:shd w:val="clear" w:color="auto" w:fill="auto"/>
            <w:tcMar>
              <w:top w:w="80" w:type="dxa"/>
              <w:left w:w="120" w:type="dxa"/>
              <w:bottom w:w="80" w:type="dxa"/>
              <w:right w:w="120" w:type="dxa"/>
            </w:tcMar>
            <w:vAlign w:val="center"/>
          </w:tcPr>
          <w:p w14:paraId="06C15BD9"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Ending Value</w:t>
            </w:r>
          </w:p>
        </w:tc>
        <w:tc>
          <w:tcPr>
            <w:tcW w:w="2340" w:type="dxa"/>
            <w:tcBorders>
              <w:top w:val="single" w:sz="2" w:space="0" w:color="CCCCCC"/>
              <w:left w:val="single" w:sz="2" w:space="0" w:color="CCCCCC"/>
              <w:bottom w:val="nil"/>
              <w:right w:val="single" w:sz="2" w:space="0" w:color="CCCCCC"/>
            </w:tcBorders>
            <w:shd w:val="clear" w:color="auto" w:fill="auto"/>
            <w:tcMar>
              <w:top w:w="80" w:type="dxa"/>
              <w:left w:w="120" w:type="dxa"/>
              <w:bottom w:w="80" w:type="dxa"/>
              <w:right w:w="120" w:type="dxa"/>
            </w:tcMar>
            <w:vAlign w:val="center"/>
          </w:tcPr>
          <w:p w14:paraId="42ED58D7"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Gain / Loss</w:t>
            </w:r>
          </w:p>
        </w:tc>
      </w:tr>
      <w:tr w:rsidR="00855BA9" w:rsidRPr="00855BA9" w14:paraId="7FF1EA1A" w14:textId="77777777" w:rsidTr="00906C5C">
        <w:tc>
          <w:tcPr>
            <w:tcW w:w="2340" w:type="dxa"/>
            <w:tcBorders>
              <w:top w:val="nil"/>
              <w:left w:val="single" w:sz="2" w:space="0" w:color="CCCCCC"/>
              <w:bottom w:val="single" w:sz="4" w:space="0" w:color="auto"/>
              <w:right w:val="single" w:sz="2" w:space="0" w:color="CCCCCC"/>
            </w:tcBorders>
            <w:shd w:val="clear" w:color="auto" w:fill="auto"/>
            <w:tcMar>
              <w:top w:w="80" w:type="dxa"/>
              <w:left w:w="120" w:type="dxa"/>
              <w:bottom w:w="80" w:type="dxa"/>
              <w:right w:w="120" w:type="dxa"/>
            </w:tcMar>
            <w:vAlign w:val="center"/>
          </w:tcPr>
          <w:p w14:paraId="1B14A752"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w:t>
            </w:r>
          </w:p>
        </w:tc>
        <w:tc>
          <w:tcPr>
            <w:tcW w:w="2340" w:type="dxa"/>
            <w:tcBorders>
              <w:top w:val="nil"/>
              <w:left w:val="single" w:sz="2" w:space="0" w:color="CCCCCC"/>
              <w:bottom w:val="single" w:sz="4" w:space="0" w:color="auto"/>
              <w:right w:val="single" w:sz="2" w:space="0" w:color="CCCCCC"/>
            </w:tcBorders>
            <w:shd w:val="clear" w:color="auto" w:fill="auto"/>
            <w:tcMar>
              <w:top w:w="80" w:type="dxa"/>
              <w:left w:w="120" w:type="dxa"/>
              <w:bottom w:w="80" w:type="dxa"/>
              <w:right w:w="120" w:type="dxa"/>
            </w:tcMar>
            <w:vAlign w:val="center"/>
          </w:tcPr>
          <w:p w14:paraId="0263A79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$333.33</w:t>
            </w:r>
          </w:p>
        </w:tc>
        <w:tc>
          <w:tcPr>
            <w:tcW w:w="2340" w:type="dxa"/>
            <w:tcBorders>
              <w:top w:val="nil"/>
              <w:left w:val="single" w:sz="2" w:space="0" w:color="CCCCCC"/>
              <w:bottom w:val="single" w:sz="4" w:space="0" w:color="auto"/>
              <w:right w:val="single" w:sz="2" w:space="0" w:color="CCCCCC"/>
            </w:tcBorders>
            <w:shd w:val="clear" w:color="auto" w:fill="auto"/>
            <w:tcMar>
              <w:top w:w="80" w:type="dxa"/>
              <w:left w:w="120" w:type="dxa"/>
              <w:bottom w:w="80" w:type="dxa"/>
              <w:right w:w="120" w:type="dxa"/>
            </w:tcMar>
            <w:vAlign w:val="center"/>
          </w:tcPr>
          <w:p w14:paraId="44212B8A"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$228.98</w:t>
            </w:r>
          </w:p>
        </w:tc>
        <w:tc>
          <w:tcPr>
            <w:tcW w:w="2340" w:type="dxa"/>
            <w:tcBorders>
              <w:top w:val="nil"/>
              <w:left w:val="single" w:sz="2" w:space="0" w:color="CCCCCC"/>
              <w:bottom w:val="single" w:sz="4" w:space="0" w:color="auto"/>
              <w:right w:val="single" w:sz="2" w:space="0" w:color="CCCCCC"/>
            </w:tcBorders>
            <w:shd w:val="clear" w:color="auto" w:fill="auto"/>
            <w:tcMar>
              <w:top w:w="80" w:type="dxa"/>
              <w:left w:w="120" w:type="dxa"/>
              <w:bottom w:w="80" w:type="dxa"/>
              <w:right w:w="120" w:type="dxa"/>
            </w:tcMar>
            <w:vAlign w:val="center"/>
          </w:tcPr>
          <w:p w14:paraId="4790254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-$104.35</w:t>
            </w:r>
          </w:p>
        </w:tc>
      </w:tr>
      <w:tr w:rsidR="00855BA9" w:rsidRPr="00855BA9" w14:paraId="2945D962" w14:textId="77777777" w:rsidTr="00906C5C">
        <w:tc>
          <w:tcPr>
            <w:tcW w:w="2340" w:type="dxa"/>
            <w:tcBorders>
              <w:top w:val="single" w:sz="4" w:space="0" w:color="auto"/>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EAEF03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lastRenderedPageBreak/>
              <w:t>ETH</w:t>
            </w:r>
          </w:p>
        </w:tc>
        <w:tc>
          <w:tcPr>
            <w:tcW w:w="2340" w:type="dxa"/>
            <w:tcBorders>
              <w:top w:val="single" w:sz="4" w:space="0" w:color="auto"/>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8414E5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$333.33</w:t>
            </w:r>
          </w:p>
        </w:tc>
        <w:tc>
          <w:tcPr>
            <w:tcW w:w="2340" w:type="dxa"/>
            <w:tcBorders>
              <w:top w:val="single" w:sz="4" w:space="0" w:color="auto"/>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C6603B2"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$269.75</w:t>
            </w:r>
          </w:p>
        </w:tc>
        <w:tc>
          <w:tcPr>
            <w:tcW w:w="2340" w:type="dxa"/>
            <w:tcBorders>
              <w:top w:val="single" w:sz="4" w:space="0" w:color="auto"/>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0A872B9"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-$63.58</w:t>
            </w:r>
          </w:p>
        </w:tc>
      </w:tr>
      <w:tr w:rsidR="00855BA9" w:rsidRPr="00855BA9" w14:paraId="53460B8A"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7B14496"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6A13357"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$333.33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13B6C64"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$177.40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FBA25B9"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-$155.93</w:t>
            </w:r>
          </w:p>
        </w:tc>
      </w:tr>
      <w:tr w:rsidR="00855BA9" w:rsidRPr="00855BA9" w14:paraId="7AE17E20" w14:textId="77777777" w:rsidTr="00906C5C">
        <w:tc>
          <w:tcPr>
            <w:tcW w:w="2340" w:type="dxa"/>
            <w:tcBorders>
              <w:top w:val="single" w:sz="1" w:space="0" w:color="CCCCCC"/>
              <w:left w:val="single" w:sz="1" w:space="0" w:color="CCCCCC"/>
              <w:bottom w:val="single" w:sz="4" w:space="0" w:color="auto"/>
              <w:right w:val="single" w:sz="1" w:space="0" w:color="CCCCCC"/>
            </w:tcBorders>
            <w:shd w:val="clear" w:color="auto" w:fill="auto"/>
            <w:tcMar>
              <w:top w:w="80" w:type="dxa"/>
              <w:left w:w="120" w:type="dxa"/>
              <w:bottom w:w="80" w:type="dxa"/>
              <w:right w:w="120" w:type="dxa"/>
            </w:tcMar>
            <w:vAlign w:val="center"/>
          </w:tcPr>
          <w:p w14:paraId="4135852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TOTAL</w:t>
            </w:r>
          </w:p>
        </w:tc>
        <w:tc>
          <w:tcPr>
            <w:tcW w:w="2340" w:type="dxa"/>
            <w:tcBorders>
              <w:top w:val="single" w:sz="1" w:space="0" w:color="CCCCCC"/>
              <w:left w:val="single" w:sz="1" w:space="0" w:color="CCCCCC"/>
              <w:bottom w:val="single" w:sz="4" w:space="0" w:color="auto"/>
              <w:right w:val="single" w:sz="1" w:space="0" w:color="CCCCCC"/>
            </w:tcBorders>
            <w:shd w:val="clear" w:color="auto" w:fill="auto"/>
            <w:tcMar>
              <w:top w:w="80" w:type="dxa"/>
              <w:left w:w="120" w:type="dxa"/>
              <w:bottom w:w="80" w:type="dxa"/>
              <w:right w:w="120" w:type="dxa"/>
            </w:tcMar>
            <w:vAlign w:val="center"/>
          </w:tcPr>
          <w:p w14:paraId="3D42D33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$1,000.00</w:t>
            </w:r>
          </w:p>
        </w:tc>
        <w:tc>
          <w:tcPr>
            <w:tcW w:w="2340" w:type="dxa"/>
            <w:tcBorders>
              <w:top w:val="single" w:sz="1" w:space="0" w:color="CCCCCC"/>
              <w:left w:val="single" w:sz="1" w:space="0" w:color="CCCCCC"/>
              <w:bottom w:val="single" w:sz="4" w:space="0" w:color="auto"/>
              <w:right w:val="single" w:sz="1" w:space="0" w:color="CCCCCC"/>
            </w:tcBorders>
            <w:shd w:val="clear" w:color="auto" w:fill="auto"/>
            <w:tcMar>
              <w:top w:w="80" w:type="dxa"/>
              <w:left w:w="120" w:type="dxa"/>
              <w:bottom w:w="80" w:type="dxa"/>
              <w:right w:w="120" w:type="dxa"/>
            </w:tcMar>
            <w:vAlign w:val="center"/>
          </w:tcPr>
          <w:p w14:paraId="47AE6E0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$676.13</w:t>
            </w:r>
          </w:p>
        </w:tc>
        <w:tc>
          <w:tcPr>
            <w:tcW w:w="2340" w:type="dxa"/>
            <w:tcBorders>
              <w:top w:val="single" w:sz="1" w:space="0" w:color="CCCCCC"/>
              <w:left w:val="single" w:sz="1" w:space="0" w:color="CCCCCC"/>
              <w:bottom w:val="single" w:sz="4" w:space="0" w:color="auto"/>
              <w:right w:val="single" w:sz="1" w:space="0" w:color="CCCCCC"/>
            </w:tcBorders>
            <w:shd w:val="clear" w:color="auto" w:fill="auto"/>
            <w:tcMar>
              <w:top w:w="80" w:type="dxa"/>
              <w:left w:w="120" w:type="dxa"/>
              <w:bottom w:w="80" w:type="dxa"/>
              <w:right w:w="120" w:type="dxa"/>
            </w:tcMar>
            <w:vAlign w:val="center"/>
          </w:tcPr>
          <w:p w14:paraId="09BEE19A"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-$323.87</w:t>
            </w:r>
          </w:p>
        </w:tc>
      </w:tr>
    </w:tbl>
    <w:p w14:paraId="37B07FC5"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i/>
          <w:iCs/>
          <w:color w:val="000000" w:themeColor="text1"/>
        </w:rPr>
        <w:t>The equal-weight portfolio declined by 32.4% over the period. This underperformed a BTC-only hold (-31.5%) modestly, largely due to SOL's steeper decline dragging down overall returns.</w:t>
      </w:r>
    </w:p>
    <w:p w14:paraId="09228302" w14:textId="77777777" w:rsidR="00A5746D" w:rsidRPr="00855BA9" w:rsidRDefault="00A5746D" w:rsidP="00A5746D">
      <w:pPr>
        <w:rPr>
          <w:rFonts w:ascii="Calibri" w:hAnsi="Calibri" w:cs="Calibri"/>
          <w:color w:val="000000" w:themeColor="text1"/>
        </w:rPr>
      </w:pPr>
      <w:r w:rsidRPr="00855BA9">
        <w:rPr>
          <w:rFonts w:ascii="Calibri" w:hAnsi="Calibri" w:cs="Calibri"/>
          <w:color w:val="000000" w:themeColor="text1"/>
        </w:rPr>
        <w:br w:type="page"/>
      </w:r>
    </w:p>
    <w:p w14:paraId="0C08A06C" w14:textId="77777777" w:rsidR="00A5746D" w:rsidRPr="00855BA9" w:rsidRDefault="00A5746D" w:rsidP="00A5746D">
      <w:pPr>
        <w:pStyle w:val="Heading1"/>
        <w:rPr>
          <w:rFonts w:ascii="Calibri" w:hAnsi="Calibri" w:cs="Calibri"/>
          <w:color w:val="000000" w:themeColor="text1"/>
        </w:rPr>
      </w:pPr>
      <w:r w:rsidRPr="00855BA9">
        <w:rPr>
          <w:rFonts w:ascii="Calibri" w:eastAsia="Arial" w:hAnsi="Calibri" w:cs="Calibri"/>
          <w:b/>
          <w:bCs/>
          <w:color w:val="000000" w:themeColor="text1"/>
          <w:sz w:val="36"/>
          <w:szCs w:val="36"/>
        </w:rPr>
        <w:lastRenderedPageBreak/>
        <w:t>4. Risk Analysis</w:t>
      </w:r>
    </w:p>
    <w:p w14:paraId="41FF07A8"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4.1  Volatility</w:t>
      </w:r>
      <w:proofErr w:type="gramEnd"/>
    </w:p>
    <w:p w14:paraId="6FD58940" w14:textId="77777777" w:rsidR="00A5746D" w:rsidRPr="00855BA9" w:rsidRDefault="00A5746D" w:rsidP="00A5746D">
      <w:pPr>
        <w:spacing w:before="80" w:after="80"/>
        <w:rPr>
          <w:rFonts w:ascii="Calibri" w:hAnsi="Calibri" w:cs="Calibri"/>
          <w:color w:val="000000" w:themeColor="text1"/>
        </w:rPr>
      </w:pPr>
      <w:proofErr w:type="spellStart"/>
      <w:r w:rsidRPr="00855BA9">
        <w:rPr>
          <w:rFonts w:ascii="Calibri" w:hAnsi="Calibri" w:cs="Calibri"/>
          <w:color w:val="000000" w:themeColor="text1"/>
        </w:rPr>
        <w:t>Annualised</w:t>
      </w:r>
      <w:proofErr w:type="spellEnd"/>
      <w:r w:rsidRPr="00855BA9">
        <w:rPr>
          <w:rFonts w:ascii="Calibri" w:hAnsi="Calibri" w:cs="Calibri"/>
          <w:color w:val="000000" w:themeColor="text1"/>
        </w:rPr>
        <w:t xml:space="preserve"> volatility measures how much an asset's returns deviate from the average. Higher volatility implies greater uncertainty and risk. Volatility figures below are based on rolling monthly calculations.</w:t>
      </w:r>
    </w:p>
    <w:p w14:paraId="6DFF588E" w14:textId="77777777" w:rsidR="00A5746D" w:rsidRPr="00855BA9" w:rsidRDefault="00A5746D" w:rsidP="00A5746D">
      <w:pPr>
        <w:spacing w:before="80"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855BA9" w:rsidRPr="00855BA9" w14:paraId="48EFB6B9"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7F5269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Period</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2D72596"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 Volatility</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2C9A928"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 Volatility</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D6B502D"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 Volatility</w:t>
            </w:r>
          </w:p>
        </w:tc>
      </w:tr>
      <w:tr w:rsidR="00855BA9" w:rsidRPr="00855BA9" w14:paraId="477D74A9"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F41B219" w14:textId="2A597320"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May 2026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65A2939"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10.01%</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BEC35C4"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18.43%</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FD773A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15.98%</w:t>
            </w:r>
          </w:p>
        </w:tc>
      </w:tr>
      <w:tr w:rsidR="00855BA9" w:rsidRPr="00855BA9" w14:paraId="48DFD5EF"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2F155CE" w14:textId="7F38CF19"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Apr 202</w:t>
            </w:r>
            <w:r w:rsidR="009D3F16" w:rsidRPr="00855BA9">
              <w:rPr>
                <w:rFonts w:ascii="Calibri" w:hAnsi="Calibri" w:cs="Calibri"/>
                <w:b/>
                <w:bCs/>
                <w:color w:val="000000" w:themeColor="text1"/>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F759494"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10.01%</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CD1DC51"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18.43%</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9FDCE4A"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15.98%</w:t>
            </w:r>
          </w:p>
        </w:tc>
      </w:tr>
      <w:tr w:rsidR="00855BA9" w:rsidRPr="00855BA9" w14:paraId="1E4BD849"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E1EFEA0" w14:textId="2FB00664"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Mar 202</w:t>
            </w:r>
            <w:r w:rsidR="009D3F16" w:rsidRPr="00855BA9">
              <w:rPr>
                <w:rFonts w:ascii="Calibri" w:hAnsi="Calibri" w:cs="Calibri"/>
                <w:b/>
                <w:bCs/>
                <w:color w:val="000000" w:themeColor="text1"/>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61B20E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10.56%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9CB3E6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19.20%</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524C2A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16.70%</w:t>
            </w:r>
          </w:p>
        </w:tc>
      </w:tr>
      <w:tr w:rsidR="00855BA9" w:rsidRPr="00855BA9" w14:paraId="033DD356"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EB51FBD" w14:textId="74D61FF4"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Feb 202</w:t>
            </w:r>
            <w:r w:rsidR="009D3F16" w:rsidRPr="00855BA9">
              <w:rPr>
                <w:rFonts w:ascii="Calibri" w:hAnsi="Calibri" w:cs="Calibri"/>
                <w:b/>
                <w:bCs/>
                <w:color w:val="000000" w:themeColor="text1"/>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58F90D7"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9.81%</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FB4799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20.06%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9AAA9B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17.49%</w:t>
            </w:r>
          </w:p>
        </w:tc>
      </w:tr>
      <w:tr w:rsidR="00855BA9" w:rsidRPr="00855BA9" w14:paraId="2EC05465"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5E13566" w14:textId="4AA0EB01"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Jan 202</w:t>
            </w:r>
            <w:r w:rsidR="009D3F16" w:rsidRPr="00855BA9">
              <w:rPr>
                <w:rFonts w:ascii="Calibri" w:hAnsi="Calibri" w:cs="Calibri"/>
                <w:b/>
                <w:bCs/>
                <w:color w:val="000000" w:themeColor="text1"/>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BCA7BD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10.06%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1FF077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21.03%</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FCEE1F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18.49%</w:t>
            </w:r>
          </w:p>
        </w:tc>
      </w:tr>
      <w:tr w:rsidR="00855BA9" w:rsidRPr="00855BA9" w14:paraId="4D0A944B"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3727AFD" w14:textId="187CB5DE"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Dec 202</w:t>
            </w:r>
            <w:r w:rsidR="009D3F16" w:rsidRPr="00855BA9">
              <w:rPr>
                <w:rFonts w:ascii="Calibri" w:hAnsi="Calibri" w:cs="Calibri"/>
                <w:b/>
                <w:bCs/>
                <w:color w:val="000000" w:themeColor="text1"/>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9E4FCA5"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9.74%</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0BD43B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21.04%</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7DCCF5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18.74%</w:t>
            </w:r>
          </w:p>
        </w:tc>
      </w:tr>
      <w:tr w:rsidR="00855BA9" w:rsidRPr="00855BA9" w14:paraId="4ABB7C35"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9E7E5BA" w14:textId="23BB36D3"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Nov 202</w:t>
            </w:r>
            <w:r w:rsidR="009D3F16" w:rsidRPr="00855BA9">
              <w:rPr>
                <w:rFonts w:ascii="Calibri" w:hAnsi="Calibri" w:cs="Calibri"/>
                <w:b/>
                <w:bCs/>
                <w:color w:val="000000" w:themeColor="text1"/>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064DA4D"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10.21%</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8178B9E"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21.13%</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A542FD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19.81%</w:t>
            </w:r>
          </w:p>
        </w:tc>
      </w:tr>
      <w:tr w:rsidR="00855BA9" w:rsidRPr="00855BA9" w14:paraId="63934FBD"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598CCD5" w14:textId="49E722D4"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Oct 2025</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1F6B71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11.41%</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0DB7BB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23.60%</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F25434A"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22.12%</w:t>
            </w:r>
          </w:p>
        </w:tc>
      </w:tr>
      <w:tr w:rsidR="00855BA9" w:rsidRPr="00855BA9" w14:paraId="30E00E23"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566E80B" w14:textId="28392BFC"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Sep 2025</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7E0B46D"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6.97%</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276AFEA"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19.26%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E47504B"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11.25%</w:t>
            </w:r>
          </w:p>
        </w:tc>
      </w:tr>
      <w:tr w:rsidR="00855BA9" w:rsidRPr="00855BA9" w14:paraId="26658AD0"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E8B2ABC" w14:textId="23706816"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Aug 2025</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BF335DA"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7.73%</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C65D7F2"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19.41%</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A1A1A09"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5.21%</w:t>
            </w:r>
          </w:p>
        </w:tc>
      </w:tr>
      <w:tr w:rsidR="00855BA9" w:rsidRPr="00855BA9" w14:paraId="1F88A3C5"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08B023D" w14:textId="4212DFE8" w:rsidR="00A5746D" w:rsidRPr="00855BA9" w:rsidRDefault="009D3F16" w:rsidP="00212355">
            <w:pPr>
              <w:rPr>
                <w:rFonts w:ascii="Calibri" w:hAnsi="Calibri" w:cs="Calibri"/>
                <w:b/>
                <w:bCs/>
                <w:color w:val="000000" w:themeColor="text1"/>
                <w:sz w:val="20"/>
                <w:szCs w:val="20"/>
              </w:rPr>
            </w:pPr>
            <w:r w:rsidRPr="00855BA9">
              <w:rPr>
                <w:rFonts w:ascii="Calibri" w:hAnsi="Calibri" w:cs="Calibri"/>
                <w:b/>
                <w:bCs/>
                <w:color w:val="000000" w:themeColor="text1"/>
                <w:sz w:val="20"/>
                <w:szCs w:val="20"/>
              </w:rPr>
              <w:t>Jul</w:t>
            </w:r>
            <w:r w:rsidR="00A5746D" w:rsidRPr="00855BA9">
              <w:rPr>
                <w:rFonts w:ascii="Calibri" w:hAnsi="Calibri" w:cs="Calibri"/>
                <w:b/>
                <w:bCs/>
                <w:color w:val="000000" w:themeColor="text1"/>
                <w:sz w:val="20"/>
                <w:szCs w:val="20"/>
              </w:rPr>
              <w:t xml:space="preserve"> 2025</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FE1AC3D"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10.17%</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F995DF9"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12.02%</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9B7140B"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2.89%</w:t>
            </w:r>
          </w:p>
        </w:tc>
      </w:tr>
      <w:tr w:rsidR="00855BA9" w:rsidRPr="00855BA9" w14:paraId="65468E2A" w14:textId="77777777" w:rsidTr="00906C5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7FF71C4" w14:textId="77777777" w:rsidR="00A5746D" w:rsidRPr="00855BA9" w:rsidRDefault="00A5746D" w:rsidP="00212355">
            <w:pPr>
              <w:rPr>
                <w:rFonts w:ascii="Calibri" w:hAnsi="Calibri" w:cs="Calibri"/>
                <w:color w:val="000000" w:themeColor="text1"/>
              </w:rPr>
            </w:pPr>
            <w:r w:rsidRPr="00855BA9">
              <w:rPr>
                <w:rFonts w:ascii="Calibri" w:hAnsi="Calibri" w:cs="Calibri"/>
                <w:b/>
                <w:bCs/>
                <w:color w:val="000000" w:themeColor="text1"/>
                <w:sz w:val="20"/>
                <w:szCs w:val="20"/>
              </w:rPr>
              <w:t>Average</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DBC44B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9.84%</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AA427FF"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19.46%</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69F387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14.95%</w:t>
            </w:r>
          </w:p>
        </w:tc>
      </w:tr>
    </w:tbl>
    <w:p w14:paraId="5EC8C609" w14:textId="77777777" w:rsidR="00A5746D" w:rsidRPr="00855BA9" w:rsidRDefault="00A5746D" w:rsidP="00A5746D">
      <w:pPr>
        <w:spacing w:before="80" w:after="80"/>
        <w:rPr>
          <w:rFonts w:ascii="Calibri" w:hAnsi="Calibri" w:cs="Calibri"/>
          <w:color w:val="000000" w:themeColor="text1"/>
        </w:rPr>
      </w:pPr>
    </w:p>
    <w:p w14:paraId="57622CDF"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BTC had the lowest average volatility (9.84%), consistent with its status as the most mature and liquid crypto asset.</w:t>
      </w:r>
    </w:p>
    <w:p w14:paraId="6C604C8A"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ETH recorded the highest volatility (19.46%), reflecting its sensitivity to DeFi market cycles and smart-contract platform risk.</w:t>
      </w:r>
    </w:p>
    <w:p w14:paraId="456528B1"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SOL's volatility (14.95%) fell between BTC and ETH but exhibited dramatic spikes — dropping to just 2.89% in April 2025 before higher readings.</w:t>
      </w:r>
    </w:p>
    <w:p w14:paraId="54D6F121" w14:textId="77777777" w:rsidR="00A5746D" w:rsidRPr="00855BA9" w:rsidRDefault="00A5746D" w:rsidP="00A5746D">
      <w:pPr>
        <w:spacing w:before="80" w:after="80"/>
        <w:rPr>
          <w:rFonts w:ascii="Calibri" w:hAnsi="Calibri" w:cs="Calibri"/>
          <w:color w:val="000000" w:themeColor="text1"/>
        </w:rPr>
      </w:pPr>
    </w:p>
    <w:p w14:paraId="54ED6F3B"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4.2  Maximum</w:t>
      </w:r>
      <w:proofErr w:type="gramEnd"/>
      <w:r w:rsidRPr="00855BA9">
        <w:rPr>
          <w:rFonts w:ascii="Calibri" w:eastAsia="Arial" w:hAnsi="Calibri" w:cs="Calibri"/>
          <w:b/>
          <w:bCs/>
          <w:color w:val="000000" w:themeColor="text1"/>
          <w:sz w:val="28"/>
          <w:szCs w:val="28"/>
        </w:rPr>
        <w:t xml:space="preserve"> Drawdown</w:t>
      </w:r>
    </w:p>
    <w:p w14:paraId="33D10805"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Maximum drawdown (MDD) measures the largest peak-to-trough decline in an asset's price during the period, indicating the worst-case loss an investor could have experienced.</w:t>
      </w:r>
    </w:p>
    <w:p w14:paraId="752D7CA2" w14:textId="77777777" w:rsidR="00A5746D" w:rsidRPr="00855BA9" w:rsidRDefault="00A5746D" w:rsidP="00A5746D">
      <w:pPr>
        <w:spacing w:before="80"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5BA9" w:rsidRPr="00855BA9" w14:paraId="0AB394E7"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D13445E"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Asset</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732AB2F"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Peak Price</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DDDE63F"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Trough Price</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4D6ACE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Max Drawdown</w:t>
            </w:r>
          </w:p>
        </w:tc>
      </w:tr>
      <w:tr w:rsidR="00855BA9" w:rsidRPr="00855BA9" w14:paraId="531C380D"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6640EE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79B809D"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$115,765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3A1EDB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$66,995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6284CF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-42.1%</w:t>
            </w:r>
          </w:p>
        </w:tc>
      </w:tr>
      <w:tr w:rsidR="00855BA9" w:rsidRPr="00855BA9" w14:paraId="7AA22C6A"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C9F32A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266E1AD"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$4,391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FEC558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$1,965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89A1846"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-55.2%</w:t>
            </w:r>
          </w:p>
        </w:tc>
      </w:tr>
      <w:tr w:rsidR="00855BA9" w:rsidRPr="00855BA9" w14:paraId="5530BEB1"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A8EC96E"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2D2629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$208.66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C1D2EB2"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$82.58</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695357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-60.4%</w:t>
            </w:r>
          </w:p>
        </w:tc>
      </w:tr>
    </w:tbl>
    <w:p w14:paraId="4A106970" w14:textId="77777777" w:rsidR="00A5746D" w:rsidRPr="00855BA9" w:rsidRDefault="00A5746D" w:rsidP="00A5746D">
      <w:pPr>
        <w:spacing w:before="80" w:after="80"/>
        <w:rPr>
          <w:rFonts w:ascii="Calibri" w:hAnsi="Calibri" w:cs="Calibri"/>
          <w:color w:val="000000" w:themeColor="text1"/>
        </w:rPr>
      </w:pPr>
    </w:p>
    <w:p w14:paraId="72A9BF0F"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SOL experienced the deepest drawdown at -60.4%, meaning a peak-period investor could have lost over 60% of their SOL position. ETH also showed a severe MDD of -55.2%. BTC, while still volatile, offered the shallowest drawdown at -42.1%.</w:t>
      </w:r>
    </w:p>
    <w:p w14:paraId="75138653" w14:textId="77777777" w:rsidR="00A5746D" w:rsidRPr="00855BA9" w:rsidRDefault="00A5746D" w:rsidP="00A5746D">
      <w:pPr>
        <w:spacing w:before="80" w:after="80"/>
        <w:rPr>
          <w:rFonts w:ascii="Calibri" w:hAnsi="Calibri" w:cs="Calibri"/>
          <w:color w:val="000000" w:themeColor="text1"/>
        </w:rPr>
      </w:pPr>
    </w:p>
    <w:p w14:paraId="0915234E"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4.3  Sharpe</w:t>
      </w:r>
      <w:proofErr w:type="gramEnd"/>
      <w:r w:rsidRPr="00855BA9">
        <w:rPr>
          <w:rFonts w:ascii="Calibri" w:eastAsia="Arial" w:hAnsi="Calibri" w:cs="Calibri"/>
          <w:b/>
          <w:bCs/>
          <w:color w:val="000000" w:themeColor="text1"/>
          <w:sz w:val="28"/>
          <w:szCs w:val="28"/>
        </w:rPr>
        <w:t xml:space="preserve"> Ratio (Risk-Adjusted Return)</w:t>
      </w:r>
    </w:p>
    <w:p w14:paraId="0AF81246" w14:textId="2BE2459A"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 xml:space="preserve">The Sharpe Ratio measures return per unit of risk, using a </w:t>
      </w:r>
      <w:r w:rsidR="00906C5C">
        <w:rPr>
          <w:rFonts w:ascii="Calibri" w:hAnsi="Calibri" w:cs="Calibri"/>
          <w:color w:val="000000" w:themeColor="text1"/>
        </w:rPr>
        <w:t>2</w:t>
      </w:r>
      <w:r w:rsidRPr="00855BA9">
        <w:rPr>
          <w:rFonts w:ascii="Calibri" w:hAnsi="Calibri" w:cs="Calibri"/>
          <w:color w:val="000000" w:themeColor="text1"/>
        </w:rPr>
        <w:t>% risk-free rate. A higher Sharpe Ratio indicates better risk-adjusted performance.</w:t>
      </w:r>
    </w:p>
    <w:p w14:paraId="69E1BDFA" w14:textId="77777777" w:rsidR="00A5746D" w:rsidRPr="00855BA9" w:rsidRDefault="00A5746D" w:rsidP="00A5746D">
      <w:pPr>
        <w:spacing w:before="80"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5BA9" w:rsidRPr="00855BA9" w14:paraId="32A914F3"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44202A7"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Asset</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36C8A8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Sharpe Ratio</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60BFA72"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Interpretation</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493BC3D"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Ranking</w:t>
            </w:r>
          </w:p>
        </w:tc>
      </w:tr>
      <w:tr w:rsidR="00855BA9" w:rsidRPr="00855BA9" w14:paraId="279C6D52"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B958F3D"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3A4CC49"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0.376</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43DDE0A"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47C1774"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2</w:t>
            </w:r>
            <w:r w:rsidRPr="00D94FE7">
              <w:rPr>
                <w:rFonts w:ascii="Calibri" w:hAnsi="Calibri" w:cs="Calibri"/>
                <w:color w:val="000000" w:themeColor="text1"/>
                <w:sz w:val="20"/>
                <w:szCs w:val="20"/>
                <w:vertAlign w:val="superscript"/>
              </w:rPr>
              <w:t>nd</w:t>
            </w:r>
          </w:p>
        </w:tc>
      </w:tr>
      <w:tr w:rsidR="00855BA9" w:rsidRPr="00855BA9" w14:paraId="23B4BF79"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71AB4C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6956BBE"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0.184</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D5315C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Poor</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776CD7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w:t>
            </w:r>
            <w:r w:rsidRPr="00D94FE7">
              <w:rPr>
                <w:rFonts w:ascii="Calibri" w:hAnsi="Calibri" w:cs="Calibri"/>
                <w:color w:val="000000" w:themeColor="text1"/>
                <w:sz w:val="20"/>
                <w:szCs w:val="20"/>
                <w:vertAlign w:val="superscript"/>
              </w:rPr>
              <w:t>rd</w:t>
            </w:r>
          </w:p>
        </w:tc>
      </w:tr>
      <w:tr w:rsidR="00855BA9" w:rsidRPr="00855BA9" w14:paraId="7CB743A5"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82240D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51DBD84"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0.422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0FC22C7"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Best</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3CF247A"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1</w:t>
            </w:r>
            <w:r w:rsidRPr="00D94FE7">
              <w:rPr>
                <w:rFonts w:ascii="Calibri" w:hAnsi="Calibri" w:cs="Calibri"/>
                <w:b/>
                <w:bCs/>
                <w:color w:val="000000" w:themeColor="text1"/>
                <w:sz w:val="20"/>
                <w:szCs w:val="20"/>
                <w:vertAlign w:val="superscript"/>
              </w:rPr>
              <w:t>st</w:t>
            </w:r>
          </w:p>
        </w:tc>
      </w:tr>
    </w:tbl>
    <w:p w14:paraId="1DAAFD4A" w14:textId="77777777" w:rsidR="00A5746D" w:rsidRPr="00855BA9" w:rsidRDefault="00A5746D" w:rsidP="00A5746D">
      <w:pPr>
        <w:spacing w:before="80" w:after="80"/>
        <w:rPr>
          <w:rFonts w:ascii="Calibri" w:hAnsi="Calibri" w:cs="Calibri"/>
          <w:color w:val="000000" w:themeColor="text1"/>
        </w:rPr>
      </w:pPr>
    </w:p>
    <w:p w14:paraId="43C3CC89"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SOL's Sharpe Ratio of 0.422 is the highest, suggesting it offered the best return per unit of risk despite its negative total return. This counterintuitive result reflects SOL's higher average monthly returns relative to its volatility. ETH's low Sharpe Ratio (0.184) signals poor risk-adjusted performance — high volatility without proportionally higher returns.</w:t>
      </w:r>
    </w:p>
    <w:p w14:paraId="498A76A4" w14:textId="77777777" w:rsidR="00A5746D" w:rsidRPr="00855BA9" w:rsidRDefault="00A5746D" w:rsidP="00A5746D">
      <w:pPr>
        <w:spacing w:before="80" w:after="80"/>
        <w:rPr>
          <w:rFonts w:ascii="Calibri" w:hAnsi="Calibri" w:cs="Calibri"/>
          <w:color w:val="000000" w:themeColor="text1"/>
        </w:rPr>
      </w:pPr>
    </w:p>
    <w:p w14:paraId="5FF6475F"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4.4  Correlation</w:t>
      </w:r>
      <w:proofErr w:type="gramEnd"/>
      <w:r w:rsidRPr="00855BA9">
        <w:rPr>
          <w:rFonts w:ascii="Calibri" w:eastAsia="Arial" w:hAnsi="Calibri" w:cs="Calibri"/>
          <w:b/>
          <w:bCs/>
          <w:color w:val="000000" w:themeColor="text1"/>
          <w:sz w:val="28"/>
          <w:szCs w:val="28"/>
        </w:rPr>
        <w:t xml:space="preserve"> Analysis</w:t>
      </w:r>
    </w:p>
    <w:p w14:paraId="061CE088"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Correlation measures how closely the three assets move together. A correlation of +1 means perfect co-movement; 0 means no relationship; -1 means they move in opposite directions. Based on monthly return patterns observed:</w:t>
      </w:r>
    </w:p>
    <w:p w14:paraId="1CDE6CCB" w14:textId="77777777" w:rsidR="00A5746D" w:rsidRPr="00855BA9" w:rsidRDefault="00A5746D" w:rsidP="00A5746D">
      <w:pPr>
        <w:spacing w:before="80"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5BA9" w:rsidRPr="00855BA9" w14:paraId="3D9BE856"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C0061BE" w14:textId="77777777" w:rsidR="00A5746D" w:rsidRPr="00855BA9" w:rsidRDefault="00A5746D" w:rsidP="00212355">
            <w:pPr>
              <w:jc w:val="center"/>
              <w:rPr>
                <w:rFonts w:ascii="Calibri" w:hAnsi="Calibri" w:cs="Calibri"/>
                <w:color w:val="000000" w:themeColor="text1"/>
              </w:rPr>
            </w:pP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5B2802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BEA3E1E"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45DCD5B"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w:t>
            </w:r>
          </w:p>
        </w:tc>
      </w:tr>
      <w:tr w:rsidR="00855BA9" w:rsidRPr="00855BA9" w14:paraId="475A34DF"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12D01A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6A48E4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1F20465"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~0.72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C9F53A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~0.65</w:t>
            </w:r>
          </w:p>
        </w:tc>
      </w:tr>
      <w:tr w:rsidR="00855BA9" w:rsidRPr="00855BA9" w14:paraId="5228D057"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AAB26C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2FA887D"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~0.72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052FD1A"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AC4922F"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~0.80</w:t>
            </w:r>
          </w:p>
        </w:tc>
      </w:tr>
      <w:tr w:rsidR="00855BA9" w:rsidRPr="00855BA9" w14:paraId="6A38D21B"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2CD8D7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2B82136"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~0.65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CDEE37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~0.80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DC85A3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1.00</w:t>
            </w:r>
          </w:p>
        </w:tc>
      </w:tr>
    </w:tbl>
    <w:p w14:paraId="20E13A84" w14:textId="77777777" w:rsidR="00A5746D" w:rsidRPr="00855BA9" w:rsidRDefault="00A5746D" w:rsidP="00A5746D">
      <w:pPr>
        <w:spacing w:before="80" w:after="80"/>
        <w:rPr>
          <w:rFonts w:ascii="Calibri" w:hAnsi="Calibri" w:cs="Calibri"/>
          <w:color w:val="000000" w:themeColor="text1"/>
        </w:rPr>
      </w:pPr>
    </w:p>
    <w:p w14:paraId="7B8E9239"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All three assets exhibit strong positive correlation, which is typical for cryptocurrencies. This means the portfolio provides limited diversification benefit — in bear markets, all three assets tend to fall together. The ETH–SOL correlation is the strongest (~0.80), reflecting their shared status as smart-contract platforms.</w:t>
      </w:r>
    </w:p>
    <w:p w14:paraId="278C7E5C" w14:textId="77777777" w:rsidR="00A5746D" w:rsidRPr="00855BA9" w:rsidRDefault="00A5746D" w:rsidP="00A5746D">
      <w:pPr>
        <w:rPr>
          <w:rFonts w:ascii="Calibri" w:hAnsi="Calibri" w:cs="Calibri"/>
          <w:color w:val="000000" w:themeColor="text1"/>
        </w:rPr>
      </w:pPr>
      <w:r w:rsidRPr="00855BA9">
        <w:rPr>
          <w:rFonts w:ascii="Calibri" w:hAnsi="Calibri" w:cs="Calibri"/>
          <w:color w:val="000000" w:themeColor="text1"/>
        </w:rPr>
        <w:br w:type="page"/>
      </w:r>
    </w:p>
    <w:p w14:paraId="53D84764" w14:textId="77777777" w:rsidR="00A5746D" w:rsidRPr="00855BA9" w:rsidRDefault="00A5746D" w:rsidP="00A5746D">
      <w:pPr>
        <w:pStyle w:val="Heading1"/>
        <w:rPr>
          <w:rFonts w:ascii="Calibri" w:hAnsi="Calibri" w:cs="Calibri"/>
          <w:color w:val="000000" w:themeColor="text1"/>
        </w:rPr>
      </w:pPr>
      <w:r w:rsidRPr="00855BA9">
        <w:rPr>
          <w:rFonts w:ascii="Calibri" w:eastAsia="Arial" w:hAnsi="Calibri" w:cs="Calibri"/>
          <w:b/>
          <w:bCs/>
          <w:color w:val="000000" w:themeColor="text1"/>
          <w:sz w:val="36"/>
          <w:szCs w:val="36"/>
        </w:rPr>
        <w:lastRenderedPageBreak/>
        <w:t>5. Key Insights</w:t>
      </w:r>
    </w:p>
    <w:p w14:paraId="2B37BB78"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5.1  Market</w:t>
      </w:r>
      <w:proofErr w:type="gramEnd"/>
      <w:r w:rsidRPr="00855BA9">
        <w:rPr>
          <w:rFonts w:ascii="Calibri" w:eastAsia="Arial" w:hAnsi="Calibri" w:cs="Calibri"/>
          <w:b/>
          <w:bCs/>
          <w:color w:val="000000" w:themeColor="text1"/>
          <w:sz w:val="28"/>
          <w:szCs w:val="28"/>
        </w:rPr>
        <w:t xml:space="preserve"> Cycle Dynamics</w:t>
      </w:r>
    </w:p>
    <w:p w14:paraId="141FB2E7" w14:textId="3129116E"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The portfolio's performance reflects a classic crypto bull-then-bear cycle. The April 202</w:t>
      </w:r>
      <w:r w:rsidR="00906C5C">
        <w:rPr>
          <w:rFonts w:ascii="Calibri" w:hAnsi="Calibri" w:cs="Calibri"/>
          <w:color w:val="000000" w:themeColor="text1"/>
        </w:rPr>
        <w:t>4</w:t>
      </w:r>
      <w:r w:rsidRPr="00855BA9">
        <w:rPr>
          <w:rFonts w:ascii="Calibri" w:hAnsi="Calibri" w:cs="Calibri"/>
          <w:color w:val="000000" w:themeColor="text1"/>
        </w:rPr>
        <w:t xml:space="preserve"> Bitcoin halving acted as a delayed catalyst, driving prices sharply higher between </w:t>
      </w:r>
      <w:r w:rsidR="00D94FE7">
        <w:rPr>
          <w:rFonts w:ascii="Calibri" w:hAnsi="Calibri" w:cs="Calibri"/>
          <w:color w:val="000000" w:themeColor="text1"/>
        </w:rPr>
        <w:t xml:space="preserve">September </w:t>
      </w:r>
      <w:r w:rsidRPr="00855BA9">
        <w:rPr>
          <w:rFonts w:ascii="Calibri" w:hAnsi="Calibri" w:cs="Calibri"/>
          <w:color w:val="000000" w:themeColor="text1"/>
        </w:rPr>
        <w:t>202</w:t>
      </w:r>
      <w:r w:rsidR="00D94FE7">
        <w:rPr>
          <w:rFonts w:ascii="Calibri" w:hAnsi="Calibri" w:cs="Calibri"/>
          <w:color w:val="000000" w:themeColor="text1"/>
        </w:rPr>
        <w:t>5</w:t>
      </w:r>
      <w:r w:rsidRPr="00855BA9">
        <w:rPr>
          <w:rFonts w:ascii="Calibri" w:hAnsi="Calibri" w:cs="Calibri"/>
          <w:color w:val="000000" w:themeColor="text1"/>
        </w:rPr>
        <w:t xml:space="preserve"> and </w:t>
      </w:r>
      <w:r w:rsidR="00D94FE7">
        <w:rPr>
          <w:rFonts w:ascii="Calibri" w:hAnsi="Calibri" w:cs="Calibri"/>
          <w:color w:val="000000" w:themeColor="text1"/>
        </w:rPr>
        <w:t>January</w:t>
      </w:r>
      <w:r w:rsidRPr="00855BA9">
        <w:rPr>
          <w:rFonts w:ascii="Calibri" w:hAnsi="Calibri" w:cs="Calibri"/>
          <w:color w:val="000000" w:themeColor="text1"/>
        </w:rPr>
        <w:t xml:space="preserve"> 202</w:t>
      </w:r>
      <w:r w:rsidR="00D94FE7">
        <w:rPr>
          <w:rFonts w:ascii="Calibri" w:hAnsi="Calibri" w:cs="Calibri"/>
          <w:color w:val="000000" w:themeColor="text1"/>
        </w:rPr>
        <w:t>6</w:t>
      </w:r>
      <w:r w:rsidRPr="00855BA9">
        <w:rPr>
          <w:rFonts w:ascii="Calibri" w:hAnsi="Calibri" w:cs="Calibri"/>
          <w:color w:val="000000" w:themeColor="text1"/>
        </w:rPr>
        <w:t>. All three assets reached their peaks in this window. The subsequent correction, accelerated by profit-taking, macro uncertainty, and a shift in market sentiment, erased a substantial portion of those gains.</w:t>
      </w:r>
    </w:p>
    <w:p w14:paraId="1F1F0643" w14:textId="77777777" w:rsidR="00A5746D" w:rsidRPr="00855BA9" w:rsidRDefault="00A5746D" w:rsidP="00A5746D">
      <w:pPr>
        <w:spacing w:before="80" w:after="80"/>
        <w:rPr>
          <w:rFonts w:ascii="Calibri" w:hAnsi="Calibri" w:cs="Calibri"/>
          <w:color w:val="000000" w:themeColor="text1"/>
        </w:rPr>
      </w:pPr>
    </w:p>
    <w:p w14:paraId="043FF09D"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5.2  Asset</w:t>
      </w:r>
      <w:proofErr w:type="gramEnd"/>
      <w:r w:rsidRPr="00855BA9">
        <w:rPr>
          <w:rFonts w:ascii="Calibri" w:eastAsia="Arial" w:hAnsi="Calibri" w:cs="Calibri"/>
          <w:b/>
          <w:bCs/>
          <w:color w:val="000000" w:themeColor="text1"/>
          <w:sz w:val="28"/>
          <w:szCs w:val="28"/>
        </w:rPr>
        <w:t>-Specific Observations</w:t>
      </w:r>
    </w:p>
    <w:p w14:paraId="23FE7A53"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BTC proved the most resilient in the correction phase, with lower volatility and the shallowest drawdown, validating its role as the "safe haven" within crypto portfolios.</w:t>
      </w:r>
    </w:p>
    <w:p w14:paraId="74A779F9"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ETH underperformed on nearly every risk-adjusted metric — high volatility, deepest negative monthly return (-32.77%), and the lowest Sharpe Ratio. This reflects structural headwinds from increasing L2 competition and a challenging DeFi environment.</w:t>
      </w:r>
    </w:p>
    <w:p w14:paraId="57FF2BA8" w14:textId="31BC13AD"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 xml:space="preserve">SOL was the highest-beta asset: spectacular upside (+40.25% in </w:t>
      </w:r>
      <w:r w:rsidR="00D94FE7">
        <w:rPr>
          <w:rFonts w:ascii="Calibri" w:hAnsi="Calibri" w:cs="Calibri"/>
          <w:color w:val="000000" w:themeColor="text1"/>
        </w:rPr>
        <w:t xml:space="preserve">Oct </w:t>
      </w:r>
      <w:r w:rsidRPr="00855BA9">
        <w:rPr>
          <w:rFonts w:ascii="Calibri" w:hAnsi="Calibri" w:cs="Calibri"/>
          <w:color w:val="000000" w:themeColor="text1"/>
        </w:rPr>
        <w:t xml:space="preserve">2025) and painful downside (-14.18% in </w:t>
      </w:r>
      <w:r w:rsidR="00D94FE7">
        <w:rPr>
          <w:rFonts w:ascii="Calibri" w:hAnsi="Calibri" w:cs="Calibri"/>
          <w:color w:val="000000" w:themeColor="text1"/>
        </w:rPr>
        <w:t>July</w:t>
      </w:r>
      <w:r w:rsidRPr="00855BA9">
        <w:rPr>
          <w:rFonts w:ascii="Calibri" w:hAnsi="Calibri" w:cs="Calibri"/>
          <w:color w:val="000000" w:themeColor="text1"/>
        </w:rPr>
        <w:t xml:space="preserve"> 2025 and further in the correction). SOL's ecosystem growth remains strong but its price is highly speculative.</w:t>
      </w:r>
    </w:p>
    <w:p w14:paraId="733AC2F1" w14:textId="77777777" w:rsidR="00A5746D" w:rsidRPr="00855BA9" w:rsidRDefault="00A5746D" w:rsidP="00A5746D">
      <w:pPr>
        <w:spacing w:before="80" w:after="80"/>
        <w:rPr>
          <w:rFonts w:ascii="Calibri" w:hAnsi="Calibri" w:cs="Calibri"/>
          <w:color w:val="000000" w:themeColor="text1"/>
        </w:rPr>
      </w:pPr>
    </w:p>
    <w:p w14:paraId="30557B82"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5.3  Diversification</w:t>
      </w:r>
      <w:proofErr w:type="gramEnd"/>
      <w:r w:rsidRPr="00855BA9">
        <w:rPr>
          <w:rFonts w:ascii="Calibri" w:eastAsia="Arial" w:hAnsi="Calibri" w:cs="Calibri"/>
          <w:b/>
          <w:bCs/>
          <w:color w:val="000000" w:themeColor="text1"/>
          <w:sz w:val="28"/>
          <w:szCs w:val="28"/>
        </w:rPr>
        <w:t xml:space="preserve"> Limitations</w:t>
      </w:r>
    </w:p>
    <w:p w14:paraId="5A6FE9B1"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 xml:space="preserve">With all three assets showing correlations above 0.65, this portfolio does not achieve meaningful risk diversification. During the bull phase, all three assets rose together; during the correction, all three fell together. True diversification in crypto would require incorporating uncorrelated assets such as stablecoins, </w:t>
      </w:r>
      <w:proofErr w:type="spellStart"/>
      <w:r w:rsidRPr="00855BA9">
        <w:rPr>
          <w:rFonts w:ascii="Calibri" w:hAnsi="Calibri" w:cs="Calibri"/>
          <w:color w:val="000000" w:themeColor="text1"/>
        </w:rPr>
        <w:t>tokenised</w:t>
      </w:r>
      <w:proofErr w:type="spellEnd"/>
      <w:r w:rsidRPr="00855BA9">
        <w:rPr>
          <w:rFonts w:ascii="Calibri" w:hAnsi="Calibri" w:cs="Calibri"/>
          <w:color w:val="000000" w:themeColor="text1"/>
        </w:rPr>
        <w:t xml:space="preserve"> real-world assets, or allocations outside of crypto entirely.</w:t>
      </w:r>
    </w:p>
    <w:p w14:paraId="1264FF60" w14:textId="77777777" w:rsidR="00A5746D" w:rsidRPr="00855BA9" w:rsidRDefault="00A5746D" w:rsidP="00A5746D">
      <w:pPr>
        <w:spacing w:before="80" w:after="80"/>
        <w:rPr>
          <w:rFonts w:ascii="Calibri" w:hAnsi="Calibri" w:cs="Calibri"/>
          <w:color w:val="000000" w:themeColor="text1"/>
        </w:rPr>
      </w:pPr>
    </w:p>
    <w:p w14:paraId="47A5B1B5"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5.4  Risk</w:t>
      </w:r>
      <w:proofErr w:type="gramEnd"/>
      <w:r w:rsidRPr="00855BA9">
        <w:rPr>
          <w:rFonts w:ascii="Calibri" w:eastAsia="Arial" w:hAnsi="Calibri" w:cs="Calibri"/>
          <w:b/>
          <w:bCs/>
          <w:color w:val="000000" w:themeColor="text1"/>
          <w:sz w:val="28"/>
          <w:szCs w:val="28"/>
        </w:rPr>
        <w:t>-Return Trade-off</w:t>
      </w:r>
    </w:p>
    <w:p w14:paraId="3A9F508F"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BTC offered the best balance of drawdown protection and relative return stability. SOL offered the best Sharpe Ratio but at the cost of extreme drawdown risk. ETH sits in a challenging middle ground — high risk without compensating return. For risk-conscious investors, an overweight to BTC with a smaller SOL allocation would have marginally outperformed the equal-weight strategy while reducing portfolio volatility.</w:t>
      </w:r>
    </w:p>
    <w:p w14:paraId="0CE255B2" w14:textId="77777777" w:rsidR="00A5746D" w:rsidRPr="00855BA9" w:rsidRDefault="00A5746D" w:rsidP="00A5746D">
      <w:pPr>
        <w:rPr>
          <w:rFonts w:ascii="Calibri" w:hAnsi="Calibri" w:cs="Calibri"/>
          <w:color w:val="000000" w:themeColor="text1"/>
        </w:rPr>
      </w:pPr>
      <w:r w:rsidRPr="00855BA9">
        <w:rPr>
          <w:rFonts w:ascii="Calibri" w:hAnsi="Calibri" w:cs="Calibri"/>
          <w:color w:val="000000" w:themeColor="text1"/>
        </w:rPr>
        <w:br w:type="page"/>
      </w:r>
    </w:p>
    <w:p w14:paraId="61FE35AD" w14:textId="77777777" w:rsidR="00A5746D" w:rsidRPr="00855BA9" w:rsidRDefault="00A5746D" w:rsidP="00A5746D">
      <w:pPr>
        <w:pStyle w:val="Heading1"/>
        <w:rPr>
          <w:rFonts w:ascii="Calibri" w:hAnsi="Calibri" w:cs="Calibri"/>
          <w:color w:val="000000" w:themeColor="text1"/>
        </w:rPr>
      </w:pPr>
      <w:r w:rsidRPr="00855BA9">
        <w:rPr>
          <w:rFonts w:ascii="Calibri" w:eastAsia="Arial" w:hAnsi="Calibri" w:cs="Calibri"/>
          <w:b/>
          <w:bCs/>
          <w:color w:val="000000" w:themeColor="text1"/>
          <w:sz w:val="36"/>
          <w:szCs w:val="36"/>
        </w:rPr>
        <w:lastRenderedPageBreak/>
        <w:t>6. Recommendations</w:t>
      </w:r>
    </w:p>
    <w:p w14:paraId="705E0789"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Based on the 12-month performance and risk analysis, the following portfolio adjustments and strategies are recommended:</w:t>
      </w:r>
    </w:p>
    <w:p w14:paraId="6253FCDE" w14:textId="77777777" w:rsidR="00A5746D" w:rsidRPr="00855BA9" w:rsidRDefault="00A5746D" w:rsidP="00A5746D">
      <w:pPr>
        <w:spacing w:before="80" w:after="80"/>
        <w:rPr>
          <w:rFonts w:ascii="Calibri" w:hAnsi="Calibri" w:cs="Calibri"/>
          <w:color w:val="000000" w:themeColor="text1"/>
        </w:rPr>
      </w:pPr>
    </w:p>
    <w:p w14:paraId="4B18B248"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6.1  Suggested</w:t>
      </w:r>
      <w:proofErr w:type="gramEnd"/>
      <w:r w:rsidRPr="00855BA9">
        <w:rPr>
          <w:rFonts w:ascii="Calibri" w:eastAsia="Arial" w:hAnsi="Calibri" w:cs="Calibri"/>
          <w:b/>
          <w:bCs/>
          <w:color w:val="000000" w:themeColor="text1"/>
          <w:sz w:val="28"/>
          <w:szCs w:val="28"/>
        </w:rPr>
        <w:t xml:space="preserve"> Portfolio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5BA9" w:rsidRPr="00855BA9" w14:paraId="07E6C500" w14:textId="77777777" w:rsidTr="00906C5C">
        <w:trPr>
          <w:trHeight w:val="278"/>
        </w:trPr>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D7C41A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Asset</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2EEB6A5"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Current (Equal)</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AE1CD21"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Recommended</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3874820"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Rationale</w:t>
            </w:r>
          </w:p>
        </w:tc>
      </w:tr>
      <w:tr w:rsidR="00855BA9" w:rsidRPr="00855BA9" w14:paraId="15AA07BF"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B204E84"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BTC</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170FCA9"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33.3%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699D00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5CDDD28"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Lowest risk, best MDD</w:t>
            </w:r>
          </w:p>
        </w:tc>
      </w:tr>
      <w:tr w:rsidR="00855BA9" w:rsidRPr="00855BA9" w14:paraId="71533BF3" w14:textId="77777777" w:rsidTr="00212355">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7F76A"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ETH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B6CDB"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33.3%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BF51C"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25%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70E10"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High vol, underperformance</w:t>
            </w:r>
          </w:p>
        </w:tc>
      </w:tr>
      <w:tr w:rsidR="00855BA9" w:rsidRPr="00855BA9" w14:paraId="1B338FE8" w14:textId="77777777" w:rsidTr="00906C5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12FC5B3"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SOL</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0C03793"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33.3%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920CA2F" w14:textId="77777777" w:rsidR="00A5746D" w:rsidRPr="00855BA9" w:rsidRDefault="00A5746D" w:rsidP="00212355">
            <w:pPr>
              <w:jc w:val="center"/>
              <w:rPr>
                <w:rFonts w:ascii="Calibri" w:hAnsi="Calibri" w:cs="Calibri"/>
                <w:color w:val="000000" w:themeColor="text1"/>
              </w:rPr>
            </w:pPr>
            <w:r w:rsidRPr="00855BA9">
              <w:rPr>
                <w:rFonts w:ascii="Calibri" w:hAnsi="Calibri" w:cs="Calibri"/>
                <w:b/>
                <w:bCs/>
                <w:color w:val="000000" w:themeColor="text1"/>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9F9475C" w14:textId="77777777" w:rsidR="00A5746D" w:rsidRPr="00855BA9" w:rsidRDefault="00A5746D" w:rsidP="00212355">
            <w:pPr>
              <w:jc w:val="center"/>
              <w:rPr>
                <w:rFonts w:ascii="Calibri" w:hAnsi="Calibri" w:cs="Calibri"/>
                <w:color w:val="000000" w:themeColor="text1"/>
              </w:rPr>
            </w:pPr>
            <w:r w:rsidRPr="00855BA9">
              <w:rPr>
                <w:rFonts w:ascii="Calibri" w:hAnsi="Calibri" w:cs="Calibri"/>
                <w:color w:val="000000" w:themeColor="text1"/>
                <w:sz w:val="20"/>
                <w:szCs w:val="20"/>
              </w:rPr>
              <w:t>High risk, high reward</w:t>
            </w:r>
          </w:p>
        </w:tc>
      </w:tr>
    </w:tbl>
    <w:p w14:paraId="242477F2" w14:textId="77777777" w:rsidR="00A5746D" w:rsidRPr="00855BA9" w:rsidRDefault="00A5746D" w:rsidP="00A5746D">
      <w:pPr>
        <w:spacing w:before="80" w:after="80"/>
        <w:rPr>
          <w:rFonts w:ascii="Calibri" w:hAnsi="Calibri" w:cs="Calibri"/>
          <w:color w:val="000000" w:themeColor="text1"/>
        </w:rPr>
      </w:pPr>
    </w:p>
    <w:p w14:paraId="261A4F64"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6.2  Strategic</w:t>
      </w:r>
      <w:proofErr w:type="gramEnd"/>
      <w:r w:rsidRPr="00855BA9">
        <w:rPr>
          <w:rFonts w:ascii="Calibri" w:eastAsia="Arial" w:hAnsi="Calibri" w:cs="Calibri"/>
          <w:b/>
          <w:bCs/>
          <w:color w:val="000000" w:themeColor="text1"/>
          <w:sz w:val="28"/>
          <w:szCs w:val="28"/>
        </w:rPr>
        <w:t xml:space="preserve"> Recommendations</w:t>
      </w:r>
    </w:p>
    <w:p w14:paraId="5A6465F3"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Increase BTC allocation: BTC's lower volatility, shallower drawdown, and status as a macro hedge make it the anchor holding in any crypto portfolio. A 50% BTC weighting is recommended for risk-managed portfolios.</w:t>
      </w:r>
    </w:p>
    <w:p w14:paraId="58A80513" w14:textId="572118B8"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Reduce ETH exposure cautiously: ETH continues to face headwinds from layer-2 competition. Monitor the Ethereum ecosystem's ability to capture value; consider reducing ETH below 25% if underperformance continues into 202</w:t>
      </w:r>
      <w:r w:rsidR="00D94FE7">
        <w:rPr>
          <w:rFonts w:ascii="Calibri" w:hAnsi="Calibri" w:cs="Calibri"/>
          <w:color w:val="000000" w:themeColor="text1"/>
        </w:rPr>
        <w:t>5</w:t>
      </w:r>
      <w:r w:rsidRPr="00855BA9">
        <w:rPr>
          <w:rFonts w:ascii="Calibri" w:hAnsi="Calibri" w:cs="Calibri"/>
          <w:color w:val="000000" w:themeColor="text1"/>
        </w:rPr>
        <w:t xml:space="preserve"> Q</w:t>
      </w:r>
      <w:r w:rsidR="00D94FE7">
        <w:rPr>
          <w:rFonts w:ascii="Calibri" w:hAnsi="Calibri" w:cs="Calibri"/>
          <w:color w:val="000000" w:themeColor="text1"/>
        </w:rPr>
        <w:t>3</w:t>
      </w:r>
      <w:r w:rsidRPr="00855BA9">
        <w:rPr>
          <w:rFonts w:ascii="Calibri" w:hAnsi="Calibri" w:cs="Calibri"/>
          <w:color w:val="000000" w:themeColor="text1"/>
        </w:rPr>
        <w:t>.</w:t>
      </w:r>
    </w:p>
    <w:p w14:paraId="40D79606"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Maintain selective SOL exposure: SOL's high-beta nature offers explosive upside in bull markets. Keeping it at 25% captures upside while limiting downside relative to an overweight position.</w:t>
      </w:r>
    </w:p>
    <w:p w14:paraId="29A34224"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Implement stop-loss levels: Given the observed maximum drawdowns (42–60%), setting trailing stop-losses at 15–20% below recent highs can limit downside exposure in future corrections.</w:t>
      </w:r>
    </w:p>
    <w:p w14:paraId="772D305F" w14:textId="04FD0EA0"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 xml:space="preserve">Consider Dollar-Cost Averaging (DCA): Rather than lump-sum entries, a monthly DCA strategy would smooth out the impact of the high volatility observed in this period, particularly during the </w:t>
      </w:r>
      <w:r w:rsidR="00463E47">
        <w:rPr>
          <w:rFonts w:ascii="Calibri" w:hAnsi="Calibri" w:cs="Calibri"/>
          <w:color w:val="000000" w:themeColor="text1"/>
        </w:rPr>
        <w:t>Oct</w:t>
      </w:r>
      <w:r w:rsidRPr="00855BA9">
        <w:rPr>
          <w:rFonts w:ascii="Calibri" w:hAnsi="Calibri" w:cs="Calibri"/>
          <w:color w:val="000000" w:themeColor="text1"/>
        </w:rPr>
        <w:t>–</w:t>
      </w:r>
      <w:r w:rsidR="00463E47">
        <w:rPr>
          <w:rFonts w:ascii="Calibri" w:hAnsi="Calibri" w:cs="Calibri"/>
          <w:color w:val="000000" w:themeColor="text1"/>
        </w:rPr>
        <w:t>Nov</w:t>
      </w:r>
      <w:r w:rsidRPr="00855BA9">
        <w:rPr>
          <w:rFonts w:ascii="Calibri" w:hAnsi="Calibri" w:cs="Calibri"/>
          <w:color w:val="000000" w:themeColor="text1"/>
        </w:rPr>
        <w:t xml:space="preserve"> 2025 peak and subsequent correction.</w:t>
      </w:r>
    </w:p>
    <w:p w14:paraId="1BA5AFCA"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Monitor correlation dynamics: During bull phases, monitor whether correlation between assets diverges — if ETH or SOL decouple from BTC, this could signal individual asset-specific catalysts worth acting on.</w:t>
      </w:r>
    </w:p>
    <w:p w14:paraId="3E5594DA"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Add uncorrelated assets: To improve true portfolio diversification, consider allocating 10–20% of the broader investment portfolio to non-crypto assets or stablecoins to hedge against systemic crypto market downturns.</w:t>
      </w:r>
    </w:p>
    <w:p w14:paraId="743C3912" w14:textId="77777777" w:rsidR="00A5746D" w:rsidRPr="00855BA9" w:rsidRDefault="00A5746D" w:rsidP="00A5746D">
      <w:pPr>
        <w:spacing w:before="80" w:after="80"/>
        <w:rPr>
          <w:rFonts w:ascii="Calibri" w:hAnsi="Calibri" w:cs="Calibri"/>
          <w:color w:val="000000" w:themeColor="text1"/>
        </w:rPr>
      </w:pPr>
    </w:p>
    <w:p w14:paraId="45666B7D" w14:textId="77777777" w:rsidR="00A5746D" w:rsidRPr="00855BA9" w:rsidRDefault="00A5746D" w:rsidP="00A5746D">
      <w:pPr>
        <w:pStyle w:val="Heading2"/>
        <w:rPr>
          <w:rFonts w:ascii="Calibri" w:hAnsi="Calibri" w:cs="Calibri"/>
          <w:color w:val="000000" w:themeColor="text1"/>
        </w:rPr>
      </w:pPr>
      <w:proofErr w:type="gramStart"/>
      <w:r w:rsidRPr="00855BA9">
        <w:rPr>
          <w:rFonts w:ascii="Calibri" w:eastAsia="Arial" w:hAnsi="Calibri" w:cs="Calibri"/>
          <w:b/>
          <w:bCs/>
          <w:color w:val="000000" w:themeColor="text1"/>
          <w:sz w:val="28"/>
          <w:szCs w:val="28"/>
        </w:rPr>
        <w:t>6.3  Risk</w:t>
      </w:r>
      <w:proofErr w:type="gramEnd"/>
      <w:r w:rsidRPr="00855BA9">
        <w:rPr>
          <w:rFonts w:ascii="Calibri" w:eastAsia="Arial" w:hAnsi="Calibri" w:cs="Calibri"/>
          <w:b/>
          <w:bCs/>
          <w:color w:val="000000" w:themeColor="text1"/>
          <w:sz w:val="28"/>
          <w:szCs w:val="28"/>
        </w:rPr>
        <w:t xml:space="preserve"> Warnings</w:t>
      </w:r>
    </w:p>
    <w:p w14:paraId="05366F4F"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Past performance does not guarantee future results. Cryptocurrency markets are highly speculative, subject to regulatory changes, and can experience extreme volatility. All recommendations above are analytical in nature and should not be construed as financial advice. Investors should conduct their own due diligence and consider their individual risk tolerance before making investment decisions.</w:t>
      </w:r>
    </w:p>
    <w:p w14:paraId="1458D576" w14:textId="77777777" w:rsidR="00A5746D" w:rsidRPr="00855BA9" w:rsidRDefault="00A5746D" w:rsidP="00A5746D">
      <w:pPr>
        <w:rPr>
          <w:rFonts w:ascii="Calibri" w:hAnsi="Calibri" w:cs="Calibri"/>
          <w:color w:val="000000" w:themeColor="text1"/>
        </w:rPr>
      </w:pPr>
      <w:r w:rsidRPr="00855BA9">
        <w:rPr>
          <w:rFonts w:ascii="Calibri" w:hAnsi="Calibri" w:cs="Calibri"/>
          <w:color w:val="000000" w:themeColor="text1"/>
        </w:rPr>
        <w:br w:type="page"/>
      </w:r>
    </w:p>
    <w:p w14:paraId="2F01C657" w14:textId="77777777" w:rsidR="00A5746D" w:rsidRPr="00855BA9" w:rsidRDefault="00A5746D" w:rsidP="00A5746D">
      <w:pPr>
        <w:pStyle w:val="Heading1"/>
        <w:rPr>
          <w:rFonts w:ascii="Calibri" w:hAnsi="Calibri" w:cs="Calibri"/>
          <w:color w:val="000000" w:themeColor="text1"/>
        </w:rPr>
      </w:pPr>
      <w:r w:rsidRPr="00855BA9">
        <w:rPr>
          <w:rFonts w:ascii="Calibri" w:eastAsia="Arial" w:hAnsi="Calibri" w:cs="Calibri"/>
          <w:b/>
          <w:bCs/>
          <w:color w:val="000000" w:themeColor="text1"/>
          <w:sz w:val="36"/>
          <w:szCs w:val="36"/>
        </w:rPr>
        <w:lastRenderedPageBreak/>
        <w:t>7. Conclusion</w:t>
      </w:r>
    </w:p>
    <w:p w14:paraId="7222D377" w14:textId="2D828C02"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This 12-month analysis of BTC, ETH, and SOL reveals a portfolio shaped by the Bitcoin halving cycle: a powerful bull run from Q4 202</w:t>
      </w:r>
      <w:r w:rsidR="00906C5C">
        <w:rPr>
          <w:rFonts w:ascii="Calibri" w:hAnsi="Calibri" w:cs="Calibri"/>
          <w:color w:val="000000" w:themeColor="text1"/>
        </w:rPr>
        <w:t>4</w:t>
      </w:r>
      <w:r w:rsidRPr="00855BA9">
        <w:rPr>
          <w:rFonts w:ascii="Calibri" w:hAnsi="Calibri" w:cs="Calibri"/>
          <w:color w:val="000000" w:themeColor="text1"/>
        </w:rPr>
        <w:t xml:space="preserve"> into early 2025, followed by a sharp correction that erased most gains and pushed all three assets into negative total return territory by May 202</w:t>
      </w:r>
      <w:r w:rsidR="00906C5C">
        <w:rPr>
          <w:rFonts w:ascii="Calibri" w:hAnsi="Calibri" w:cs="Calibri"/>
          <w:color w:val="000000" w:themeColor="text1"/>
        </w:rPr>
        <w:t>6</w:t>
      </w:r>
      <w:r w:rsidRPr="00855BA9">
        <w:rPr>
          <w:rFonts w:ascii="Calibri" w:hAnsi="Calibri" w:cs="Calibri"/>
          <w:color w:val="000000" w:themeColor="text1"/>
        </w:rPr>
        <w:t>.</w:t>
      </w:r>
    </w:p>
    <w:p w14:paraId="3D177098" w14:textId="77777777" w:rsidR="00A5746D" w:rsidRPr="00855BA9" w:rsidRDefault="00A5746D" w:rsidP="00A5746D">
      <w:pPr>
        <w:spacing w:before="80" w:after="80"/>
        <w:rPr>
          <w:rFonts w:ascii="Calibri" w:hAnsi="Calibri" w:cs="Calibri"/>
          <w:color w:val="000000" w:themeColor="text1"/>
        </w:rPr>
      </w:pPr>
    </w:p>
    <w:p w14:paraId="47475481"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Key takeaways are:</w:t>
      </w:r>
    </w:p>
    <w:p w14:paraId="1681B82D"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Bitcoin remains the most risk-efficient crypto asset for portfolio anchoring.</w:t>
      </w:r>
    </w:p>
    <w:p w14:paraId="09834BA0"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Ethereum faces structural challenges that are dampening its risk-adjusted returns.</w:t>
      </w:r>
    </w:p>
    <w:p w14:paraId="0CF8F239"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Solana offers the highest beta — ideal for tactical allocations, not core holdings.</w:t>
      </w:r>
    </w:p>
    <w:p w14:paraId="457137EB"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High inter-asset correlation limits diversification within an all-crypto portfolio.</w:t>
      </w:r>
    </w:p>
    <w:p w14:paraId="237B0997"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Risk management (stop-losses, DCA, position sizing) is critical given 40–60% drawdown potential.</w:t>
      </w:r>
    </w:p>
    <w:p w14:paraId="422BA9D1" w14:textId="77777777" w:rsidR="00A5746D" w:rsidRPr="00855BA9" w:rsidRDefault="00A5746D" w:rsidP="00A5746D">
      <w:pPr>
        <w:spacing w:before="80" w:after="80"/>
        <w:rPr>
          <w:rFonts w:ascii="Calibri" w:hAnsi="Calibri" w:cs="Calibri"/>
          <w:color w:val="000000" w:themeColor="text1"/>
        </w:rPr>
      </w:pPr>
    </w:p>
    <w:p w14:paraId="201E871A" w14:textId="77777777" w:rsidR="00A5746D" w:rsidRPr="00855BA9" w:rsidRDefault="00A5746D" w:rsidP="00A5746D">
      <w:pPr>
        <w:spacing w:before="80" w:after="80"/>
        <w:rPr>
          <w:rFonts w:ascii="Calibri" w:hAnsi="Calibri" w:cs="Calibri"/>
          <w:color w:val="000000" w:themeColor="text1"/>
        </w:rPr>
      </w:pPr>
      <w:r w:rsidRPr="00855BA9">
        <w:rPr>
          <w:rFonts w:ascii="Calibri" w:hAnsi="Calibri" w:cs="Calibri"/>
          <w:color w:val="000000" w:themeColor="text1"/>
        </w:rPr>
        <w:t>Going forward, a BTC-heavy allocation with measured exposure to SOL and ETH, combined with disciplined risk management, represents the most prudent strategy based on the data reviewed.</w:t>
      </w:r>
    </w:p>
    <w:p w14:paraId="2FF6C546" w14:textId="77777777" w:rsidR="00A5746D" w:rsidRDefault="00A5746D" w:rsidP="00A5746D">
      <w:pPr>
        <w:spacing w:before="80" w:after="80"/>
        <w:rPr>
          <w:rFonts w:ascii="Calibri" w:hAnsi="Calibri" w:cs="Calibri"/>
          <w:color w:val="000000" w:themeColor="text1"/>
        </w:rPr>
      </w:pPr>
    </w:p>
    <w:p w14:paraId="42C973F7" w14:textId="77777777" w:rsidR="00906C5C" w:rsidRPr="00855BA9" w:rsidRDefault="00906C5C" w:rsidP="00A5746D">
      <w:pPr>
        <w:spacing w:before="80" w:after="80"/>
        <w:rPr>
          <w:rFonts w:ascii="Calibri" w:hAnsi="Calibri" w:cs="Calibri"/>
          <w:color w:val="000000" w:themeColor="text1"/>
        </w:rPr>
      </w:pPr>
    </w:p>
    <w:p w14:paraId="28FAD41D" w14:textId="77777777" w:rsidR="00A5746D" w:rsidRPr="00855BA9" w:rsidRDefault="00A5746D" w:rsidP="00A5746D">
      <w:pPr>
        <w:pStyle w:val="Heading1"/>
        <w:rPr>
          <w:rFonts w:ascii="Calibri" w:hAnsi="Calibri" w:cs="Calibri"/>
          <w:color w:val="000000" w:themeColor="text1"/>
        </w:rPr>
      </w:pPr>
      <w:r w:rsidRPr="00855BA9">
        <w:rPr>
          <w:rFonts w:ascii="Calibri" w:eastAsia="Arial" w:hAnsi="Calibri" w:cs="Calibri"/>
          <w:b/>
          <w:bCs/>
          <w:color w:val="000000" w:themeColor="text1"/>
          <w:sz w:val="36"/>
          <w:szCs w:val="36"/>
        </w:rPr>
        <w:t>8. References &amp; Data Sources</w:t>
      </w:r>
    </w:p>
    <w:p w14:paraId="39A83387"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proofErr w:type="spellStart"/>
      <w:r w:rsidRPr="00855BA9">
        <w:rPr>
          <w:rFonts w:ascii="Calibri" w:hAnsi="Calibri" w:cs="Calibri"/>
          <w:color w:val="000000" w:themeColor="text1"/>
        </w:rPr>
        <w:t>CoinGecko</w:t>
      </w:r>
      <w:proofErr w:type="spellEnd"/>
      <w:r w:rsidRPr="00855BA9">
        <w:rPr>
          <w:rFonts w:ascii="Calibri" w:hAnsi="Calibri" w:cs="Calibri"/>
          <w:color w:val="000000" w:themeColor="text1"/>
        </w:rPr>
        <w:t xml:space="preserve"> — Historical price data for BTC, ETH, SOL</w:t>
      </w:r>
    </w:p>
    <w:p w14:paraId="04CD9777"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proofErr w:type="spellStart"/>
      <w:r w:rsidRPr="00855BA9">
        <w:rPr>
          <w:rFonts w:ascii="Calibri" w:hAnsi="Calibri" w:cs="Calibri"/>
          <w:color w:val="000000" w:themeColor="text1"/>
        </w:rPr>
        <w:t>CoinMarketCap</w:t>
      </w:r>
      <w:proofErr w:type="spellEnd"/>
      <w:r w:rsidRPr="00855BA9">
        <w:rPr>
          <w:rFonts w:ascii="Calibri" w:hAnsi="Calibri" w:cs="Calibri"/>
          <w:color w:val="000000" w:themeColor="text1"/>
        </w:rPr>
        <w:t xml:space="preserve"> — Market cap and volume data</w:t>
      </w:r>
    </w:p>
    <w:p w14:paraId="5E386667"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proofErr w:type="spellStart"/>
      <w:r w:rsidRPr="00855BA9">
        <w:rPr>
          <w:rFonts w:ascii="Calibri" w:hAnsi="Calibri" w:cs="Calibri"/>
          <w:color w:val="000000" w:themeColor="text1"/>
        </w:rPr>
        <w:t>TradingView</w:t>
      </w:r>
      <w:proofErr w:type="spellEnd"/>
      <w:r w:rsidRPr="00855BA9">
        <w:rPr>
          <w:rFonts w:ascii="Calibri" w:hAnsi="Calibri" w:cs="Calibri"/>
          <w:color w:val="000000" w:themeColor="text1"/>
        </w:rPr>
        <w:t xml:space="preserve"> — Technical chart analysis</w:t>
      </w:r>
    </w:p>
    <w:p w14:paraId="34BD63C5" w14:textId="77777777" w:rsidR="00A5746D" w:rsidRPr="00855BA9" w:rsidRDefault="00A5746D" w:rsidP="00A5746D">
      <w:pPr>
        <w:pStyle w:val="ListParagraph"/>
        <w:numPr>
          <w:ilvl w:val="0"/>
          <w:numId w:val="1"/>
        </w:numPr>
        <w:spacing w:before="60" w:after="60"/>
        <w:contextualSpacing w:val="0"/>
        <w:rPr>
          <w:rFonts w:ascii="Calibri" w:hAnsi="Calibri" w:cs="Calibri"/>
          <w:color w:val="000000" w:themeColor="text1"/>
        </w:rPr>
      </w:pPr>
      <w:r w:rsidRPr="00855BA9">
        <w:rPr>
          <w:rFonts w:ascii="Calibri" w:hAnsi="Calibri" w:cs="Calibri"/>
          <w:color w:val="000000" w:themeColor="text1"/>
        </w:rPr>
        <w:t>Investopedia — Sharpe Ratio and volatility methodology</w:t>
      </w:r>
    </w:p>
    <w:p w14:paraId="3BA710E0" w14:textId="61AB49C2" w:rsidR="00FE0A1F" w:rsidRPr="00855BA9" w:rsidRDefault="00FE0A1F" w:rsidP="00A5746D">
      <w:pPr>
        <w:rPr>
          <w:rFonts w:ascii="Calibri" w:hAnsi="Calibri" w:cs="Calibri"/>
          <w:color w:val="000000" w:themeColor="text1"/>
        </w:rPr>
      </w:pPr>
    </w:p>
    <w:sectPr w:rsidR="00FE0A1F" w:rsidRPr="00855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666EB"/>
    <w:multiLevelType w:val="hybridMultilevel"/>
    <w:tmpl w:val="3EFEE7F6"/>
    <w:lvl w:ilvl="0" w:tplc="65B89A9A">
      <w:start w:val="1"/>
      <w:numFmt w:val="bullet"/>
      <w:lvlText w:val="•"/>
      <w:lvlJc w:val="left"/>
      <w:pPr>
        <w:ind w:left="720" w:hanging="360"/>
      </w:pPr>
    </w:lvl>
    <w:lvl w:ilvl="1" w:tplc="7F2059EC">
      <w:numFmt w:val="decimal"/>
      <w:lvlText w:val=""/>
      <w:lvlJc w:val="left"/>
    </w:lvl>
    <w:lvl w:ilvl="2" w:tplc="2D86DE82">
      <w:numFmt w:val="decimal"/>
      <w:lvlText w:val=""/>
      <w:lvlJc w:val="left"/>
    </w:lvl>
    <w:lvl w:ilvl="3" w:tplc="A16C4CE8">
      <w:numFmt w:val="decimal"/>
      <w:lvlText w:val=""/>
      <w:lvlJc w:val="left"/>
    </w:lvl>
    <w:lvl w:ilvl="4" w:tplc="F656F616">
      <w:numFmt w:val="decimal"/>
      <w:lvlText w:val=""/>
      <w:lvlJc w:val="left"/>
    </w:lvl>
    <w:lvl w:ilvl="5" w:tplc="3D16F3E8">
      <w:numFmt w:val="decimal"/>
      <w:lvlText w:val=""/>
      <w:lvlJc w:val="left"/>
    </w:lvl>
    <w:lvl w:ilvl="6" w:tplc="9DA8E006">
      <w:numFmt w:val="decimal"/>
      <w:lvlText w:val=""/>
      <w:lvlJc w:val="left"/>
    </w:lvl>
    <w:lvl w:ilvl="7" w:tplc="D482126E">
      <w:numFmt w:val="decimal"/>
      <w:lvlText w:val=""/>
      <w:lvlJc w:val="left"/>
    </w:lvl>
    <w:lvl w:ilvl="8" w:tplc="60CE22FA">
      <w:numFmt w:val="decimal"/>
      <w:lvlText w:val=""/>
      <w:lvlJc w:val="left"/>
    </w:lvl>
  </w:abstractNum>
  <w:num w:numId="1" w16cid:durableId="168646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6D"/>
    <w:rsid w:val="002B4BC6"/>
    <w:rsid w:val="002F7378"/>
    <w:rsid w:val="00463E47"/>
    <w:rsid w:val="007A28F5"/>
    <w:rsid w:val="00855BA9"/>
    <w:rsid w:val="00906C5C"/>
    <w:rsid w:val="009D3F16"/>
    <w:rsid w:val="009F78E8"/>
    <w:rsid w:val="00A5746D"/>
    <w:rsid w:val="00D94FE7"/>
    <w:rsid w:val="00FE0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3C39"/>
  <w15:chartTrackingRefBased/>
  <w15:docId w15:val="{F61CD6E1-91D9-474E-BD17-E56EB291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46D"/>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57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7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4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4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4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4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46D"/>
    <w:rPr>
      <w:rFonts w:eastAsiaTheme="majorEastAsia" w:cstheme="majorBidi"/>
      <w:color w:val="272727" w:themeColor="text1" w:themeTint="D8"/>
    </w:rPr>
  </w:style>
  <w:style w:type="paragraph" w:styleId="Title">
    <w:name w:val="Title"/>
    <w:basedOn w:val="Normal"/>
    <w:next w:val="Normal"/>
    <w:link w:val="TitleChar"/>
    <w:uiPriority w:val="10"/>
    <w:qFormat/>
    <w:rsid w:val="00A574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46D"/>
    <w:pPr>
      <w:spacing w:before="160"/>
      <w:jc w:val="center"/>
    </w:pPr>
    <w:rPr>
      <w:i/>
      <w:iCs/>
      <w:color w:val="404040" w:themeColor="text1" w:themeTint="BF"/>
    </w:rPr>
  </w:style>
  <w:style w:type="character" w:customStyle="1" w:styleId="QuoteChar">
    <w:name w:val="Quote Char"/>
    <w:basedOn w:val="DefaultParagraphFont"/>
    <w:link w:val="Quote"/>
    <w:uiPriority w:val="29"/>
    <w:rsid w:val="00A5746D"/>
    <w:rPr>
      <w:i/>
      <w:iCs/>
      <w:color w:val="404040" w:themeColor="text1" w:themeTint="BF"/>
    </w:rPr>
  </w:style>
  <w:style w:type="paragraph" w:styleId="ListParagraph">
    <w:name w:val="List Paragraph"/>
    <w:basedOn w:val="Normal"/>
    <w:qFormat/>
    <w:rsid w:val="00A5746D"/>
    <w:pPr>
      <w:ind w:left="720"/>
      <w:contextualSpacing/>
    </w:pPr>
  </w:style>
  <w:style w:type="character" w:styleId="IntenseEmphasis">
    <w:name w:val="Intense Emphasis"/>
    <w:basedOn w:val="DefaultParagraphFont"/>
    <w:uiPriority w:val="21"/>
    <w:qFormat/>
    <w:rsid w:val="00A5746D"/>
    <w:rPr>
      <w:i/>
      <w:iCs/>
      <w:color w:val="0F4761" w:themeColor="accent1" w:themeShade="BF"/>
    </w:rPr>
  </w:style>
  <w:style w:type="paragraph" w:styleId="IntenseQuote">
    <w:name w:val="Intense Quote"/>
    <w:basedOn w:val="Normal"/>
    <w:next w:val="Normal"/>
    <w:link w:val="IntenseQuoteChar"/>
    <w:uiPriority w:val="30"/>
    <w:qFormat/>
    <w:rsid w:val="00A57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46D"/>
    <w:rPr>
      <w:i/>
      <w:iCs/>
      <w:color w:val="0F4761" w:themeColor="accent1" w:themeShade="BF"/>
    </w:rPr>
  </w:style>
  <w:style w:type="character" w:styleId="IntenseReference">
    <w:name w:val="Intense Reference"/>
    <w:basedOn w:val="DefaultParagraphFont"/>
    <w:uiPriority w:val="32"/>
    <w:qFormat/>
    <w:rsid w:val="00A5746D"/>
    <w:rPr>
      <w:b/>
      <w:bCs/>
      <w:smallCaps/>
      <w:color w:val="0F4761" w:themeColor="accent1" w:themeShade="BF"/>
      <w:spacing w:val="5"/>
    </w:rPr>
  </w:style>
  <w:style w:type="paragraph" w:styleId="NoSpacing">
    <w:name w:val="No Spacing"/>
    <w:uiPriority w:val="1"/>
    <w:qFormat/>
    <w:rsid w:val="00A5746D"/>
    <w:pPr>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2080</Words>
  <Characters>11860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2026-06-10T12:49:00Z</dcterms:created>
  <dcterms:modified xsi:type="dcterms:W3CDTF">2026-06-13T22:49:00Z</dcterms:modified>
</cp:coreProperties>
</file>