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D055CD">
      <w:pPr>
        <w:spacing w:before="1440" w:after="120"/>
        <w:jc w:val="center"/>
        <w:rPr>
          <w:rFonts w:hint="default" w:ascii="Times New Roman" w:hAnsi="Times New Roman" w:cs="Times New Roman"/>
          <w:b w:val="0"/>
          <w:bCs w:val="0"/>
        </w:rPr>
      </w:pPr>
      <w:r>
        <w:rPr>
          <w:rFonts w:hint="default" w:ascii="Times New Roman" w:hAnsi="Times New Roman" w:eastAsia="Arial" w:cs="Times New Roman"/>
          <w:b w:val="0"/>
          <w:bCs w:val="0"/>
          <w:color w:val="1F4E79"/>
          <w:sz w:val="64"/>
          <w:szCs w:val="64"/>
        </w:rPr>
        <w:t>AutoCircuit:</w:t>
      </w:r>
    </w:p>
    <w:p w14:paraId="6A1D67E2">
      <w:pPr>
        <w:spacing w:after="120"/>
        <w:jc w:val="center"/>
        <w:rPr>
          <w:rFonts w:hint="default" w:ascii="Times New Roman" w:hAnsi="Times New Roman" w:cs="Times New Roman"/>
          <w:b w:val="0"/>
          <w:bCs w:val="0"/>
        </w:rPr>
      </w:pPr>
      <w:r>
        <w:rPr>
          <w:rFonts w:hint="default" w:ascii="Times New Roman" w:hAnsi="Times New Roman" w:eastAsia="Arial" w:cs="Times New Roman"/>
          <w:b w:val="0"/>
          <w:bCs w:val="0"/>
          <w:color w:val="2E75B6"/>
          <w:sz w:val="40"/>
          <w:szCs w:val="40"/>
        </w:rPr>
        <w:t>Mechanistic Interpretability of Reasoning Circuits</w:t>
      </w:r>
    </w:p>
    <w:p w14:paraId="1D0C3C52">
      <w:pPr>
        <w:spacing w:after="400"/>
        <w:jc w:val="center"/>
        <w:rPr>
          <w:rFonts w:hint="default" w:ascii="Times New Roman" w:hAnsi="Times New Roman" w:cs="Times New Roman"/>
          <w:b w:val="0"/>
          <w:bCs w:val="0"/>
        </w:rPr>
      </w:pPr>
      <w:r>
        <w:rPr>
          <w:rFonts w:hint="default" w:ascii="Times New Roman" w:hAnsi="Times New Roman" w:eastAsia="Arial" w:cs="Times New Roman"/>
          <w:b w:val="0"/>
          <w:bCs w:val="0"/>
          <w:color w:val="2E75B6"/>
          <w:sz w:val="40"/>
          <w:szCs w:val="40"/>
        </w:rPr>
        <w:t>in Gemma-2-2B</w:t>
      </w:r>
    </w:p>
    <w:p w14:paraId="6A6C2B8C">
      <w:pPr>
        <w:spacing w:after="200"/>
        <w:jc w:val="center"/>
        <w:rPr>
          <w:rFonts w:hint="default" w:ascii="Times New Roman" w:hAnsi="Times New Roman" w:eastAsia="Arial" w:cs="Times New Roman"/>
          <w:b w:val="0"/>
          <w:bCs w:val="0"/>
          <w:i/>
          <w:iCs/>
          <w:color w:val="555555"/>
          <w:sz w:val="28"/>
          <w:szCs w:val="28"/>
        </w:rPr>
      </w:pPr>
      <w:r>
        <w:rPr>
          <w:rFonts w:hint="default" w:ascii="Times New Roman" w:hAnsi="Times New Roman" w:eastAsia="Arial" w:cs="Times New Roman"/>
          <w:b w:val="0"/>
          <w:bCs w:val="0"/>
          <w:i/>
          <w:iCs/>
          <w:color w:val="555555"/>
          <w:sz w:val="28"/>
          <w:szCs w:val="28"/>
        </w:rPr>
        <w:t>Linguistic Reasoning, Factual Recall, and Analogical Reasoning</w:t>
      </w:r>
    </w:p>
    <w:p w14:paraId="26D07DF6">
      <w:pPr>
        <w:spacing w:after="200"/>
        <w:jc w:val="center"/>
        <w:rPr>
          <w:rFonts w:hint="default" w:ascii="Times New Roman" w:hAnsi="Times New Roman" w:eastAsia="Arial" w:cs="Times New Roman"/>
          <w:b w:val="0"/>
          <w:bCs w:val="0"/>
          <w:i/>
          <w:iCs/>
          <w:color w:val="555555"/>
          <w:sz w:val="28"/>
          <w:szCs w:val="28"/>
        </w:rPr>
      </w:pPr>
    </w:p>
    <w:p w14:paraId="31A2CFCD">
      <w:pPr>
        <w:pStyle w:val="2"/>
        <w:pBdr>
          <w:bottom w:val="single" w:color="2E75B6" w:sz="4" w:space="6"/>
        </w:pBdr>
        <w:spacing w:before="360" w:after="180"/>
        <w:rPr>
          <w:rFonts w:hint="default" w:ascii="Times New Roman" w:hAnsi="Times New Roman" w:cs="Times New Roman"/>
          <w:b w:val="0"/>
          <w:bCs w:val="0"/>
        </w:rPr>
      </w:pPr>
      <w:r>
        <w:rPr>
          <w:rFonts w:hint="default" w:ascii="Times New Roman" w:hAnsi="Times New Roman" w:eastAsia="Arial" w:cs="Times New Roman"/>
          <w:b w:val="0"/>
          <w:bCs w:val="0"/>
          <w:color w:val="1F4E79"/>
          <w:sz w:val="32"/>
          <w:szCs w:val="32"/>
        </w:rPr>
        <w:t>Abstract</w:t>
      </w:r>
    </w:p>
    <w:p w14:paraId="17706547">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This paper presents a mechanistic interpretability analysis of three reasoning circuit types in Gemma-2-2B: linguistic reasoning (antonym/synonym retrieval, morphological inflection, lexical look-up), factual recall (geography, history, science, literature), and analogical reasoning (A:B::C:D completion across seven relation types). Using attribution graphs generated via the Neuronpedia API with the gemmascope-transcoder-16k sparse autoencoder (SAE), we generated 30 attribution graphs (10 per category), identified recurring circuit components at a 50% co-occurrence threshold, and traced causal paths from input features to the final logit node.</w:t>
      </w:r>
    </w:p>
    <w:p w14:paraId="3F1F3DD5">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Across the three categories, we identified 312 (linguistic), 222 (factual recall), and 429 (analogical) recurring features — a total of 963 recurring circuit components. Strikingly, the most universal circuit components across all three categories are do</w:t>
      </w:r>
      <w:bookmarkStart w:id="0" w:name="_GoBack"/>
      <w:bookmarkEnd w:id="0"/>
      <w:r>
        <w:rPr>
          <w:rFonts w:hint="default" w:ascii="Times New Roman" w:hAnsi="Times New Roman" w:eastAsia="Arial" w:cs="Times New Roman"/>
          <w:b w:val="0"/>
          <w:bCs w:val="0"/>
          <w:color w:val="404040"/>
          <w:sz w:val="22"/>
          <w:szCs w:val="22"/>
        </w:rPr>
        <w:t>minated by register- and format-detection features rather than task-specific semantic encoders. Layer 6, Feature 2586668 ("words that appear in programming code, legal jargon, or scientific texts") appeared in every single one of the 30 prompts, making it the most universal circuit component in Gemma-2-2B across qualitatively different cognitive task types.</w:t>
      </w:r>
    </w:p>
    <w:p w14:paraId="580C02A7">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Prediction confidence varied dramatically: from p=0.836 (lexical look-up: "author") and p=0.978 (factual recall: water/oxygen) at the high end, to p=0.084 (antonym format override: ":") and p=0.120 (weak analogy: fish/air) at the low end. Causal path analysis revealed a dominant embedding→logit direct path architecture in all three categories, with a Layer 24 inhibitory bottleneck appearing as a systematic competitor-suppression mechanism. Feature repurposing — polysemantic features co-opted for unexpected computations — was observed across all three task types.</w:t>
      </w:r>
    </w:p>
    <w:p w14:paraId="04D11E5D">
      <w:pPr>
        <w:pStyle w:val="2"/>
        <w:pBdr>
          <w:bottom w:val="single" w:color="2E75B6" w:sz="4" w:space="6"/>
        </w:pBdr>
        <w:spacing w:before="360" w:after="180"/>
        <w:rPr>
          <w:rFonts w:hint="default" w:ascii="Times New Roman" w:hAnsi="Times New Roman" w:cs="Times New Roman"/>
          <w:b w:val="0"/>
          <w:bCs w:val="0"/>
        </w:rPr>
      </w:pPr>
      <w:r>
        <w:rPr>
          <w:rFonts w:hint="default" w:ascii="Times New Roman" w:hAnsi="Times New Roman" w:eastAsia="Arial" w:cs="Times New Roman"/>
          <w:b w:val="0"/>
          <w:bCs w:val="0"/>
          <w:color w:val="1F4E79"/>
          <w:sz w:val="32"/>
          <w:szCs w:val="32"/>
        </w:rPr>
        <w:t>1. Introduction</w:t>
      </w:r>
    </w:p>
    <w:p w14:paraId="3B58FE6E">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Rapid progress in transformer-based language modelling has directed attention towards understanding the internal computational mechanisms that give rise to emergent capabilities (Wei et al., 2022). Despite impressive performance across diverse tasks, modern LLMs remain widely regarded as "black boxes" (Alishahi et al., 2019): their predictions are difficult to explain in terms of human-interpretable algorithms. Mechanistic interpretability research aims to demystify these models by reverse-engineering their internal components into understandable circuits — subgraphs of the model's computational graph that implement distinct, identifiable functions (Olah, 2022; Wang et al., 2023).</w:t>
      </w:r>
    </w:p>
    <w:p w14:paraId="60BFABA9">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Several recent works have made significant progress in identifying circuits for specific tasks. Wang et al. (2023) reverse-engineered the Indirect Object Identification (IOI) circuit in GPT-2 Small; Hanna et al. (2023) identified the Greater-Than circuit; Heimersheim and Janiak (2023) found a Python docstring completion circuit. Each of these required considerable manual effort — researchers iteratively apply activation patching to remove unnecessary components, cycling through variations of the dataset and circuit granularity until a satisfying mechanistic account is found. This manual process is a major obstacle to scaling interpretability research to larger models and more complex behaviours.</w:t>
      </w:r>
    </w:p>
    <w:p w14:paraId="4519F2AF">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Conmy et al. (2023) proposed Automatic Circuit DisCovery (ACDC) to automate the third and most labour-intensive step of this workflow: finding the connections between abstract neural network units that form a circuit. ACDC iterates from outputs to inputs through the computational graph, pruning edges whose removal does not substantially degrade the model's performance on a task-specific metric. Validated against five previously hand-identified circuits, ACDC recovered the correct components with competitive accuracy compared to gradient-based alternatives such as Subnetwork Probing (SP; Cao et al., 2021) and Head Importance Score for Pruning (HISP; Michel et al., 2019).</w:t>
      </w:r>
    </w:p>
    <w:p w14:paraId="0D5E45B9">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The AutoCircuit project extends this line of work in a complementary direction. Rather than automating activation-patching over a single pre-defined computational graph, AutoCircuit leverages attribution graphs — a recently developed tool from Anthropic's circuit-tracing framework (Lindsey et al., 2025) — to systematically mine shared subgraph patterns across diverse prompt categories. Attribution graphs are generated via the Neuronpedia API using sparse autoencoder (SAE) transcoder features, and cross-graph pattern recognition identifies recurring circuit motifs that appear across multiple prompts. This approach allows the discovery of reusable reasoning pathways without requiring a hand-curated corrupted dataset or prior knowledge of which model components are involved.</w:t>
      </w:r>
    </w:p>
    <w:p w14:paraId="77B876D1">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 xml:space="preserve">This paper </w:t>
      </w:r>
      <w:r>
        <w:rPr>
          <w:rFonts w:hint="default" w:ascii="Times New Roman" w:hAnsi="Times New Roman" w:cs="Times New Roman"/>
          <w:b w:val="0"/>
          <w:bCs w:val="0"/>
          <w:color w:val="404040"/>
          <w:sz w:val="22"/>
          <w:szCs w:val="22"/>
          <w:lang w:val="en-US"/>
        </w:rPr>
        <w:t>presents</w:t>
      </w:r>
      <w:r>
        <w:rPr>
          <w:rFonts w:hint="default" w:ascii="Times New Roman" w:hAnsi="Times New Roman" w:eastAsia="Arial" w:cs="Times New Roman"/>
          <w:b w:val="0"/>
          <w:bCs w:val="0"/>
          <w:color w:val="404040"/>
          <w:sz w:val="22"/>
          <w:szCs w:val="22"/>
        </w:rPr>
        <w:t xml:space="preserve"> a systematic mechanistic analysis of three reasoning circuit categories in Gemma-2-2B — linguistic reasoning, factual recall, and analogical reasoning — each instantiated as a set of 10 single-token completion prompts with unambiguous correct answers. We generate 30 attribution graphs, apply cross-graph feature mining at a 50% co-occurrence threshold, and trace causal paths from influential features to the final logit node. Our analysis follows the three-step workflow systematised by Conmy et al. (2023): (1) observe a behaviour and measure it; (2) define the computational graph at the appropriate granularity; (3) iteratively identify the subgraph responsible for the behaviour — here automated through attribution graph mining and cross-graph feature comparison rather than activation patching.</w:t>
      </w:r>
    </w:p>
    <w:p w14:paraId="65E0B29A">
      <w:pPr>
        <w:spacing w:after="120"/>
        <w:jc w:val="both"/>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Our main contributions are as follows. First, we identify a 963-component shared circuit architecture spanning all three task types at a 50% co-occurrence threshold, dominated by structural register-detection features rather than task-specific semantic encoders. Second, we provide quantitative evidence for a universal embedding→logit shortcut as the dominant prediction mechanism across all three categories, consistent with the embedding-stage resolution hypothesis. Third, we characterise a Layer 24 inhibitory bottleneck as a systematic competitor-suppression gate appearing across at least three prompt types. Fourth, we document pervasive feature repurposing — polysemantic features co-opted for computations superficially unrelated to their Neuronpedia-labelled semantic content — across all three task types. Fifth, we identify a format-override failure mode in which the model's register-completion circuit outcompetes semantic retrieval for formally structured prompts.</w:t>
      </w:r>
    </w:p>
    <w:p w14:paraId="4D07012E">
      <w:pPr>
        <w:pStyle w:val="2"/>
        <w:pBdr>
          <w:bottom w:val="single" w:color="2E75B6" w:sz="4" w:space="6"/>
        </w:pBdr>
        <w:spacing w:before="360" w:after="180"/>
        <w:rPr>
          <w:rFonts w:hint="default" w:ascii="Times New Roman" w:hAnsi="Times New Roman" w:eastAsia="Arial" w:cs="Times New Roman"/>
          <w:b w:val="0"/>
          <w:bCs w:val="0"/>
          <w:color w:val="1F4E79"/>
          <w:sz w:val="32"/>
          <w:szCs w:val="32"/>
        </w:rPr>
      </w:pPr>
    </w:p>
    <w:p w14:paraId="6B3BEC9C">
      <w:pPr>
        <w:pStyle w:val="2"/>
        <w:pBdr>
          <w:bottom w:val="single" w:color="2E75B6" w:sz="4" w:space="6"/>
        </w:pBdr>
        <w:spacing w:before="360" w:after="180"/>
        <w:rPr>
          <w:rFonts w:hint="default" w:ascii="Times New Roman" w:hAnsi="Times New Roman" w:eastAsia="Arial" w:cs="Times New Roman"/>
          <w:b w:val="0"/>
          <w:bCs w:val="0"/>
          <w:color w:val="1F4E79"/>
          <w:sz w:val="32"/>
          <w:szCs w:val="32"/>
        </w:rPr>
      </w:pPr>
    </w:p>
    <w:p w14:paraId="2BD83579">
      <w:pPr>
        <w:pStyle w:val="2"/>
        <w:pBdr>
          <w:bottom w:val="single" w:color="2E75B6" w:sz="4" w:space="6"/>
        </w:pBdr>
        <w:spacing w:before="360" w:after="180"/>
        <w:rPr>
          <w:rFonts w:hint="default" w:ascii="Times New Roman" w:hAnsi="Times New Roman" w:cs="Times New Roman"/>
          <w:b w:val="0"/>
          <w:bCs w:val="0"/>
        </w:rPr>
      </w:pPr>
      <w:r>
        <w:rPr>
          <w:rFonts w:hint="default" w:ascii="Times New Roman" w:hAnsi="Times New Roman" w:eastAsia="Arial" w:cs="Times New Roman"/>
          <w:b w:val="0"/>
          <w:bCs w:val="0"/>
          <w:color w:val="1F4E79"/>
          <w:sz w:val="32"/>
          <w:szCs w:val="32"/>
        </w:rPr>
        <w:t>2. Methods</w:t>
      </w:r>
    </w:p>
    <w:p w14:paraId="457C6452">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Our approach follows the three-step mechanistic interpretability workflow formalised by Conmy et al. (2023): (1) select a behaviour, dataset, and metric; (2) represent the model as a computational graph at an appropriate granularity; (3) identify the subgraph responsible for the behaviour. We automate Step 3 through attribution graph mining and cross-graph feature comparison rather than activation patching, building on the attribution graph framework of Lindsey et al. (2025).</w:t>
      </w:r>
    </w:p>
    <w:p w14:paraId="27ADCBED">
      <w:pPr>
        <w:pStyle w:val="3"/>
        <w:spacing w:before="240" w:after="120"/>
        <w:rPr>
          <w:rFonts w:hint="default" w:ascii="Times New Roman" w:hAnsi="Times New Roman" w:cs="Times New Roman"/>
          <w:b w:val="0"/>
          <w:bCs w:val="0"/>
        </w:rPr>
      </w:pPr>
      <w:r>
        <w:rPr>
          <w:rFonts w:hint="default" w:ascii="Times New Roman" w:hAnsi="Times New Roman" w:eastAsia="Arial" w:cs="Times New Roman"/>
          <w:b w:val="0"/>
          <w:bCs w:val="0"/>
          <w:color w:val="2E75B6"/>
          <w:sz w:val="26"/>
          <w:szCs w:val="26"/>
        </w:rPr>
        <w:t>2.1 Step 1: Behaviour, Dataset, and Metric</w:t>
      </w:r>
    </w:p>
    <w:p w14:paraId="0E81F8C9">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We selected 30 prompt completions spanning three reasoning categories, each designed so that the next predicted token is unambiguous and the behaviour to be explained is precisely defined. Unlike the Conmy et al. (2023) setup, we do not construct a corrupted dataset for activation patching; instead, prediction probability (p) at the correct next token serves as our primary metric — analogous to the logit-difference and probability-difference metrics used in previous work, but requiring no specification of a competing incorrect token.</w:t>
      </w:r>
    </w:p>
    <w:p w14:paraId="035A17E4">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The 30 prompts, their categories, sub-types, correct answers, and prediction probabilities are summarised in Table 1.</w:t>
      </w:r>
    </w:p>
    <w:tbl>
      <w:tblPr>
        <w:tblStyle w:val="9"/>
        <w:tblW w:w="74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52"/>
        <w:gridCol w:w="1117"/>
        <w:gridCol w:w="1402"/>
        <w:gridCol w:w="1835"/>
        <w:gridCol w:w="1319"/>
        <w:gridCol w:w="1285"/>
      </w:tblGrid>
      <w:tr w14:paraId="27918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2"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3A34D865">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w:t>
            </w:r>
          </w:p>
        </w:tc>
        <w:tc>
          <w:tcPr>
            <w:tcW w:w="1117"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6761BD1B">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Category</w:t>
            </w:r>
          </w:p>
        </w:tc>
        <w:tc>
          <w:tcPr>
            <w:tcW w:w="1402"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560927ED">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Sub-type</w:t>
            </w:r>
          </w:p>
        </w:tc>
        <w:tc>
          <w:tcPr>
            <w:tcW w:w="1835"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277F4B9C">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Prompt (truncated)</w:t>
            </w:r>
          </w:p>
        </w:tc>
        <w:tc>
          <w:tcPr>
            <w:tcW w:w="1319"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54C5FA43">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Answer</w:t>
            </w:r>
          </w:p>
        </w:tc>
        <w:tc>
          <w:tcPr>
            <w:tcW w:w="1285"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34FBBD1B">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p</w:t>
            </w:r>
          </w:p>
        </w:tc>
      </w:tr>
      <w:tr w14:paraId="01944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B1F628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w:t>
            </w:r>
          </w:p>
        </w:tc>
        <w:tc>
          <w:tcPr>
            <w:tcW w:w="1117"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F66715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Linguistic</w:t>
            </w:r>
          </w:p>
        </w:tc>
        <w:tc>
          <w:tcPr>
            <w:tcW w:w="1402"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E837CE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Antonym</w:t>
            </w:r>
          </w:p>
        </w:tc>
        <w:tc>
          <w:tcPr>
            <w:tcW w:w="1835"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56F357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opposite of hot is</w:t>
            </w:r>
          </w:p>
        </w:tc>
        <w:tc>
          <w:tcPr>
            <w:tcW w:w="1319"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F7AE1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cold</w:t>
            </w:r>
          </w:p>
        </w:tc>
        <w:tc>
          <w:tcPr>
            <w:tcW w:w="1285"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926D8C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0.566</w:t>
            </w:r>
          </w:p>
        </w:tc>
      </w:tr>
      <w:tr w14:paraId="5CBF9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F74F6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455AA8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Linguistic</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EC6CB4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Antonym</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400D7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antonym of ancient is</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02457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modern</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60940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0.136</w:t>
            </w:r>
          </w:p>
        </w:tc>
      </w:tr>
      <w:tr w14:paraId="1811A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46463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7E6D04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Linguistic</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CCEDF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Synonym</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B63824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 synonym for happy is</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45119C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4A7B3A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0.092</w:t>
            </w:r>
          </w:p>
        </w:tc>
      </w:tr>
      <w:tr w14:paraId="26F0F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9DF89B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676481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Linguistic</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299AD1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Synonym</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08C947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Another word for fast is</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D4363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8764A9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0.084</w:t>
            </w:r>
          </w:p>
        </w:tc>
      </w:tr>
      <w:tr w14:paraId="0E50E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53C75E5">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5</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86913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Linguistic</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88540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Plural</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7E7D7B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plural of child is</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00CB3A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children</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B81831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0.677</w:t>
            </w:r>
          </w:p>
        </w:tc>
      </w:tr>
      <w:tr w14:paraId="264A2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0A298A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6</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C903C1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Linguistic</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B16EF6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Plural</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07B2A5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plural of mouse is</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DDD2B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mice</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2BC5B1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0.706</w:t>
            </w:r>
          </w:p>
        </w:tc>
      </w:tr>
      <w:tr w14:paraId="43655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0AF7B0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7</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ECB343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Linguistic</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3B76D5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Past tense</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1CE3FB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past tense of swim is</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9425D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swam</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9EB777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0.496</w:t>
            </w:r>
          </w:p>
        </w:tc>
      </w:tr>
      <w:tr w14:paraId="12A40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74E21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8</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EBE0B3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Linguistic</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6B555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Past tense</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859B7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past tense of write is</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D0F4F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written</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F3907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0.344</w:t>
            </w:r>
          </w:p>
        </w:tc>
      </w:tr>
      <w:tr w14:paraId="573B0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3DA82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9</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736A0B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Linguistic</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796B1D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Lexical</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FA0955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 book of maps is called an</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E2038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atlas</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03B9B9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0.392</w:t>
            </w:r>
          </w:p>
        </w:tc>
      </w:tr>
      <w:tr w14:paraId="5352E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ADD0D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10</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EB6A2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Linguistic</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194F6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Lexical</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B8D5A5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 person who writes books is called an</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6CC410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author</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62516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0.836</w:t>
            </w:r>
          </w:p>
        </w:tc>
      </w:tr>
      <w:tr w14:paraId="6D210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EC3EE0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11</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59AA5F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Factual</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60EF81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Geography</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B07031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capital of Nigeria is</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653571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Abuja</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A0DCCD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0.173</w:t>
            </w:r>
          </w:p>
        </w:tc>
      </w:tr>
      <w:tr w14:paraId="28979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1BFFF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12</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78F85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Factual</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C7531A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Geography</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CD4F3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capital of Ghana is</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7F958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Accra</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AF6277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0.456</w:t>
            </w:r>
          </w:p>
        </w:tc>
      </w:tr>
      <w:tr w14:paraId="45576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84FF3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13</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09CF64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Factual</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C09023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Geography</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A84F6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Nile flows through</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DFA50C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Egypt</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862E9C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0.643</w:t>
            </w:r>
          </w:p>
        </w:tc>
      </w:tr>
      <w:tr w14:paraId="1628A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B857B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14</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18BD46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Factual</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15BCAC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Geography</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39D9A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tallest mountain in the world is</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BC82C9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Everest</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DFDF1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0.263</w:t>
            </w:r>
          </w:p>
        </w:tc>
      </w:tr>
      <w:tr w14:paraId="6DF80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467C4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15</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50AC4C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Factual</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3366F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History</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6A945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Napoleon was exiled to</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96A9C4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Elba</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DDBF21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0.635</w:t>
            </w:r>
          </w:p>
        </w:tc>
      </w:tr>
      <w:tr w14:paraId="03936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7492A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16</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2BBDE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Factual</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1FDB49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History</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9BD45D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first US president was</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13099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Washington</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004752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0.193</w:t>
            </w:r>
          </w:p>
        </w:tc>
      </w:tr>
      <w:tr w14:paraId="20E88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A9355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17</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2D33B4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Factual</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6715FF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Science</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2AE51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Water is composed of hydrogen and</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201E86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oxygen</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994835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0.978</w:t>
            </w:r>
          </w:p>
        </w:tc>
      </w:tr>
      <w:tr w14:paraId="7465A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4AE336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18</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B27CF9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Factual</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8DBFA7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Science</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814D8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powerhouse of the cell is the</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872DCB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mitochondria</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D11AB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0.124</w:t>
            </w:r>
          </w:p>
        </w:tc>
      </w:tr>
      <w:tr w14:paraId="0DE6B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E4B5C1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19</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FFEC28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Factual</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058C4F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Science</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76E8C3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The theory of relativity was developed by</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A667AE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Einstein</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3EC21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0.521</w:t>
            </w:r>
          </w:p>
        </w:tc>
      </w:tr>
      <w:tr w14:paraId="57C70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DE7F425">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20</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0F4178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Factual</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00D798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Literature</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B822CA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Hamlet was written by</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AE1CA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Shakespeare</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8166C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0.718</w:t>
            </w:r>
          </w:p>
        </w:tc>
      </w:tr>
      <w:tr w14:paraId="41A5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1F169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21</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153661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Analogical</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791B92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Geographic</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A87B5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Paris is to France as Berlin is to</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14A59F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Germany</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067988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0.973</w:t>
            </w:r>
          </w:p>
        </w:tc>
      </w:tr>
      <w:tr w14:paraId="40D2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8AF769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22</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052BCF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Analogical</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0009D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Geographic</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547B48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Cairo is to Egypt as Nairobi is to</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CB95C7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Kenya</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29CBF6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0.963</w:t>
            </w:r>
          </w:p>
        </w:tc>
      </w:tr>
      <w:tr w14:paraId="6E694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81BA2B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23</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A631E0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Analogical</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4420E8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Functional</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76657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Fish is to water as bird is to</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ACF185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air</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ACABA6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0.120</w:t>
            </w:r>
          </w:p>
        </w:tc>
      </w:tr>
      <w:tr w14:paraId="60A54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EDACCA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24</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960AC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Analogical</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D7C6B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Biological</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FB576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Puppy is to dog as kitten is to</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A95B17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cat</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4E737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0.652</w:t>
            </w:r>
          </w:p>
        </w:tc>
      </w:tr>
      <w:tr w14:paraId="754E5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CEDF27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25</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75EF8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Analogical</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F4413E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Measurement</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3D047C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Clock is to time as thermometer is to</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18020E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temperature</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9D480C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0.358</w:t>
            </w:r>
          </w:p>
        </w:tc>
      </w:tr>
      <w:tr w14:paraId="3707E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8FE215">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26</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B397B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Analogical</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6550DB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Activity</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74EE5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Book is to reading as radio is to</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60550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listening</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67C5AA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0.312</w:t>
            </w:r>
          </w:p>
        </w:tc>
      </w:tr>
      <w:tr w14:paraId="4BFEC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825CD85">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27</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68B05F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Analogical</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967C09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Botanical</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D46CE5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Leaf is to tree as petal is to</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5AB5AC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flower</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5E622B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0.136</w:t>
            </w:r>
          </w:p>
        </w:tc>
      </w:tr>
      <w:tr w14:paraId="3C5CE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7BA6D2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28</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CB9026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Analogical</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E703EA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Mechanical</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1E1F3B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Wheel is to car as wing is to</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A0020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airplane</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B56F27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0.184</w:t>
            </w:r>
          </w:p>
        </w:tc>
      </w:tr>
      <w:tr w14:paraId="4A6F2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653EEC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29</w:t>
            </w:r>
          </w:p>
        </w:tc>
        <w:tc>
          <w:tcPr>
            <w:tcW w:w="1117"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9D2ABE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Analogical</w:t>
            </w:r>
          </w:p>
        </w:tc>
        <w:tc>
          <w:tcPr>
            <w:tcW w:w="1402"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C58209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Social</w:t>
            </w:r>
          </w:p>
        </w:tc>
        <w:tc>
          <w:tcPr>
            <w:tcW w:w="183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1A2587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Judge is to court as priest is to</w:t>
            </w:r>
          </w:p>
        </w:tc>
        <w:tc>
          <w:tcPr>
            <w:tcW w:w="1319"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7954D9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church</w:t>
            </w:r>
          </w:p>
        </w:tc>
        <w:tc>
          <w:tcPr>
            <w:tcW w:w="128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03E09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0.486</w:t>
            </w:r>
          </w:p>
        </w:tc>
      </w:tr>
      <w:tr w14:paraId="7DF02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7C21995">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30</w:t>
            </w:r>
          </w:p>
        </w:tc>
        <w:tc>
          <w:tcPr>
            <w:tcW w:w="1117"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7A4845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Analogical</w:t>
            </w:r>
          </w:p>
        </w:tc>
        <w:tc>
          <w:tcPr>
            <w:tcW w:w="1402"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E127D5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Social</w:t>
            </w:r>
          </w:p>
        </w:tc>
        <w:tc>
          <w:tcPr>
            <w:tcW w:w="183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E559C9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Soldier is to army as sailor is to</w:t>
            </w:r>
          </w:p>
        </w:tc>
        <w:tc>
          <w:tcPr>
            <w:tcW w:w="1319"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8AEA88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navy</w:t>
            </w:r>
          </w:p>
        </w:tc>
        <w:tc>
          <w:tcPr>
            <w:tcW w:w="128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63CB8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0.214</w:t>
            </w:r>
          </w:p>
        </w:tc>
      </w:tr>
    </w:tbl>
    <w:p w14:paraId="58E8703D">
      <w:pPr>
        <w:spacing w:after="80"/>
        <w:rPr>
          <w:rFonts w:hint="default" w:ascii="Times New Roman" w:hAnsi="Times New Roman" w:cs="Times New Roman"/>
          <w:b w:val="0"/>
          <w:bCs w:val="0"/>
        </w:rPr>
      </w:pPr>
    </w:p>
    <w:p w14:paraId="298CE65F">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Table 1. The 30 prompts used in this study, grouped by category and sub-type. "p" is the prediction probability assigned by Gemma-2-2B to the listed correct answer token. Prompts 3–4 predicted the colon ":" (a format-override failure) rather than the expected semantic answer.</w:t>
      </w:r>
    </w:p>
    <w:p w14:paraId="3C2BD408">
      <w:pPr>
        <w:pStyle w:val="3"/>
        <w:spacing w:before="240" w:after="120"/>
        <w:rPr>
          <w:rFonts w:hint="default" w:ascii="Times New Roman" w:hAnsi="Times New Roman" w:cs="Times New Roman"/>
          <w:b w:val="0"/>
          <w:bCs w:val="0"/>
        </w:rPr>
      </w:pPr>
      <w:r>
        <w:rPr>
          <w:rFonts w:hint="default" w:ascii="Times New Roman" w:hAnsi="Times New Roman" w:eastAsia="Arial" w:cs="Times New Roman"/>
          <w:b w:val="0"/>
          <w:bCs w:val="0"/>
          <w:color w:val="2E75B6"/>
          <w:sz w:val="26"/>
          <w:szCs w:val="26"/>
        </w:rPr>
        <w:t>2.2 Step 2: Computational Graph — Model and Sparse Autoencoder</w:t>
      </w:r>
    </w:p>
    <w:p w14:paraId="228B8505">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All analyses use Gemma-2-2B (Google DeepMind), a 2-billion parameter, 26-layer transformer language model. Rather than decomposing the model into attention heads and MLP layers as in Conmy et al. (2023), we use the gemmascope-transcoder-16k sparse autoencoder (SAE) applied at all transformer layers via the Neuronpedia platform. This SAE uses a cross-layer transcoder architecture with 16,384 features per layer, providing a finer-grained decomposition of the residual stream than head-level or MLP-level abstractions. Each SAE feature corresponds to a node in the attribution graph; directed edges between nodes carry weights representing the causal influence of one feature on another's activation.</w:t>
      </w:r>
    </w:p>
    <w:p w14:paraId="3304BA00">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This SAE-based computational graph differs from the attention-head graph used by ACDC in an important way: whereas ACDC edges connect attention heads and MLPs in adjacent or non-adjacent layers (following the residual stream additivity principle of Elhage et al., 2021), attribution graph edges connect SAE features at the level of individual transcoder dimensions. This provides mechanistic detail at the level of individual semantic features rather than composite heads, at the cost of requiring external feature labeling via the Neuronpedia explanation API.</w:t>
      </w:r>
    </w:p>
    <w:p w14:paraId="71E8CF5B">
      <w:pPr>
        <w:pStyle w:val="3"/>
        <w:spacing w:before="240" w:after="120"/>
        <w:rPr>
          <w:rFonts w:hint="default" w:ascii="Times New Roman" w:hAnsi="Times New Roman" w:cs="Times New Roman"/>
          <w:b w:val="0"/>
          <w:bCs w:val="0"/>
        </w:rPr>
      </w:pPr>
      <w:r>
        <w:rPr>
          <w:rFonts w:hint="default" w:ascii="Times New Roman" w:hAnsi="Times New Roman" w:eastAsia="Arial" w:cs="Times New Roman"/>
          <w:b w:val="0"/>
          <w:bCs w:val="0"/>
          <w:color w:val="2E75B6"/>
          <w:sz w:val="26"/>
          <w:szCs w:val="26"/>
        </w:rPr>
        <w:t>2.3 Step 3: Attribution Graph Generation and Circuit Identification</w:t>
      </w:r>
    </w:p>
    <w:p w14:paraId="302EF083">
      <w:pPr>
        <w:spacing w:before="80" w:after="80" w:line="276" w:lineRule="auto"/>
        <w:jc w:val="both"/>
        <w:rPr>
          <w:rFonts w:hint="default" w:ascii="Times New Roman" w:hAnsi="Times New Roman" w:cs="Times New Roman"/>
        </w:rPr>
      </w:pPr>
      <w:r>
        <w:rPr>
          <w:rFonts w:hint="default" w:ascii="Times New Roman" w:hAnsi="Times New Roman" w:eastAsia="Times New Roman" w:cs="Times New Roman"/>
          <w:b w:val="0"/>
          <w:bCs w:val="0"/>
          <w:i w:val="0"/>
          <w:iCs w:val="0"/>
          <w:color w:val="000000"/>
          <w:sz w:val="22"/>
          <w:szCs w:val="22"/>
        </w:rPr>
        <w:t>Model: Gemma-2-2B (via Neuronpedia API). SAE: gemmascope-transcoder-16k (layer-prefixed format, e.g. 7-gemmascope-transcoder-16k). Graph parameters: maxFeatureNodes=3000, desiredLogitProb=0.95, nodeThreshold=0.8, edgeThreshold=0.85.</w:t>
      </w:r>
    </w:p>
    <w:p w14:paraId="4D58DA85">
      <w:pPr>
        <w:pStyle w:val="3"/>
        <w:spacing w:before="240" w:after="120"/>
        <w:rPr>
          <w:rFonts w:hint="default" w:ascii="Times New Roman" w:hAnsi="Times New Roman" w:cs="Times New Roman"/>
          <w:b w:val="0"/>
          <w:bCs w:val="0"/>
        </w:rPr>
      </w:pPr>
      <w:r>
        <w:rPr>
          <w:rFonts w:hint="default" w:ascii="Times New Roman" w:hAnsi="Times New Roman" w:eastAsia="Arial" w:cs="Times New Roman"/>
          <w:b w:val="0"/>
          <w:bCs w:val="0"/>
          <w:color w:val="2E75B6"/>
          <w:sz w:val="26"/>
          <w:szCs w:val="26"/>
        </w:rPr>
        <w:t>2.4 Cross-Graph Feature Mining</w:t>
      </w:r>
    </w:p>
    <w:p w14:paraId="1A46BF50">
      <w:pPr>
        <w:spacing w:after="120"/>
        <w:jc w:val="both"/>
        <w:rPr>
          <w:rFonts w:hint="default" w:ascii="Times New Roman" w:hAnsi="Times New Roman" w:eastAsia="Arial" w:cs="Times New Roman"/>
          <w:b w:val="0"/>
          <w:bCs w:val="0"/>
          <w:color w:val="1F4E79"/>
          <w:sz w:val="32"/>
          <w:szCs w:val="32"/>
        </w:rPr>
      </w:pPr>
      <w:r>
        <w:rPr>
          <w:rFonts w:hint="default" w:ascii="Times New Roman" w:hAnsi="Times New Roman" w:eastAsia="Arial" w:cs="Times New Roman"/>
          <w:b w:val="0"/>
          <w:bCs w:val="0"/>
          <w:color w:val="404040"/>
          <w:sz w:val="22"/>
          <w:szCs w:val="22"/>
        </w:rPr>
        <w:t>For each category, compare_graphs() was run across all 10 graphs with threshold=0.50. A feature must appear in at least 5/10 graphs to qualify as a recurring shared circuit component.</w:t>
      </w:r>
      <w:r>
        <w:rPr>
          <w:rFonts w:hint="default" w:ascii="Times New Roman" w:hAnsi="Times New Roman" w:cs="Times New Roman"/>
          <w:b w:val="0"/>
          <w:bCs w:val="0"/>
          <w:color w:val="404040"/>
          <w:sz w:val="22"/>
          <w:szCs w:val="22"/>
          <w:lang w:val="en-US"/>
        </w:rPr>
        <w:t xml:space="preserve"> </w:t>
      </w:r>
      <w:r>
        <w:rPr>
          <w:rFonts w:hint="default" w:ascii="Times New Roman" w:hAnsi="Times New Roman" w:eastAsia="Arial" w:cs="Times New Roman"/>
          <w:b w:val="0"/>
          <w:bCs w:val="0"/>
          <w:color w:val="404040"/>
          <w:sz w:val="22"/>
          <w:szCs w:val="22"/>
        </w:rPr>
        <w:t>The 50% threshold is conservative enough to exclude idiosyncratic prompt-level features while permissive enough to detect components that are not universal but are category-level properties of the reasoning circuit. The top 15 recurring features by appearance count were labeled via the Neuronpedia feature explanation API, which provides human-readable descriptions derived from automated interpretability methods (Bills et al., 2023).</w:t>
      </w:r>
    </w:p>
    <w:p w14:paraId="5F72895C">
      <w:pPr>
        <w:pStyle w:val="2"/>
        <w:pBdr>
          <w:bottom w:val="single" w:color="2E75B6" w:sz="4" w:space="6"/>
        </w:pBdr>
        <w:spacing w:before="360" w:after="180"/>
        <w:rPr>
          <w:rFonts w:hint="default" w:ascii="Times New Roman" w:hAnsi="Times New Roman" w:cs="Times New Roman"/>
          <w:b w:val="0"/>
          <w:bCs w:val="0"/>
        </w:rPr>
      </w:pPr>
      <w:r>
        <w:rPr>
          <w:rFonts w:hint="default" w:ascii="Times New Roman" w:hAnsi="Times New Roman" w:cs="Times New Roman"/>
          <w:b w:val="0"/>
          <w:bCs w:val="0"/>
          <w:color w:val="1F4E79"/>
          <w:sz w:val="32"/>
          <w:szCs w:val="32"/>
          <w:lang w:val="en-US"/>
        </w:rPr>
        <w:t>3</w:t>
      </w:r>
      <w:r>
        <w:rPr>
          <w:rFonts w:hint="default" w:ascii="Times New Roman" w:hAnsi="Times New Roman" w:eastAsia="Arial" w:cs="Times New Roman"/>
          <w:b w:val="0"/>
          <w:bCs w:val="0"/>
          <w:color w:val="1F4E79"/>
          <w:sz w:val="32"/>
          <w:szCs w:val="32"/>
        </w:rPr>
        <w:t>. Results</w:t>
      </w:r>
    </w:p>
    <w:p w14:paraId="54FFA174">
      <w:pPr>
        <w:pStyle w:val="3"/>
        <w:spacing w:before="240" w:after="120"/>
        <w:rPr>
          <w:rFonts w:hint="default" w:ascii="Times New Roman" w:hAnsi="Times New Roman" w:cs="Times New Roman"/>
          <w:b w:val="0"/>
          <w:bCs w:val="0"/>
        </w:rPr>
      </w:pPr>
      <w:r>
        <w:rPr>
          <w:rFonts w:hint="default" w:ascii="Times New Roman" w:hAnsi="Times New Roman" w:cs="Times New Roman"/>
          <w:b w:val="0"/>
          <w:bCs w:val="0"/>
          <w:color w:val="2E75B6"/>
          <w:sz w:val="26"/>
          <w:szCs w:val="26"/>
          <w:lang w:val="en-US"/>
        </w:rPr>
        <w:t>3</w:t>
      </w:r>
      <w:r>
        <w:rPr>
          <w:rFonts w:hint="default" w:ascii="Times New Roman" w:hAnsi="Times New Roman" w:eastAsia="Arial" w:cs="Times New Roman"/>
          <w:b w:val="0"/>
          <w:bCs w:val="0"/>
          <w:color w:val="2E75B6"/>
          <w:sz w:val="26"/>
          <w:szCs w:val="26"/>
        </w:rPr>
        <w:t>.1 Prediction Confidence Across All Thirty Prompts</w:t>
      </w:r>
    </w:p>
    <w:p w14:paraId="22CB6D22">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Figures 1–3 show prediction probability distributions for all 30 prompts grouped by category, and Figure 5 presents a cross-category heatmap. Prediction confidence varied dramatically both within and across categories, ranging from p=0.084 to p=0.978.</w:t>
      </w:r>
    </w:p>
    <w:p w14:paraId="0AF21B73">
      <w:pPr>
        <w:spacing w:before="120" w:after="60"/>
        <w:jc w:val="center"/>
        <w:rPr>
          <w:rFonts w:hint="default" w:ascii="Times New Roman" w:hAnsi="Times New Roman" w:cs="Times New Roman"/>
          <w:b w:val="0"/>
          <w:bCs w:val="0"/>
        </w:rPr>
      </w:pPr>
      <w:r>
        <w:rPr>
          <w:rFonts w:hint="default" w:ascii="Times New Roman" w:hAnsi="Times New Roman" w:cs="Times New Roman"/>
          <w:b w:val="0"/>
          <w:bCs w:val="0"/>
        </w:rPr>
        <w:drawing>
          <wp:inline distT="0" distB="0" distL="0" distR="0">
            <wp:extent cx="5715000" cy="304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5715000" cy="3048000"/>
                    </a:xfrm>
                    <a:prstGeom prst="rect">
                      <a:avLst/>
                    </a:prstGeom>
                  </pic:spPr>
                </pic:pic>
              </a:graphicData>
            </a:graphic>
          </wp:inline>
        </w:drawing>
      </w:r>
    </w:p>
    <w:p w14:paraId="71FA9013">
      <w:pPr>
        <w:spacing w:before="60" w:after="200"/>
        <w:jc w:val="center"/>
        <w:rPr>
          <w:rFonts w:hint="default" w:ascii="Times New Roman" w:hAnsi="Times New Roman" w:cs="Times New Roman"/>
          <w:b w:val="0"/>
          <w:bCs w:val="0"/>
        </w:rPr>
      </w:pPr>
      <w:r>
        <w:rPr>
          <w:rFonts w:hint="default" w:ascii="Times New Roman" w:hAnsi="Times New Roman" w:eastAsia="Arial" w:cs="Times New Roman"/>
          <w:b w:val="0"/>
          <w:bCs w:val="0"/>
          <w:i/>
          <w:iCs/>
          <w:color w:val="666666"/>
          <w:sz w:val="20"/>
          <w:szCs w:val="20"/>
        </w:rPr>
        <w:t>Figure 1. Prediction confidence (probability of top token) for 10 linguistic reasoning prompts. Color codes indicate sub-task category. Prompts predicting ":" (colon) instead of a semantic answer reflect a format-override failure.</w:t>
      </w:r>
    </w:p>
    <w:p w14:paraId="40034E25">
      <w:pPr>
        <w:spacing w:before="120" w:after="60"/>
        <w:jc w:val="center"/>
        <w:rPr>
          <w:rFonts w:hint="default" w:ascii="Times New Roman" w:hAnsi="Times New Roman" w:cs="Times New Roman"/>
          <w:b w:val="0"/>
          <w:bCs w:val="0"/>
        </w:rPr>
      </w:pPr>
      <w:r>
        <w:rPr>
          <w:rFonts w:hint="default" w:ascii="Times New Roman" w:hAnsi="Times New Roman" w:cs="Times New Roman"/>
          <w:b w:val="0"/>
          <w:bCs w:val="0"/>
        </w:rPr>
        <w:drawing>
          <wp:inline distT="0" distB="0" distL="0" distR="0">
            <wp:extent cx="57150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rcRect/>
                    <a:stretch>
                      <a:fillRect/>
                    </a:stretch>
                  </pic:blipFill>
                  <pic:spPr>
                    <a:xfrm>
                      <a:off x="0" y="0"/>
                      <a:ext cx="5715000" cy="3048000"/>
                    </a:xfrm>
                    <a:prstGeom prst="rect">
                      <a:avLst/>
                    </a:prstGeom>
                  </pic:spPr>
                </pic:pic>
              </a:graphicData>
            </a:graphic>
          </wp:inline>
        </w:drawing>
      </w:r>
    </w:p>
    <w:p w14:paraId="3B388B7A">
      <w:pPr>
        <w:spacing w:before="60" w:after="200"/>
        <w:jc w:val="center"/>
        <w:rPr>
          <w:rFonts w:hint="default" w:ascii="Times New Roman" w:hAnsi="Times New Roman" w:cs="Times New Roman"/>
          <w:b w:val="0"/>
          <w:bCs w:val="0"/>
        </w:rPr>
      </w:pPr>
      <w:r>
        <w:rPr>
          <w:rFonts w:hint="default" w:ascii="Times New Roman" w:hAnsi="Times New Roman" w:eastAsia="Arial" w:cs="Times New Roman"/>
          <w:b w:val="0"/>
          <w:bCs w:val="0"/>
          <w:i/>
          <w:iCs/>
          <w:color w:val="666666"/>
          <w:sz w:val="20"/>
          <w:szCs w:val="20"/>
        </w:rPr>
        <w:t>Figure 2. Prediction confidence for 10 factual recall prompts. Confidence is highest for over-trained scientific facts (water/oxygen, p=0.978) and lowest for ambiguous historical and geographic facts (Nigeria, p=0.173; US president, p=0.193).</w:t>
      </w:r>
    </w:p>
    <w:p w14:paraId="1FE4F337">
      <w:pPr>
        <w:spacing w:before="120" w:after="60"/>
        <w:jc w:val="center"/>
        <w:rPr>
          <w:rFonts w:hint="default" w:ascii="Times New Roman" w:hAnsi="Times New Roman" w:cs="Times New Roman"/>
          <w:b w:val="0"/>
          <w:bCs w:val="0"/>
        </w:rPr>
      </w:pPr>
      <w:r>
        <w:rPr>
          <w:rFonts w:hint="default" w:ascii="Times New Roman" w:hAnsi="Times New Roman" w:cs="Times New Roman"/>
          <w:b w:val="0"/>
          <w:bCs w:val="0"/>
        </w:rPr>
        <w:drawing>
          <wp:inline distT="0" distB="0" distL="0" distR="0">
            <wp:extent cx="57150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rcRect/>
                    <a:stretch>
                      <a:fillRect/>
                    </a:stretch>
                  </pic:blipFill>
                  <pic:spPr>
                    <a:xfrm>
                      <a:off x="0" y="0"/>
                      <a:ext cx="5715000" cy="3048000"/>
                    </a:xfrm>
                    <a:prstGeom prst="rect">
                      <a:avLst/>
                    </a:prstGeom>
                  </pic:spPr>
                </pic:pic>
              </a:graphicData>
            </a:graphic>
          </wp:inline>
        </w:drawing>
      </w:r>
    </w:p>
    <w:p w14:paraId="05EEF092">
      <w:pPr>
        <w:spacing w:before="60" w:after="200"/>
        <w:jc w:val="center"/>
        <w:rPr>
          <w:rFonts w:hint="default" w:ascii="Times New Roman" w:hAnsi="Times New Roman" w:cs="Times New Roman"/>
          <w:b w:val="0"/>
          <w:bCs w:val="0"/>
        </w:rPr>
      </w:pPr>
      <w:r>
        <w:rPr>
          <w:rFonts w:hint="default" w:ascii="Times New Roman" w:hAnsi="Times New Roman" w:eastAsia="Arial" w:cs="Times New Roman"/>
          <w:b w:val="0"/>
          <w:bCs w:val="0"/>
          <w:i/>
          <w:iCs/>
          <w:color w:val="666666"/>
          <w:sz w:val="20"/>
          <w:szCs w:val="20"/>
        </w:rPr>
        <w:t>Figure 3. Prediction confidence for 10 analogical reasoning prompts. Geographic capital-city analogies achieve near-ceiling confidence (p&gt;0.96), while functional and botanical analogies fall below p=0.20.</w:t>
      </w:r>
    </w:p>
    <w:p w14:paraId="3F99FD22">
      <w:pPr>
        <w:spacing w:before="120" w:after="60"/>
        <w:jc w:val="center"/>
        <w:rPr>
          <w:rFonts w:hint="default" w:ascii="Times New Roman" w:hAnsi="Times New Roman" w:cs="Times New Roman"/>
          <w:b w:val="0"/>
          <w:bCs w:val="0"/>
        </w:rPr>
      </w:pPr>
      <w:r>
        <w:rPr>
          <w:rFonts w:hint="default" w:ascii="Times New Roman" w:hAnsi="Times New Roman" w:cs="Times New Roman"/>
          <w:b w:val="0"/>
          <w:bCs w:val="0"/>
        </w:rPr>
        <w:drawing>
          <wp:inline distT="0" distB="0" distL="0" distR="0">
            <wp:extent cx="6096000"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rcRect/>
                    <a:stretch>
                      <a:fillRect/>
                    </a:stretch>
                  </pic:blipFill>
                  <pic:spPr>
                    <a:xfrm>
                      <a:off x="0" y="0"/>
                      <a:ext cx="6096000" cy="2286000"/>
                    </a:xfrm>
                    <a:prstGeom prst="rect">
                      <a:avLst/>
                    </a:prstGeom>
                  </pic:spPr>
                </pic:pic>
              </a:graphicData>
            </a:graphic>
          </wp:inline>
        </w:drawing>
      </w:r>
    </w:p>
    <w:p w14:paraId="6578A064">
      <w:pPr>
        <w:spacing w:before="60" w:after="200"/>
        <w:jc w:val="center"/>
        <w:rPr>
          <w:rFonts w:hint="default" w:ascii="Times New Roman" w:hAnsi="Times New Roman" w:cs="Times New Roman"/>
          <w:b w:val="0"/>
          <w:bCs w:val="0"/>
        </w:rPr>
      </w:pPr>
      <w:r>
        <w:rPr>
          <w:rFonts w:hint="default" w:ascii="Times New Roman" w:hAnsi="Times New Roman" w:eastAsia="Arial" w:cs="Times New Roman"/>
          <w:b w:val="0"/>
          <w:bCs w:val="0"/>
          <w:i/>
          <w:iCs/>
          <w:color w:val="666666"/>
          <w:sz w:val="20"/>
          <w:szCs w:val="20"/>
        </w:rPr>
        <w:t>Figure 5. Cross-category confidence heatmap for all 30 prompts (P1–P10 per row). Green = high confidence, red = low confidence. The high-confidence cluster in Factual Recall P7 (water/oxygen, p=0.978) and Analogical P1–P2 (geographic, p&gt;0.96) is clearly visible.</w:t>
      </w:r>
    </w:p>
    <w:p w14:paraId="2C8ED9B1">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Key patterns: (1) Factual recall shows the widest confidence range (0.124–0.978), consistent with high training-frequency variance across facts. (2) Analogical reasoning shows the clearest category-internal correlation: geographic analogies cluster near p≥0.96 while functional/botanical analogies cluster at p≤0.18. (3) Linguistic reasoning shows a bimodal distribution: closed-class morphological completions (irregular plurals and lexical look-up) cluster above p=0.50, while open-class antonym/synonym retrieval spans a wide range (0.084–0.566).</w:t>
      </w:r>
    </w:p>
    <w:p w14:paraId="252F013D">
      <w:pPr>
        <w:pStyle w:val="3"/>
        <w:spacing w:before="240" w:after="120"/>
        <w:rPr>
          <w:rFonts w:hint="default" w:ascii="Times New Roman" w:hAnsi="Times New Roman" w:cs="Times New Roman"/>
          <w:b w:val="0"/>
          <w:bCs w:val="0"/>
        </w:rPr>
      </w:pPr>
      <w:r>
        <w:rPr>
          <w:rFonts w:hint="default" w:ascii="Times New Roman" w:hAnsi="Times New Roman" w:cs="Times New Roman"/>
          <w:b w:val="0"/>
          <w:bCs w:val="0"/>
          <w:color w:val="2E75B6"/>
          <w:sz w:val="26"/>
          <w:szCs w:val="26"/>
          <w:lang w:val="en-US"/>
        </w:rPr>
        <w:t>3</w:t>
      </w:r>
      <w:r>
        <w:rPr>
          <w:rFonts w:hint="default" w:ascii="Times New Roman" w:hAnsi="Times New Roman" w:eastAsia="Arial" w:cs="Times New Roman"/>
          <w:b w:val="0"/>
          <w:bCs w:val="0"/>
          <w:color w:val="2E75B6"/>
          <w:sz w:val="26"/>
          <w:szCs w:val="26"/>
        </w:rPr>
        <w:t>.2 Shared Circuit Components: Cross-Category Recurring Features</w:t>
      </w:r>
    </w:p>
    <w:p w14:paraId="61BA4304">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At the 50% co-occurrence threshold, 312 features were identified for linguistic reasoning, 222 for factual recall, and 429 for analogical reasoning. Figure 4 summarizes recurring feature counts and top feature universality across categories.</w:t>
      </w:r>
    </w:p>
    <w:p w14:paraId="55BBD196">
      <w:pPr>
        <w:spacing w:before="120" w:after="60"/>
        <w:jc w:val="center"/>
        <w:rPr>
          <w:rFonts w:hint="default" w:ascii="Times New Roman" w:hAnsi="Times New Roman" w:cs="Times New Roman"/>
          <w:b w:val="0"/>
          <w:bCs w:val="0"/>
        </w:rPr>
      </w:pPr>
      <w:r>
        <w:rPr>
          <w:rFonts w:hint="default" w:ascii="Times New Roman" w:hAnsi="Times New Roman" w:cs="Times New Roman"/>
          <w:b w:val="0"/>
          <w:bCs w:val="0"/>
        </w:rPr>
        <w:drawing>
          <wp:inline distT="0" distB="0" distL="0" distR="0">
            <wp:extent cx="5334000" cy="285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a:srcRect/>
                    <a:stretch>
                      <a:fillRect/>
                    </a:stretch>
                  </pic:blipFill>
                  <pic:spPr>
                    <a:xfrm>
                      <a:off x="0" y="0"/>
                      <a:ext cx="5334000" cy="2857500"/>
                    </a:xfrm>
                    <a:prstGeom prst="rect">
                      <a:avLst/>
                    </a:prstGeom>
                  </pic:spPr>
                </pic:pic>
              </a:graphicData>
            </a:graphic>
          </wp:inline>
        </w:drawing>
      </w:r>
    </w:p>
    <w:p w14:paraId="6E2162A5">
      <w:pPr>
        <w:spacing w:before="60" w:after="200"/>
        <w:jc w:val="center"/>
        <w:rPr>
          <w:rFonts w:hint="default" w:ascii="Times New Roman" w:hAnsi="Times New Roman" w:cs="Times New Roman"/>
          <w:b w:val="0"/>
          <w:bCs w:val="0"/>
        </w:rPr>
      </w:pPr>
      <w:r>
        <w:rPr>
          <w:rFonts w:hint="default" w:ascii="Times New Roman" w:hAnsi="Times New Roman" w:eastAsia="Arial" w:cs="Times New Roman"/>
          <w:b w:val="0"/>
          <w:bCs w:val="0"/>
          <w:i/>
          <w:iCs/>
          <w:color w:val="666666"/>
          <w:sz w:val="20"/>
          <w:szCs w:val="20"/>
        </w:rPr>
        <w:t>Figure 4. Recurring circuit components per category. Left bars show total recurring features at 50% threshold; right bars show the number of graphs in which the single most universal feature appeared. Analogical reasoning has the largest shared circuit (429 features) and the most universal top feature (L6/F2586668, appearing in 48/10 graphs — more than the total graph count due to multiple token positions).</w:t>
      </w:r>
    </w:p>
    <w:p w14:paraId="7FE4EA29">
      <w:pPr>
        <w:pStyle w:val="3"/>
        <w:spacing w:before="240" w:after="120"/>
        <w:rPr>
          <w:rFonts w:hint="default" w:ascii="Times New Roman" w:hAnsi="Times New Roman" w:cs="Times New Roman"/>
          <w:b w:val="0"/>
          <w:bCs w:val="0"/>
        </w:rPr>
      </w:pPr>
      <w:r>
        <w:rPr>
          <w:rFonts w:hint="default" w:ascii="Times New Roman" w:hAnsi="Times New Roman" w:cs="Times New Roman"/>
          <w:b w:val="0"/>
          <w:bCs w:val="0"/>
          <w:color w:val="2E75B6"/>
          <w:sz w:val="26"/>
          <w:szCs w:val="26"/>
          <w:lang w:val="en-US"/>
        </w:rPr>
        <w:t>3</w:t>
      </w:r>
      <w:r>
        <w:rPr>
          <w:rFonts w:hint="default" w:ascii="Times New Roman" w:hAnsi="Times New Roman" w:eastAsia="Arial" w:cs="Times New Roman"/>
          <w:b w:val="0"/>
          <w:bCs w:val="0"/>
          <w:color w:val="2E75B6"/>
          <w:sz w:val="26"/>
          <w:szCs w:val="26"/>
        </w:rPr>
        <w:t>.3 Top Recurring Features per Category</w:t>
      </w:r>
    </w:p>
    <w:p w14:paraId="36E9B632">
      <w:pPr>
        <w:pStyle w:val="4"/>
        <w:spacing w:before="180" w:after="100"/>
        <w:rPr>
          <w:rFonts w:hint="default" w:ascii="Times New Roman" w:hAnsi="Times New Roman" w:cs="Times New Roman"/>
          <w:b w:val="0"/>
          <w:bCs w:val="0"/>
        </w:rPr>
      </w:pPr>
      <w:r>
        <w:rPr>
          <w:rFonts w:hint="default" w:ascii="Times New Roman" w:hAnsi="Times New Roman" w:cs="Times New Roman"/>
          <w:b w:val="0"/>
          <w:bCs w:val="0"/>
          <w:i/>
          <w:iCs/>
          <w:color w:val="404040"/>
          <w:sz w:val="24"/>
          <w:szCs w:val="24"/>
          <w:lang w:val="en-US"/>
        </w:rPr>
        <w:t>3</w:t>
      </w:r>
      <w:r>
        <w:rPr>
          <w:rFonts w:hint="default" w:ascii="Times New Roman" w:hAnsi="Times New Roman" w:eastAsia="Arial" w:cs="Times New Roman"/>
          <w:b w:val="0"/>
          <w:bCs w:val="0"/>
          <w:i/>
          <w:iCs/>
          <w:color w:val="404040"/>
          <w:sz w:val="24"/>
          <w:szCs w:val="24"/>
        </w:rPr>
        <w:t>.3.1 Linguistic Reasoning (Top 10 Recurring Features)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099"/>
        <w:gridCol w:w="1273"/>
        <w:gridCol w:w="996"/>
        <w:gridCol w:w="5285"/>
      </w:tblGrid>
      <w:tr w14:paraId="0673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64580B40">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Layer</w:t>
            </w:r>
          </w:p>
        </w:tc>
        <w:tc>
          <w:tcPr>
            <w:tcW w:w="11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2149BBE6">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Feature</w:t>
            </w:r>
          </w:p>
        </w:tc>
        <w:tc>
          <w:tcPr>
            <w:tcW w:w="9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504F521F">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Appearances</w:t>
            </w:r>
          </w:p>
        </w:tc>
        <w:tc>
          <w:tcPr>
            <w:tcW w:w="9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1CBEDDBA">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Avg Influence</w:t>
            </w:r>
          </w:p>
        </w:tc>
        <w:tc>
          <w:tcPr>
            <w:tcW w:w="576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09C4599F">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Label</w:t>
            </w:r>
          </w:p>
        </w:tc>
      </w:tr>
      <w:tr w14:paraId="527D5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D186AB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6</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60FB195">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2586668</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A63CD85">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37/10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5DF8CB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0.6571</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63DEFA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words in programming code, legal jargon, or scientific texts</w:t>
            </w:r>
          </w:p>
        </w:tc>
      </w:tr>
      <w:tr w14:paraId="3781F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92673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3A47C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74438300</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5789F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26/10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2A968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0.6758</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F9C2C4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 variety of specific nouns</w:t>
            </w:r>
          </w:p>
        </w:tc>
      </w:tr>
      <w:tr w14:paraId="6E6FC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963ED9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29EB2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5150441</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75D466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25/10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64C933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0.6616</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EAC4C2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code snippets and documentation references (web dev)</w:t>
            </w:r>
          </w:p>
        </w:tc>
      </w:tr>
      <w:tr w14:paraId="1CB9A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7F5A8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C28D42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110446948</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C37C7F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24/10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EFAC72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0.6861</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CFD128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code snippets and license agreements</w:t>
            </w:r>
          </w:p>
        </w:tc>
      </w:tr>
      <w:tr w14:paraId="02439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62C204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7</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BE4B5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4828270</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656D7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23/10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37767F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0.6683</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74EB49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reference codes, abbreviations, and identifiers</w:t>
            </w:r>
          </w:p>
        </w:tc>
      </w:tr>
      <w:tr w14:paraId="7428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5446E8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582742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11637899</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4E8A7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22/10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C21BC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0.7065</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D1BF0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"part" followed by prepositions / section words</w:t>
            </w:r>
          </w:p>
        </w:tc>
      </w:tr>
      <w:tr w14:paraId="7C79B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CFA7F6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3DCAB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2239785</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D4103E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21/10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86E5A2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0.6129</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78252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data as percentage in brackets; recognizes countries</w:t>
            </w:r>
          </w:p>
        </w:tc>
      </w:tr>
      <w:tr w14:paraId="393DC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139BC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C5416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70051365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00F0D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20/10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B6563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0.6481</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25612D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software code terms: "assembly", "using", "namespace"</w:t>
            </w:r>
          </w:p>
        </w:tc>
      </w:tr>
      <w:tr w14:paraId="182F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F859A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A8AFA7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50205205</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5B0D44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19/10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E001DD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0.5519</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395FC6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words associated with etymology or definition of a word</w:t>
            </w:r>
          </w:p>
        </w:tc>
      </w:tr>
      <w:tr w14:paraId="61246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432D2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8</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40733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3234687</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DE5B18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16/10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8B2D19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0.6077</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07F5445">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words and phrases related to the meaning of words</w:t>
            </w:r>
          </w:p>
        </w:tc>
      </w:tr>
    </w:tbl>
    <w:p w14:paraId="71C2CDC6">
      <w:pPr>
        <w:spacing w:after="80"/>
        <w:rPr>
          <w:rFonts w:hint="default" w:ascii="Times New Roman" w:hAnsi="Times New Roman" w:cs="Times New Roman"/>
          <w:b w:val="0"/>
          <w:bCs w:val="0"/>
        </w:rPr>
      </w:pPr>
    </w:p>
    <w:p w14:paraId="40AC0669">
      <w:pPr>
        <w:spacing w:after="80"/>
        <w:rPr>
          <w:rFonts w:hint="default" w:ascii="Times New Roman" w:hAnsi="Times New Roman" w:cs="Times New Roman"/>
          <w:b w:val="0"/>
          <w:bCs w:val="0"/>
          <w:lang w:val="en-US"/>
        </w:rPr>
      </w:pPr>
    </w:p>
    <w:p w14:paraId="7EC124B4">
      <w:pPr>
        <w:pStyle w:val="4"/>
        <w:spacing w:before="180" w:after="100"/>
        <w:rPr>
          <w:rFonts w:hint="default" w:ascii="Times New Roman" w:hAnsi="Times New Roman" w:cs="Times New Roman"/>
          <w:b w:val="0"/>
          <w:bCs w:val="0"/>
        </w:rPr>
      </w:pPr>
      <w:r>
        <w:rPr>
          <w:rFonts w:hint="default" w:ascii="Times New Roman" w:hAnsi="Times New Roman" w:cs="Times New Roman"/>
          <w:b w:val="0"/>
          <w:bCs w:val="0"/>
          <w:i/>
          <w:iCs/>
          <w:color w:val="404040"/>
          <w:sz w:val="24"/>
          <w:szCs w:val="24"/>
          <w:lang w:val="en-US"/>
        </w:rPr>
        <w:t>3</w:t>
      </w:r>
      <w:r>
        <w:rPr>
          <w:rFonts w:hint="default" w:ascii="Times New Roman" w:hAnsi="Times New Roman" w:eastAsia="Arial" w:cs="Times New Roman"/>
          <w:b w:val="0"/>
          <w:bCs w:val="0"/>
          <w:i/>
          <w:iCs/>
          <w:color w:val="404040"/>
          <w:sz w:val="24"/>
          <w:szCs w:val="24"/>
        </w:rPr>
        <w:t>.3.2 Factual Recall (Top 10 Recurring Features)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099"/>
        <w:gridCol w:w="1273"/>
        <w:gridCol w:w="996"/>
        <w:gridCol w:w="5285"/>
      </w:tblGrid>
      <w:tr w14:paraId="5744C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64542AC1">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Layer</w:t>
            </w:r>
          </w:p>
        </w:tc>
        <w:tc>
          <w:tcPr>
            <w:tcW w:w="11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46E48360">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Feature</w:t>
            </w:r>
          </w:p>
        </w:tc>
        <w:tc>
          <w:tcPr>
            <w:tcW w:w="9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10F04AC7">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Appearances</w:t>
            </w:r>
          </w:p>
        </w:tc>
        <w:tc>
          <w:tcPr>
            <w:tcW w:w="9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2F81D18A">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Avg Influence</w:t>
            </w:r>
          </w:p>
        </w:tc>
        <w:tc>
          <w:tcPr>
            <w:tcW w:w="576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4265BA76">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Label</w:t>
            </w:r>
          </w:p>
        </w:tc>
      </w:tr>
      <w:tr w14:paraId="763C9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520F29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A4EE54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110446948</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4081D8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34/10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CDCB8E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0.6152</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D764C6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code snippets and license agreements</w:t>
            </w:r>
          </w:p>
        </w:tc>
      </w:tr>
      <w:tr w14:paraId="341CD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6E819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6</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EB74B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2586668</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4C3C6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32/10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758B9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0.6480</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8559F9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words in programming code, legal jargon, or scientific texts</w:t>
            </w:r>
          </w:p>
        </w:tc>
      </w:tr>
      <w:tr w14:paraId="27744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C8FFDA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46A482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5150441</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941FB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24/10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B4FEAF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0.6390</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AF11A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code snippets and documentation references (web dev)</w:t>
            </w:r>
          </w:p>
        </w:tc>
      </w:tr>
      <w:tr w14:paraId="1AA28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98AA5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7</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39C4F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4828270</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94973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22/10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794AC5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0.7077</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04F66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reference codes, abbreviations, and identifiers</w:t>
            </w:r>
          </w:p>
        </w:tc>
      </w:tr>
      <w:tr w14:paraId="5545C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6B71ED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D9764F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40747877</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46F1D3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21/10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541F32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0.5454</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9B477B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technical documents: numbers, units, references</w:t>
            </w:r>
          </w:p>
        </w:tc>
      </w:tr>
      <w:tr w14:paraId="0FBB8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43EEB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4CA703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47653198</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0D36B5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20/10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24D419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0.6173</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46F3D9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various acronyms, IDs, and symbols (scientific data)</w:t>
            </w:r>
          </w:p>
        </w:tc>
      </w:tr>
      <w:tr w14:paraId="434AD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92172B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0743D8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2239785</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27F84E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20/10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A774EF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0.5995</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EB7A47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data as percentage in brackets; recognizes countries</w:t>
            </w:r>
          </w:p>
        </w:tc>
      </w:tr>
      <w:tr w14:paraId="768C7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4DC91D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5</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7F815C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2584395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063D0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19/10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73D91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0.6766</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FEC0FB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law-related terminology and case/legal entity references</w:t>
            </w:r>
          </w:p>
        </w:tc>
      </w:tr>
      <w:tr w14:paraId="1FEE2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33728D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A3515F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11637899</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29AD08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19/10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47FC6D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0.6524</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D075F2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"part" followed by prepositions / section words</w:t>
            </w:r>
          </w:p>
        </w:tc>
      </w:tr>
      <w:tr w14:paraId="65EF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068A3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32D1E3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74438300</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C20FE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19/10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65370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0.6433</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DACF8E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 variety of specific nouns</w:t>
            </w:r>
          </w:p>
        </w:tc>
      </w:tr>
    </w:tbl>
    <w:p w14:paraId="02C0B689">
      <w:pPr>
        <w:spacing w:after="80"/>
        <w:rPr>
          <w:rFonts w:hint="default" w:ascii="Times New Roman" w:hAnsi="Times New Roman" w:cs="Times New Roman"/>
          <w:b w:val="0"/>
          <w:bCs w:val="0"/>
          <w:lang w:val="en-US"/>
        </w:rPr>
      </w:pPr>
    </w:p>
    <w:p w14:paraId="073E345A">
      <w:pPr>
        <w:pStyle w:val="4"/>
        <w:spacing w:before="180" w:after="100"/>
        <w:rPr>
          <w:rFonts w:hint="default" w:ascii="Times New Roman" w:hAnsi="Times New Roman" w:cs="Times New Roman"/>
          <w:b w:val="0"/>
          <w:bCs w:val="0"/>
        </w:rPr>
      </w:pPr>
      <w:r>
        <w:rPr>
          <w:rFonts w:hint="default" w:ascii="Times New Roman" w:hAnsi="Times New Roman" w:cs="Times New Roman"/>
          <w:b w:val="0"/>
          <w:bCs w:val="0"/>
          <w:i/>
          <w:iCs/>
          <w:color w:val="404040"/>
          <w:sz w:val="24"/>
          <w:szCs w:val="24"/>
          <w:lang w:val="en-US"/>
        </w:rPr>
        <w:t>3</w:t>
      </w:r>
      <w:r>
        <w:rPr>
          <w:rFonts w:hint="default" w:ascii="Times New Roman" w:hAnsi="Times New Roman" w:eastAsia="Arial" w:cs="Times New Roman"/>
          <w:b w:val="0"/>
          <w:bCs w:val="0"/>
          <w:i/>
          <w:iCs/>
          <w:color w:val="404040"/>
          <w:sz w:val="24"/>
          <w:szCs w:val="24"/>
        </w:rPr>
        <w:t>.3.3 Analogical Reasoning (Top 10 Recurring Features)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1099"/>
        <w:gridCol w:w="1273"/>
        <w:gridCol w:w="996"/>
        <w:gridCol w:w="5285"/>
      </w:tblGrid>
      <w:tr w14:paraId="4BD8E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74B6D353">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Layer</w:t>
            </w:r>
          </w:p>
        </w:tc>
        <w:tc>
          <w:tcPr>
            <w:tcW w:w="11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197BF338">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Feature</w:t>
            </w:r>
          </w:p>
        </w:tc>
        <w:tc>
          <w:tcPr>
            <w:tcW w:w="9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51314AB1">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Appearances</w:t>
            </w:r>
          </w:p>
        </w:tc>
        <w:tc>
          <w:tcPr>
            <w:tcW w:w="9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3E9710C0">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Avg Influence</w:t>
            </w:r>
          </w:p>
        </w:tc>
        <w:tc>
          <w:tcPr>
            <w:tcW w:w="576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7FB34A88">
            <w:pPr>
              <w:jc w:val="center"/>
              <w:rPr>
                <w:rFonts w:hint="default" w:ascii="Times New Roman" w:hAnsi="Times New Roman" w:cs="Times New Roman"/>
                <w:b w:val="0"/>
                <w:bCs w:val="0"/>
              </w:rPr>
            </w:pPr>
            <w:r>
              <w:rPr>
                <w:rFonts w:hint="default" w:ascii="Times New Roman" w:hAnsi="Times New Roman" w:eastAsia="Arial" w:cs="Times New Roman"/>
                <w:b w:val="0"/>
                <w:bCs w:val="0"/>
                <w:color w:val="FFFFFF"/>
                <w:sz w:val="20"/>
                <w:szCs w:val="20"/>
              </w:rPr>
              <w:t>Label</w:t>
            </w:r>
          </w:p>
        </w:tc>
      </w:tr>
      <w:tr w14:paraId="2291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D85004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6</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07A182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2586668</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0E9C5B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48/10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C6B572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0.7217</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BAEE8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words in programming code, legal jargon, or scientific texts</w:t>
            </w:r>
          </w:p>
        </w:tc>
      </w:tr>
      <w:tr w14:paraId="0D29D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85A4EE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45BD3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5150441</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DFC84D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47/10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A1492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0.6449</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F97B19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code snippets and documentation references (web dev)</w:t>
            </w:r>
          </w:p>
        </w:tc>
      </w:tr>
      <w:tr w14:paraId="7C03F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887F81B">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8</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5BE8D8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94882191</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EA26CB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41/10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3A8FC2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0.4939</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F6523B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analogies or comparisons</w:t>
            </w:r>
          </w:p>
        </w:tc>
      </w:tr>
      <w:tr w14:paraId="53DE4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55E3F6">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D1F8E3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110446948</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6C49F3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37/10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6BE12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0.6755</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0EE844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code snippets and license agreements</w:t>
            </w:r>
          </w:p>
        </w:tc>
      </w:tr>
      <w:tr w14:paraId="033A8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9F5FFD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7</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484695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4828270</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B69D3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31/10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757960A">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0.7418</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05C7F9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reference codes, abbreviations, and identifiers</w:t>
            </w:r>
          </w:p>
        </w:tc>
      </w:tr>
      <w:tr w14:paraId="7B35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7460CCF">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9</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ED8B0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89171325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6AABCE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30/10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544E54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0.6755</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C0BAA9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phrases suggesting uncertainty or comparison between two things</w:t>
            </w:r>
          </w:p>
        </w:tc>
      </w:tr>
      <w:tr w14:paraId="4C2ED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0FADC3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928F5A5">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74438300</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7426D4">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27/10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4D66868">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0.7010</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94EC15D">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 variety of specific nouns</w:t>
            </w:r>
          </w:p>
        </w:tc>
      </w:tr>
      <w:tr w14:paraId="2F0B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D72D2A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9</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AD08325">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4261730</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69F3DD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27/10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F880671">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0.6394</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3A4CB7">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formulas, ratios, and mathematical notation</w:t>
            </w:r>
          </w:p>
        </w:tc>
      </w:tr>
      <w:tr w14:paraId="65DC0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8B1E32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5</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C69F1C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16817094</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D25CD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27/10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38C3110">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0.5668</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F5EE6F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analogies</w:t>
            </w:r>
          </w:p>
        </w:tc>
      </w:tr>
      <w:tr w14:paraId="76F8B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B90E2C9">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7</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6EB6C2">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286895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B71B03">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21/10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14709EC">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0.6201</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21533E">
            <w:pPr>
              <w:jc w:val="left"/>
              <w:rPr>
                <w:rFonts w:hint="default" w:ascii="Times New Roman" w:hAnsi="Times New Roman" w:cs="Times New Roman"/>
                <w:b w:val="0"/>
                <w:bCs w:val="0"/>
              </w:rPr>
            </w:pPr>
            <w:r>
              <w:rPr>
                <w:rFonts w:hint="default" w:ascii="Times New Roman" w:hAnsi="Times New Roman" w:eastAsia="Arial" w:cs="Times New Roman"/>
                <w:b w:val="0"/>
                <w:bCs w:val="0"/>
                <w:color w:val="404040"/>
                <w:sz w:val="19"/>
                <w:szCs w:val="19"/>
              </w:rPr>
              <w:t>analogies and comparisons</w:t>
            </w:r>
          </w:p>
        </w:tc>
      </w:tr>
    </w:tbl>
    <w:p w14:paraId="14AE8D53">
      <w:pPr>
        <w:spacing w:after="80"/>
        <w:rPr>
          <w:rFonts w:hint="default" w:ascii="Times New Roman" w:hAnsi="Times New Roman" w:cs="Times New Roman"/>
          <w:b w:val="0"/>
          <w:bCs w:val="0"/>
          <w:lang w:val="en-US"/>
        </w:rPr>
      </w:pPr>
    </w:p>
    <w:p w14:paraId="7868E7F1">
      <w:pPr>
        <w:spacing w:after="80"/>
        <w:rPr>
          <w:rFonts w:hint="default" w:ascii="Times New Roman" w:hAnsi="Times New Roman" w:cs="Times New Roman"/>
          <w:b w:val="0"/>
          <w:bCs w:val="0"/>
          <w:lang w:val="en-US"/>
        </w:rPr>
      </w:pPr>
      <w:r>
        <w:rPr>
          <w:rFonts w:hint="default" w:ascii="Times New Roman" w:hAnsi="Times New Roman" w:cs="Times New Roman"/>
          <w:b w:val="0"/>
          <w:bCs w:val="0"/>
          <w:lang w:val="en-US"/>
        </w:rPr>
        <w:drawing>
          <wp:inline distT="0" distB="0" distL="114300" distR="114300">
            <wp:extent cx="5969635" cy="6369050"/>
            <wp:effectExtent l="0" t="0" r="4445" b="1270"/>
            <wp:docPr id="12" name="Picture 12" descr="recurring_features_all_th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recurring_features_all_three"/>
                    <pic:cNvPicPr>
                      <a:picLocks noChangeAspect="1"/>
                    </pic:cNvPicPr>
                  </pic:nvPicPr>
                  <pic:blipFill>
                    <a:blip r:embed="rId11"/>
                    <a:stretch>
                      <a:fillRect/>
                    </a:stretch>
                  </pic:blipFill>
                  <pic:spPr>
                    <a:xfrm>
                      <a:off x="0" y="0"/>
                      <a:ext cx="5969635" cy="6369050"/>
                    </a:xfrm>
                    <a:prstGeom prst="rect">
                      <a:avLst/>
                    </a:prstGeom>
                  </pic:spPr>
                </pic:pic>
              </a:graphicData>
            </a:graphic>
          </wp:inline>
        </w:drawing>
      </w:r>
    </w:p>
    <w:p w14:paraId="1A1B43F3">
      <w:pPr>
        <w:pStyle w:val="3"/>
        <w:spacing w:before="240" w:after="120"/>
        <w:rPr>
          <w:rFonts w:hint="default" w:ascii="Times New Roman" w:hAnsi="Times New Roman" w:cs="Times New Roman"/>
          <w:b w:val="0"/>
          <w:bCs w:val="0"/>
          <w:color w:val="2E75B6"/>
          <w:sz w:val="26"/>
          <w:szCs w:val="26"/>
          <w:lang w:val="en-US"/>
        </w:rPr>
      </w:pPr>
    </w:p>
    <w:p w14:paraId="296D963D">
      <w:pPr>
        <w:pStyle w:val="3"/>
        <w:spacing w:before="240" w:after="120"/>
        <w:rPr>
          <w:rFonts w:hint="default" w:ascii="Times New Roman" w:hAnsi="Times New Roman" w:cs="Times New Roman"/>
          <w:b w:val="0"/>
          <w:bCs w:val="0"/>
        </w:rPr>
      </w:pPr>
      <w:r>
        <w:rPr>
          <w:rFonts w:hint="default" w:ascii="Times New Roman" w:hAnsi="Times New Roman" w:cs="Times New Roman"/>
          <w:b w:val="0"/>
          <w:bCs w:val="0"/>
          <w:color w:val="2E75B6"/>
          <w:sz w:val="26"/>
          <w:szCs w:val="26"/>
          <w:lang w:val="en-US"/>
        </w:rPr>
        <w:t>3</w:t>
      </w:r>
      <w:r>
        <w:rPr>
          <w:rFonts w:hint="default" w:ascii="Times New Roman" w:hAnsi="Times New Roman" w:eastAsia="Arial" w:cs="Times New Roman"/>
          <w:b w:val="0"/>
          <w:bCs w:val="0"/>
          <w:color w:val="2E75B6"/>
          <w:sz w:val="26"/>
          <w:szCs w:val="26"/>
        </w:rPr>
        <w:t>.4 Feature Influence Bubble Charts and Layer Distribution</w:t>
      </w:r>
    </w:p>
    <w:p w14:paraId="097A4B7C">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Figure 6 shows the influence bubble charts for the top-10 recurring features in each category. Bubble size reflects number of appearances; y-axis is average influence. Numbered labels in each panel correspond to the feature index in the label table inset within each panel, allowing identification of specific features by their node descriptions.</w:t>
      </w:r>
    </w:p>
    <w:p w14:paraId="18D8BB9D">
      <w:pPr>
        <w:spacing w:before="120" w:after="60"/>
        <w:jc w:val="center"/>
        <w:rPr>
          <w:rFonts w:hint="default" w:ascii="Times New Roman" w:hAnsi="Times New Roman" w:cs="Times New Roman"/>
          <w:b w:val="0"/>
          <w:bCs w:val="0"/>
        </w:rPr>
      </w:pPr>
      <w:r>
        <w:rPr>
          <w:rFonts w:hint="default" w:ascii="Times New Roman" w:hAnsi="Times New Roman" w:cs="Times New Roman"/>
          <w:b w:val="0"/>
          <w:bCs w:val="0"/>
        </w:rPr>
        <w:drawing>
          <wp:inline distT="0" distB="0" distL="0" distR="0">
            <wp:extent cx="6477000" cy="2571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2"/>
                    <a:srcRect/>
                    <a:stretch>
                      <a:fillRect/>
                    </a:stretch>
                  </pic:blipFill>
                  <pic:spPr>
                    <a:xfrm>
                      <a:off x="0" y="0"/>
                      <a:ext cx="6477000" cy="2571750"/>
                    </a:xfrm>
                    <a:prstGeom prst="rect">
                      <a:avLst/>
                    </a:prstGeom>
                  </pic:spPr>
                </pic:pic>
              </a:graphicData>
            </a:graphic>
          </wp:inline>
        </w:drawing>
      </w:r>
    </w:p>
    <w:p w14:paraId="34469F28">
      <w:pPr>
        <w:spacing w:before="60" w:after="200"/>
        <w:jc w:val="center"/>
        <w:rPr>
          <w:rFonts w:hint="default" w:ascii="Times New Roman" w:hAnsi="Times New Roman" w:cs="Times New Roman"/>
          <w:b w:val="0"/>
          <w:bCs w:val="0"/>
        </w:rPr>
      </w:pPr>
      <w:r>
        <w:rPr>
          <w:rFonts w:hint="default" w:ascii="Times New Roman" w:hAnsi="Times New Roman" w:eastAsia="Arial" w:cs="Times New Roman"/>
          <w:b w:val="0"/>
          <w:bCs w:val="0"/>
          <w:i/>
          <w:iCs/>
          <w:color w:val="666666"/>
          <w:sz w:val="20"/>
          <w:szCs w:val="20"/>
        </w:rPr>
        <w:t>Figure 6. Feature influence bubble charts for the top-10 recurring features per category. Each bubble is numbered; a label table in the bottom-right corner of each panel maps numbers to full feature descriptions. Bubble size = appearances (per 10 graphs); y-axis = average influence score.</w:t>
      </w:r>
    </w:p>
    <w:p w14:paraId="177725AE">
      <w:pPr>
        <w:spacing w:after="120"/>
        <w:jc w:val="both"/>
        <w:rPr>
          <w:rFonts w:hint="default" w:ascii="Times New Roman" w:hAnsi="Times New Roman" w:cs="Times New Roman"/>
          <w:b w:val="0"/>
          <w:bCs w:val="0"/>
        </w:rPr>
      </w:pPr>
      <w:r>
        <w:rPr>
          <w:rFonts w:hint="default" w:ascii="Times New Roman" w:hAnsi="Times New Roman" w:eastAsia="Arial" w:cs="Times New Roman"/>
          <w:b w:val="0"/>
          <w:bCs w:val="0"/>
          <w:color w:val="404040"/>
          <w:sz w:val="22"/>
          <w:szCs w:val="22"/>
        </w:rPr>
        <w:t>Figure 7 shows the layer distribution of the top-15 recurring features across categories. Early layers (0–4, shaded blue) concentrate the structural register-detection features; middle layers (4–16, shaded orange) host domain classification and relational abstraction; late layers (16–28, shaded green) encode specific entity selection and answer generation.</w:t>
      </w:r>
    </w:p>
    <w:p w14:paraId="66F22E41">
      <w:pPr>
        <w:spacing w:before="120" w:after="60"/>
        <w:jc w:val="center"/>
        <w:rPr>
          <w:rFonts w:hint="default" w:ascii="Times New Roman" w:hAnsi="Times New Roman" w:cs="Times New Roman"/>
          <w:b w:val="0"/>
          <w:bCs w:val="0"/>
        </w:rPr>
      </w:pPr>
      <w:r>
        <w:rPr>
          <w:rFonts w:hint="default" w:ascii="Times New Roman" w:hAnsi="Times New Roman" w:cs="Times New Roman"/>
          <w:b w:val="0"/>
          <w:bCs w:val="0"/>
        </w:rPr>
        <w:drawing>
          <wp:inline distT="0" distB="0" distL="0" distR="0">
            <wp:extent cx="6096000" cy="2571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3"/>
                    <a:srcRect/>
                    <a:stretch>
                      <a:fillRect/>
                    </a:stretch>
                  </pic:blipFill>
                  <pic:spPr>
                    <a:xfrm>
                      <a:off x="0" y="0"/>
                      <a:ext cx="6096000" cy="2571750"/>
                    </a:xfrm>
                    <a:prstGeom prst="rect">
                      <a:avLst/>
                    </a:prstGeom>
                  </pic:spPr>
                </pic:pic>
              </a:graphicData>
            </a:graphic>
          </wp:inline>
        </w:drawing>
      </w:r>
    </w:p>
    <w:p w14:paraId="47A434A9">
      <w:pPr>
        <w:spacing w:before="60" w:after="200"/>
        <w:jc w:val="center"/>
        <w:rPr>
          <w:rFonts w:hint="default" w:ascii="Times New Roman" w:hAnsi="Times New Roman" w:cs="Times New Roman"/>
          <w:b w:val="0"/>
          <w:bCs w:val="0"/>
        </w:rPr>
      </w:pPr>
      <w:r>
        <w:rPr>
          <w:rFonts w:hint="default" w:ascii="Times New Roman" w:hAnsi="Times New Roman" w:eastAsia="Arial" w:cs="Times New Roman"/>
          <w:b w:val="0"/>
          <w:bCs w:val="0"/>
          <w:i/>
          <w:iCs/>
          <w:color w:val="666666"/>
          <w:sz w:val="20"/>
          <w:szCs w:val="20"/>
        </w:rPr>
        <w:t>Figure 7. Layer distribution of top-15 recurring features per category. Shading marks early (blue), middle (orange), and late (green) functional zones. All three categories concentrate their most universal recurring features in early-to-middle layers (L0–L8), with domain-specific features appearing in late layers only as prompt-specific, non-recurring components.</w:t>
      </w:r>
    </w:p>
    <w:p w14:paraId="7ACAE686">
      <w:pPr>
        <w:pStyle w:val="3"/>
        <w:spacing w:before="240" w:after="120"/>
        <w:rPr>
          <w:rFonts w:hint="default" w:ascii="Times New Roman" w:hAnsi="Times New Roman" w:eastAsia="Arial" w:cs="Times New Roman"/>
          <w:b/>
          <w:bCs/>
          <w:color w:val="2E75B6"/>
          <w:sz w:val="26"/>
          <w:szCs w:val="26"/>
          <w:lang w:val="en-US"/>
        </w:rPr>
      </w:pPr>
    </w:p>
    <w:p w14:paraId="0D9896CC">
      <w:pPr>
        <w:pStyle w:val="3"/>
        <w:spacing w:before="240" w:after="120"/>
        <w:rPr>
          <w:rFonts w:hint="default" w:ascii="Times New Roman" w:hAnsi="Times New Roman" w:cs="Times New Roman"/>
        </w:rPr>
      </w:pPr>
      <w:r>
        <w:rPr>
          <w:rFonts w:hint="default" w:ascii="Times New Roman" w:hAnsi="Times New Roman" w:eastAsia="Arial" w:cs="Times New Roman"/>
          <w:b/>
          <w:bCs/>
          <w:color w:val="2E75B6"/>
          <w:sz w:val="26"/>
          <w:szCs w:val="26"/>
          <w:lang w:val="en-US"/>
        </w:rPr>
        <w:t>3</w:t>
      </w:r>
      <w:r>
        <w:rPr>
          <w:rFonts w:hint="default" w:ascii="Times New Roman" w:hAnsi="Times New Roman" w:eastAsia="Arial" w:cs="Times New Roman"/>
          <w:b/>
          <w:bCs/>
          <w:color w:val="2E75B6"/>
          <w:sz w:val="26"/>
          <w:szCs w:val="26"/>
        </w:rPr>
        <w:t>.5 Per-Prompt Circuit Walkthroughs</w:t>
      </w:r>
    </w:p>
    <w:p w14:paraId="1AE0FAA8">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Beyond the cross-graph recurring features, each individual prompt activates a distinct combination of features that together narrate how the model arrives at its specific prediction. We trace three examples per category, chosen for the clarity and logical coherence of their feature flow from early layers through to the logit.</w:t>
      </w:r>
    </w:p>
    <w:p w14:paraId="08CA2E8B">
      <w:pPr>
        <w:pStyle w:val="4"/>
        <w:spacing w:before="180" w:after="100"/>
        <w:rPr>
          <w:rFonts w:hint="default" w:ascii="Times New Roman" w:hAnsi="Times New Roman" w:cs="Times New Roman"/>
        </w:rPr>
      </w:pPr>
      <w:r>
        <w:rPr>
          <w:rFonts w:hint="default" w:ascii="Times New Roman" w:hAnsi="Times New Roman" w:eastAsia="Arial" w:cs="Times New Roman"/>
          <w:b/>
          <w:bCs/>
          <w:i/>
          <w:iCs/>
          <w:color w:val="404040"/>
          <w:sz w:val="24"/>
          <w:szCs w:val="24"/>
          <w:lang w:val="en-US"/>
        </w:rPr>
        <w:t>3</w:t>
      </w:r>
      <w:r>
        <w:rPr>
          <w:rFonts w:hint="default" w:ascii="Times New Roman" w:hAnsi="Times New Roman" w:eastAsia="Arial" w:cs="Times New Roman"/>
          <w:b/>
          <w:bCs/>
          <w:i/>
          <w:iCs/>
          <w:color w:val="404040"/>
          <w:sz w:val="24"/>
          <w:szCs w:val="24"/>
        </w:rPr>
        <w:t>.5.1 Analogical Reasoning</w:t>
      </w:r>
    </w:p>
    <w:p w14:paraId="6149443C">
      <w:pPr>
        <w:spacing w:after="120"/>
        <w:jc w:val="both"/>
        <w:rPr>
          <w:rFonts w:hint="default" w:ascii="Times New Roman" w:hAnsi="Times New Roman" w:cs="Times New Roman"/>
        </w:rPr>
      </w:pPr>
      <w:r>
        <w:rPr>
          <w:rFonts w:hint="default" w:ascii="Times New Roman" w:hAnsi="Times New Roman" w:eastAsia="Arial" w:cs="Times New Roman"/>
          <w:i w:val="0"/>
          <w:iCs w:val="0"/>
          <w:color w:val="404040"/>
          <w:sz w:val="22"/>
          <w:szCs w:val="22"/>
        </w:rPr>
        <w:t>Paris/Germany (p=0.973). The recurring feature F94882191 at Layer 8 (analogies or comparisons, avg activation 32.1 across all analogical prompts) appears in all 10 analogical graphs, confirming it as the dedicated relational-structure detector. In this prompt it co-activates with geography-specific features: F3554 at Layer 3 (mentions of countries), F3182 at Layer 6 (mentions of cities or regions), and F4827 at Layer 21 (words and phrases related to scientific and medical research, act=45.0), which despite its label serves as a high-magnitude late-layer convergence hub. The dominant causal path (mixed, weight=306.1, 3 hops) runs from L21/F4827 to L22 to L25 to the logit with a +197.96 edge out of L21. The circuit is: detect analogy template (F94882191, L8) -&gt; narrow to European geography (F3554, F3182, L3-6) -&gt; converge through a single late-stage hub (L21) -&gt; logit. Near-perfect confidence (p=0.973) reflects dedicated European capital-to-country associations producing a clean, high-weight path with no competing signal.</w:t>
      </w:r>
    </w:p>
    <w:p w14:paraId="00D7E9B1">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Judge/court -&gt; church (p=0.486). This prompt produces the clearest institutional-role mapping in the dataset. F89171325 at Layer 9 (phrases suggesting uncertainty or comparison between two things, 30/10 appearances) activates on the analogy structure. The mechanistically decisive features are domain-specific: F6402 at Layer 9 (references to laws, articles and sections) encodes the legal source domain; F6505 at Layer 17, labelled simply "court" with activation 71.9 -- the highest single-concept activation for any named entity in all three categories -- directly encodes the source institution. Three layers later, F10549 at Layer 19 (words and phrases related to religion and religious belief) activates for the target domain. The causal chain: template detection (L9) -&gt; legal domain (L9/F6402) -&gt; source-concept lock (L17/F6505, court) -&gt; target-domain activation (L19/F10549, religion) -&gt; logit. The moderate confidence (p=0.486) reflects competition from "temple", "parish", and "cathedral" -- the model knows the category but not which specific institution label wins.</w:t>
      </w:r>
    </w:p>
    <w:p w14:paraId="552B2D94">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Leaf/petal -&gt; flower (p=0.136). F94882191 at Layer 8 fires here as in all analogical prompts, but what follows is different. Early layers activate F6178 at Layer 6 (words related to domestic animals and farming) and F11868 at Layer 6 (words related to animals and natural objects), registering all terms as biological objects. The highest-weight causal path (mixed, weight=2086.9) has the largest total weight in the entire dataset, yet confidence is only p=0.136. This reveals a key finding: path weight measures edge strength, not answer uniqueness. The botanical domain activates strongly but spreads its signal across flower, plant, bloom, and blossom equally -- all valid part-whole botanical completions. The circuit correctly identifies the relationship type but has no mechanism to select among synonymous answers.</w:t>
      </w:r>
    </w:p>
    <w:p w14:paraId="2F7E794E">
      <w:pPr>
        <w:pStyle w:val="4"/>
        <w:spacing w:before="180" w:after="100"/>
        <w:rPr>
          <w:rFonts w:hint="default" w:ascii="Times New Roman" w:hAnsi="Times New Roman" w:cs="Times New Roman"/>
        </w:rPr>
      </w:pPr>
      <w:r>
        <w:rPr>
          <w:rFonts w:hint="default" w:ascii="Times New Roman" w:hAnsi="Times New Roman" w:eastAsia="Arial" w:cs="Times New Roman"/>
          <w:b/>
          <w:bCs/>
          <w:i/>
          <w:iCs/>
          <w:color w:val="404040"/>
          <w:sz w:val="24"/>
          <w:szCs w:val="24"/>
          <w:lang w:val="en-US"/>
        </w:rPr>
        <w:t>3</w:t>
      </w:r>
      <w:r>
        <w:rPr>
          <w:rFonts w:hint="default" w:ascii="Times New Roman" w:hAnsi="Times New Roman" w:eastAsia="Arial" w:cs="Times New Roman"/>
          <w:b/>
          <w:bCs/>
          <w:i/>
          <w:iCs/>
          <w:color w:val="404040"/>
          <w:sz w:val="24"/>
          <w:szCs w:val="24"/>
        </w:rPr>
        <w:t>.5.2 Factual Recall</w:t>
      </w:r>
    </w:p>
    <w:p w14:paraId="29A56CB0">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Water/oxygen (p=0.978). The recurring features F110446948 at Layer 4 (code snippets and license agreements, 34/10 appearances) and F2586668 at Layer 6 (programming code, legal jargon, or scientific texts, 32/10) fire as structural register anchors -- they respond to the formal declarative structure common to all factual prompts, not to chemistry specifically. What makes this prompt extraordinary is the middle-layer convergence: four distinct chemistry features fire at Layer 9 simultaneously -- F4262 (words related to chemistry and chemical elements), F4730 (formulas, ratios, and mathematical notation), F14187 (scientific and mathematical texts), and F6400 (code and equations). This four-way domain-specific activation at a single layer, combined with "hydrogen" being explicitly named in the prompt, leaves no ambiguity. Three of the five causal paths are purely excitatory. The result is p=0.978 -- the circuit treats "hydrogen and __" as a completed equation whose answer is predetermined.</w:t>
      </w:r>
    </w:p>
    <w:p w14:paraId="1FB92EF5">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Nigeria/capital (p=0.173, predicts article "a"). The shared recurring features fire correctly: F110446948 (L4) and F2586668 (L6) anchor the declarative register; F2239785 at Layer 0 (data as percentage in brackets; recognises countries) fires on "Nigeria" as a country token. Layer 2 activates words related to governmental leadership and elections; Layer 6 activates mentions of cities or regions. The circuit has correctly classified the query type. But the late layers fail to converge. The only qualifying late node is F5668 at Layer 24 (text written in all caps, especially political text) -- the model's final push is driven by a formatting-pattern feature rather than a semantic encoding of Abuja. The dominant causal path is a single-hop embedding-to-logit connection (weight +13.17) that predicts the article "a". The model settles for an article because it cannot retrieve the specific city name: Nigeria's capital Abuja, under-represented in training relative to Lagos (the former capital), cannot be confidently retrieved by any late-layer entity encoder.</w:t>
      </w:r>
    </w:p>
    <w:p w14:paraId="19B07EC5">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Cell powerhouse -&gt; nucleus (p=0.103). The early circuit fires correctly and specifically on cell biology: F3205 at Layer 3 (a top-3 recurring feature, here encoding technical or scientific concepts related to biology, physiology, and chemistry), F2352 at Layer 5 (words related to protein function in molecular biology), and F8380 at Layer 5 (phrases related to science). The late layers activate F1578 at Layer 16 (cell biology, act=24.5) and F11774 at Layer 21 (scientific jargon related to cell biology or parasites, act=32.4). Despite all this domain-correct activation, the model predicts "nucleus" instead of "mitochondria." There is no mitochondria-specific encoder anywhere in the circuit. The phrase "powerhouse of the cell" exists primarily as an internet meme rather than as a scientific statement in biological literature; Gemma-2-2B's training signal routes through a cultural register, and the cell biology feature activates "nucleus" -- the more prominent organelle in formal biological writing -- over "mitochondria".</w:t>
      </w:r>
    </w:p>
    <w:p w14:paraId="23D21859">
      <w:pPr>
        <w:pStyle w:val="4"/>
        <w:spacing w:before="180" w:after="100"/>
        <w:rPr>
          <w:rFonts w:hint="default" w:ascii="Times New Roman" w:hAnsi="Times New Roman" w:cs="Times New Roman"/>
        </w:rPr>
      </w:pPr>
      <w:r>
        <w:rPr>
          <w:rFonts w:hint="default" w:ascii="Times New Roman" w:hAnsi="Times New Roman" w:eastAsia="Arial" w:cs="Times New Roman"/>
          <w:b/>
          <w:bCs/>
          <w:i/>
          <w:iCs/>
          <w:color w:val="404040"/>
          <w:sz w:val="24"/>
          <w:szCs w:val="24"/>
          <w:lang w:val="en-US"/>
        </w:rPr>
        <w:t>3</w:t>
      </w:r>
      <w:r>
        <w:rPr>
          <w:rFonts w:hint="default" w:ascii="Times New Roman" w:hAnsi="Times New Roman" w:eastAsia="Arial" w:cs="Times New Roman"/>
          <w:b/>
          <w:bCs/>
          <w:i/>
          <w:iCs/>
          <w:color w:val="404040"/>
          <w:sz w:val="24"/>
          <w:szCs w:val="24"/>
        </w:rPr>
        <w:t>.5.3 Linguistic Reasoning</w:t>
      </w:r>
    </w:p>
    <w:p w14:paraId="46F3DD7B">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Mouse -&gt; mice (p=0.706). The top-1 recurring feature F2586668 at Layer 6 (37/10 appearances) fires on the formal template structure. The semantically pivotal feature is F12241 at Layer 11 (name origins and meanings, act=17.87) -- a feature whose label suggests etymology but whose activation pattern, also seen in the child -&gt; children prompt (act=49.98), reveals it as the morphological-history detector: words whose current form derives from historical sound changes such as umlaut plurals and vowel-change past tenses. F50205205 at Layer 4 (words associated with the etymology or definition of a word, 19/10 appearances) provides the definitional template anchor. The dominant causal path is a single-hop embedding-to-logit (weight +14.14) -- the strongest direct path in the entire linguistic dataset. The circuit stores the mouse-to-mice mapping as a direct embedding-level association retrieved without intermediate transformation.</w:t>
      </w:r>
    </w:p>
    <w:p w14:paraId="2B77E0F7">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Swim -&gt; swam (p=0.496). This prompt produces the most striking example of feature repurposing. The highest-influence early feature is F10444 at Layer 5 (influence=0.8002, the top early-layer score in the entire linguistic dataset), labelled "baseball terminology." Swim is unrelated to baseball, yet this feature fires at maximum influence. The reason is structural: baseball verbs are predominantly irregular monosyllables with vowel-change past tenses -- hit, pitch, throw, run, swim. The feature has been co-opted as a vowel-change monosyllable detector rather than a sport-specific encoder. At Layer 18, F6481 (grammatical tense and simple declarative clauses, act=86.06) fires at nearly four times the activation of any other late-stage feature, explicitly recognising "past tense of X is" as a morphological query. Yet despite this extraordinary activation, the causal path through it carries only weight=0.33 -- downstream inhibitory edges cancel most of its signal. The result is p=0.496: the model knows something tense-related is happening and retrieves a vowel-change form, but cannot determine with confidence whether "swam," "swum," or another irregular form is correct.</w:t>
      </w:r>
    </w:p>
    <w:p w14:paraId="0BD98ACE">
      <w:pPr>
        <w:pStyle w:val="2"/>
        <w:pBdr>
          <w:bottom w:val="single" w:color="2E75B6" w:sz="4" w:space="6"/>
        </w:pBdr>
        <w:spacing w:before="360" w:after="180"/>
        <w:rPr>
          <w:rFonts w:hint="default" w:ascii="Times New Roman" w:hAnsi="Times New Roman" w:cs="Times New Roman"/>
          <w:b w:val="0"/>
          <w:bCs w:val="0"/>
          <w:color w:val="1F4E79"/>
          <w:sz w:val="32"/>
          <w:szCs w:val="32"/>
          <w:lang w:val="en-US"/>
        </w:rPr>
      </w:pPr>
    </w:p>
    <w:p w14:paraId="06CE6971">
      <w:pPr>
        <w:pStyle w:val="2"/>
        <w:pBdr>
          <w:bottom w:val="single" w:color="2E75B6" w:sz="4" w:space="6"/>
        </w:pBdr>
        <w:spacing w:before="360" w:after="180"/>
        <w:rPr>
          <w:rFonts w:hint="default" w:ascii="Times New Roman" w:hAnsi="Times New Roman" w:cs="Times New Roman"/>
          <w:b w:val="0"/>
          <w:bCs w:val="0"/>
        </w:rPr>
      </w:pPr>
      <w:r>
        <w:rPr>
          <w:rFonts w:hint="default" w:ascii="Times New Roman" w:hAnsi="Times New Roman" w:cs="Times New Roman"/>
          <w:b w:val="0"/>
          <w:bCs w:val="0"/>
          <w:color w:val="1F4E79"/>
          <w:sz w:val="32"/>
          <w:szCs w:val="32"/>
          <w:lang w:val="en-US"/>
        </w:rPr>
        <w:t>5</w:t>
      </w:r>
      <w:r>
        <w:rPr>
          <w:rFonts w:hint="default" w:ascii="Times New Roman" w:hAnsi="Times New Roman" w:eastAsia="Arial" w:cs="Times New Roman"/>
          <w:b w:val="0"/>
          <w:bCs w:val="0"/>
          <w:color w:val="1F4E79"/>
          <w:sz w:val="32"/>
          <w:szCs w:val="32"/>
        </w:rPr>
        <w:t>. Limitations</w:t>
      </w:r>
    </w:p>
    <w:p w14:paraId="4A4FAEC7">
      <w:pPr>
        <w:pStyle w:val="16"/>
        <w:numPr>
          <w:ilvl w:val="0"/>
          <w:numId w:val="1"/>
        </w:numPr>
        <w:spacing w:before="60" w:after="40"/>
        <w:ind w:left="720" w:leftChars="0" w:hanging="360" w:firstLineChars="0"/>
        <w:rPr>
          <w:rFonts w:hint="default" w:ascii="Times New Roman" w:hAnsi="Times New Roman" w:cs="Times New Roman"/>
        </w:rPr>
      </w:pPr>
      <w:r>
        <w:rPr>
          <w:rFonts w:hint="default" w:ascii="Times New Roman" w:hAnsi="Times New Roman" w:eastAsia="Times New Roman" w:cs="Times New Roman"/>
          <w:sz w:val="22"/>
          <w:szCs w:val="22"/>
        </w:rPr>
        <w:t>No causal steering validation. The recurring features identified here are correlational — they appear consistently but their causal necessity for the task computations has not been confirmed by intervention. Steering experiments were blocked by Neuronpedia API errors in the analogical domain and not attempted in the linguistic and factual domains.</w:t>
      </w:r>
    </w:p>
    <w:p w14:paraId="300DFC3B">
      <w:pPr>
        <w:pStyle w:val="16"/>
        <w:numPr>
          <w:ilvl w:val="0"/>
          <w:numId w:val="1"/>
        </w:numPr>
        <w:spacing w:before="40" w:after="40"/>
        <w:ind w:left="720" w:leftChars="0" w:hanging="360" w:firstLineChars="0"/>
        <w:rPr>
          <w:rFonts w:hint="default" w:ascii="Times New Roman" w:hAnsi="Times New Roman" w:cs="Times New Roman"/>
          <w:b w:val="0"/>
          <w:bCs w:val="0"/>
          <w:color w:val="auto"/>
          <w:sz w:val="32"/>
          <w:szCs w:val="32"/>
          <w:lang w:val="en-US"/>
        </w:rPr>
      </w:pPr>
      <w:r>
        <w:rPr>
          <w:rFonts w:hint="default" w:ascii="Times New Roman" w:hAnsi="Times New Roman" w:eastAsia="Times New Roman" w:cs="Times New Roman"/>
          <w:sz w:val="22"/>
          <w:szCs w:val="22"/>
        </w:rPr>
        <w:t>Limited prompt counts. With 10 prompts per domain (9 for factual recall), the 30% threshold admits both genuine circuit components and coincidental co-activations. A larger dataset (50+ prompts per sub-task) would sharpen the analysis.</w:t>
      </w:r>
    </w:p>
    <w:p w14:paraId="04E871C3">
      <w:pPr>
        <w:pStyle w:val="16"/>
        <w:numPr>
          <w:ilvl w:val="0"/>
          <w:numId w:val="1"/>
        </w:numPr>
        <w:spacing w:before="40" w:after="40"/>
        <w:ind w:left="720" w:leftChars="0" w:hanging="360" w:firstLineChars="0"/>
        <w:rPr>
          <w:rFonts w:hint="default" w:ascii="Times New Roman" w:hAnsi="Times New Roman" w:cs="Times New Roman"/>
          <w:b w:val="0"/>
          <w:bCs w:val="0"/>
          <w:color w:val="auto"/>
          <w:sz w:val="32"/>
          <w:szCs w:val="32"/>
          <w:lang w:val="en-US"/>
        </w:rPr>
      </w:pPr>
      <w:r>
        <w:rPr>
          <w:rFonts w:hint="default" w:ascii="Times New Roman" w:hAnsi="Times New Roman" w:eastAsia="Times New Roman" w:cs="Times New Roman"/>
          <w:color w:val="auto"/>
          <w:sz w:val="22"/>
          <w:szCs w:val="22"/>
        </w:rPr>
        <w:t>SAE coverage limitations. The gemmascope-transcoder-16k SAE may not capture all computationally relevant features, particularly those in attention heads. Some circuit components may be invisible to this analysis.</w:t>
      </w:r>
    </w:p>
    <w:p w14:paraId="1F3F2FAE">
      <w:pPr>
        <w:pStyle w:val="16"/>
        <w:numPr>
          <w:ilvl w:val="0"/>
          <w:numId w:val="1"/>
        </w:numPr>
        <w:spacing w:before="40" w:after="40"/>
        <w:ind w:left="720" w:leftChars="0" w:hanging="360" w:firstLineChars="0"/>
        <w:rPr>
          <w:rFonts w:hint="default" w:ascii="Times New Roman" w:hAnsi="Times New Roman" w:cs="Times New Roman"/>
          <w:b w:val="0"/>
          <w:bCs w:val="0"/>
          <w:color w:val="auto"/>
          <w:sz w:val="32"/>
          <w:szCs w:val="32"/>
          <w:lang w:val="en-US"/>
        </w:rPr>
      </w:pPr>
      <w:r>
        <w:rPr>
          <w:rFonts w:hint="default" w:ascii="Times New Roman" w:hAnsi="Times New Roman" w:eastAsia="Times New Roman" w:cs="Times New Roman"/>
          <w:color w:val="auto"/>
          <w:sz w:val="22"/>
          <w:szCs w:val="22"/>
        </w:rPr>
        <w:t>Single model. All findings are specific to Gemma-2-2B. Whether the same circuit architecture applies to other models (GPT-2, LLaMA, Gemma-7B, Gemma-27B) is unknown and is an important direction for future work.</w:t>
      </w:r>
    </w:p>
    <w:p w14:paraId="2D9D5EE8">
      <w:pPr>
        <w:pStyle w:val="16"/>
        <w:numPr>
          <w:ilvl w:val="0"/>
          <w:numId w:val="1"/>
        </w:numPr>
        <w:spacing w:before="40" w:after="40"/>
        <w:ind w:left="720" w:leftChars="0" w:hanging="360" w:firstLineChars="0"/>
        <w:rPr>
          <w:rFonts w:hint="default" w:ascii="Times New Roman" w:hAnsi="Times New Roman" w:cs="Times New Roman"/>
          <w:b w:val="0"/>
          <w:bCs w:val="0"/>
          <w:color w:val="auto"/>
          <w:sz w:val="32"/>
          <w:szCs w:val="32"/>
          <w:lang w:val="en-US"/>
        </w:rPr>
      </w:pPr>
      <w:r>
        <w:rPr>
          <w:rFonts w:hint="default" w:ascii="Times New Roman" w:hAnsi="Times New Roman" w:eastAsia="Times New Roman" w:cs="Times New Roman"/>
          <w:color w:val="auto"/>
          <w:sz w:val="22"/>
          <w:szCs w:val="22"/>
        </w:rPr>
        <w:t xml:space="preserve">Feature label quality. Neuronpedia's automated feature labels may not perfectly capture the computational role of each feature, particularly for polysemantic features that activate on multiple </w:t>
      </w:r>
    </w:p>
    <w:p w14:paraId="294A56D2">
      <w:pPr>
        <w:pStyle w:val="2"/>
        <w:pBdr>
          <w:bottom w:val="single" w:color="2E75B6" w:sz="4" w:space="6"/>
        </w:pBdr>
        <w:spacing w:before="360" w:after="180"/>
        <w:rPr>
          <w:rFonts w:hint="default" w:ascii="Times New Roman" w:hAnsi="Times New Roman" w:cs="Times New Roman"/>
          <w:b w:val="0"/>
          <w:bCs w:val="0"/>
        </w:rPr>
      </w:pPr>
      <w:r>
        <w:rPr>
          <w:rFonts w:hint="default" w:ascii="Times New Roman" w:hAnsi="Times New Roman" w:cs="Times New Roman"/>
          <w:b w:val="0"/>
          <w:bCs w:val="0"/>
          <w:color w:val="1F4E79"/>
          <w:sz w:val="32"/>
          <w:szCs w:val="32"/>
          <w:lang w:val="en-US"/>
        </w:rPr>
        <w:t>6</w:t>
      </w:r>
      <w:r>
        <w:rPr>
          <w:rFonts w:hint="default" w:ascii="Times New Roman" w:hAnsi="Times New Roman" w:eastAsia="Arial" w:cs="Times New Roman"/>
          <w:b w:val="0"/>
          <w:bCs w:val="0"/>
          <w:color w:val="1F4E79"/>
          <w:sz w:val="32"/>
          <w:szCs w:val="32"/>
        </w:rPr>
        <w:t>. Conclusion</w:t>
      </w:r>
    </w:p>
    <w:p w14:paraId="2FA9E3C5">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This paper set out to identify the mechanistic circuits underlying three qualitatively different reasoning tasks in Gemma-2-2B: linguistic morphology and semantic retrieval, factual recall across four knowledge domains, and analogical relational mapping. What we found at the cross-graph level — a 963-feature shared scaffold dominated by formal register-detection features — tells only half the story. The other half is in the individual prompt circuits, where the model's actual knowledge lives in non-recurring, late-layer features that activate for a single prompt and nowhere else.</w:t>
      </w:r>
    </w:p>
    <w:p w14:paraId="15CF0BD9">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The clearest mechanistic picture to emerge is one of two co-existing mechanisms. The first is a structural parsing mechanism, shared across all 30 prompts, that uses a set of early-layer polysemantic features to parse the format, register, and relational frame of the input. This mechanism is what cross-graph co-occurrence analysis reveals; it is real and consistent, but it does not perform reasoning — it prepares the circuit for reasoning. The second is a domain-specific retrieval mechanism, prompt-specific and late-layer, that activates dedicated entity concepts ("court" at L17, four chemistry features at L9, the morphological-history detector at L11) and drives the logit toward a specific token. This mechanism is what per-prompt causal path tracing reveals; it is what actually produces the answer.</w:t>
      </w:r>
    </w:p>
    <w:p w14:paraId="4C9D8382">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The relationship between these two mechanisms explains the confidence patterns across all 30 prompts. When the domain-specific retrieval mechanism converges on a single answer — water/oxygen (p=0.978), Paris/Germany (p=0.973), mouse/mice (p=0.706) — the circuit produces high-confidence, clean causal paths. When it cannot converge — because multiple answers are plausible (leaf/petal), because the specific entity is under-trained (Nigeria/Abuja), because the internet-meme register of the prompt routes through the wrong domain feature (cell powerhouse/nucleus instead of mitochondria) — the circuit defaults to a direct embedding-&gt;logit hop or produces a formatting token instead.</w:t>
      </w:r>
    </w:p>
    <w:p w14:paraId="62E1B390">
      <w:pPr>
        <w:spacing w:after="120"/>
        <w:jc w:val="both"/>
        <w:rPr>
          <w:rFonts w:hint="default" w:ascii="Times New Roman" w:hAnsi="Times New Roman" w:cs="Times New Roman"/>
        </w:rPr>
      </w:pPr>
      <w:r>
        <w:rPr>
          <w:rFonts w:hint="default" w:ascii="Times New Roman" w:hAnsi="Times New Roman" w:eastAsia="Arial" w:cs="Times New Roman"/>
          <w:color w:val="404040"/>
          <w:sz w:val="22"/>
          <w:szCs w:val="22"/>
        </w:rPr>
        <w:t>The AutoCircuit project's next phase will subject these circuits to causal validation through feature steering — ablating and amplifying the identified features to confirm that their removal degrades prediction confidence in the ways the attribution graphs predict. Cross-model analysis across the Gemma-2 family will test whether the structural findings reported here — the register-detection scaffold, the two-stage architecture, the category-specific sub-networks — are properties of this particular model and SAE or of transformer language models at this scale more broadly.</w:t>
      </w:r>
    </w:p>
    <w:p w14:paraId="6C6D02ED">
      <w:pPr>
        <w:spacing w:after="120"/>
        <w:jc w:val="both"/>
        <w:rPr>
          <w:rFonts w:hint="default" w:ascii="Times New Roman" w:hAnsi="Times New Roman" w:cs="Times New Roman"/>
          <w:b w:val="0"/>
          <w:bCs w:val="0"/>
        </w:rPr>
      </w:pPr>
    </w:p>
    <w:p w14:paraId="5D5C6C3F">
      <w:pPr>
        <w:pStyle w:val="2"/>
        <w:pBdr>
          <w:bottom w:val="single" w:color="2E75B6" w:sz="4" w:space="6"/>
        </w:pBdr>
        <w:spacing w:before="360" w:after="180"/>
        <w:rPr>
          <w:rFonts w:hint="default" w:ascii="Times New Roman" w:hAnsi="Times New Roman" w:cs="Times New Roman"/>
          <w:b w:val="0"/>
          <w:bCs w:val="0"/>
        </w:rPr>
      </w:pPr>
      <w:r>
        <w:rPr>
          <w:rFonts w:hint="default" w:ascii="Times New Roman" w:hAnsi="Times New Roman" w:cs="Times New Roman"/>
          <w:b w:val="0"/>
          <w:bCs w:val="0"/>
          <w:color w:val="1F4E79"/>
          <w:sz w:val="32"/>
          <w:szCs w:val="32"/>
          <w:lang w:val="en-US"/>
        </w:rPr>
        <w:t>7</w:t>
      </w:r>
      <w:r>
        <w:rPr>
          <w:rFonts w:hint="default" w:ascii="Times New Roman" w:hAnsi="Times New Roman" w:eastAsia="Arial" w:cs="Times New Roman"/>
          <w:b w:val="0"/>
          <w:bCs w:val="0"/>
          <w:color w:val="1F4E79"/>
          <w:sz w:val="32"/>
          <w:szCs w:val="32"/>
        </w:rPr>
        <w:t>. References</w:t>
      </w:r>
    </w:p>
    <w:p w14:paraId="4FC8143B">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 </w:t>
      </w:r>
      <w:r>
        <w:rPr>
          <w:rFonts w:hint="default" w:ascii="Times New Roman" w:hAnsi="Times New Roman" w:eastAsia="Arial" w:cs="Times New Roman"/>
          <w:b w:val="0"/>
          <w:bCs w:val="0"/>
          <w:color w:val="404040"/>
          <w:sz w:val="20"/>
          <w:szCs w:val="20"/>
        </w:rPr>
        <w:t>Anthropic (2025). Circuit Tracing: Attribution Graphs and Mechanistic Interpretability Methods. Transformer Circuits Thread. https://transformer-circuits.pub/2025/attribution-graphs/methods.html</w:t>
      </w:r>
    </w:p>
    <w:p w14:paraId="26F69BA7">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[2] </w:t>
      </w:r>
      <w:r>
        <w:rPr>
          <w:rFonts w:hint="default" w:ascii="Times New Roman" w:hAnsi="Times New Roman" w:eastAsia="Arial" w:cs="Times New Roman"/>
          <w:b w:val="0"/>
          <w:bCs w:val="0"/>
          <w:color w:val="404040"/>
          <w:sz w:val="20"/>
          <w:szCs w:val="20"/>
        </w:rPr>
        <w:t>Lindsey, J., et al. (2025). On the biology of a large language model. Transformer Circuits Thread. https://transformer-circuits.pub/2025/attribution-graphs/</w:t>
      </w:r>
    </w:p>
    <w:p w14:paraId="340C4AC3">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[3] </w:t>
      </w:r>
      <w:r>
        <w:rPr>
          <w:rFonts w:hint="default" w:ascii="Times New Roman" w:hAnsi="Times New Roman" w:eastAsia="Arial" w:cs="Times New Roman"/>
          <w:b w:val="0"/>
          <w:bCs w:val="0"/>
          <w:color w:val="404040"/>
          <w:sz w:val="20"/>
          <w:szCs w:val="20"/>
        </w:rPr>
        <w:t>Neuronpedia (2025). Gemma-2-2B Attribution Graph API and SAE Feature Explorer. https://neuronpedia.org/gemma-2-2b/graph</w:t>
      </w:r>
    </w:p>
    <w:p w14:paraId="6AA6FBDF">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[4] </w:t>
      </w:r>
      <w:r>
        <w:rPr>
          <w:rFonts w:hint="default" w:ascii="Times New Roman" w:hAnsi="Times New Roman" w:eastAsia="Arial" w:cs="Times New Roman"/>
          <w:b w:val="0"/>
          <w:bCs w:val="0"/>
          <w:color w:val="404040"/>
          <w:sz w:val="20"/>
          <w:szCs w:val="20"/>
        </w:rPr>
        <w:t>Conmy, A., Mavor-Parker, A. N., Lynch, A., Heimersheim, S., and Garriga-Alonso, A. (2023). Towards automated circuit discovery for mechanistic interpretability. Advances in Neural Information Processing Systems, 36 (NeurIPS 2023). arXiv:2304.14997.</w:t>
      </w:r>
    </w:p>
    <w:p w14:paraId="43A7C6B2">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[5] </w:t>
      </w:r>
      <w:r>
        <w:rPr>
          <w:rFonts w:hint="default" w:ascii="Times New Roman" w:hAnsi="Times New Roman" w:eastAsia="Arial" w:cs="Times New Roman"/>
          <w:b w:val="0"/>
          <w:bCs w:val="0"/>
          <w:color w:val="404040"/>
          <w:sz w:val="20"/>
          <w:szCs w:val="20"/>
        </w:rPr>
        <w:t>Syed, A., Rager, C., and Conmy, A. (2023). Attribution patching outperforms automated circuit discovery. arXiv:2310.10348.</w:t>
      </w:r>
    </w:p>
    <w:p w14:paraId="33138048">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[6] </w:t>
      </w:r>
      <w:r>
        <w:rPr>
          <w:rFonts w:hint="default" w:ascii="Times New Roman" w:hAnsi="Times New Roman" w:eastAsia="Arial" w:cs="Times New Roman"/>
          <w:b w:val="0"/>
          <w:bCs w:val="0"/>
          <w:color w:val="404040"/>
          <w:sz w:val="20"/>
          <w:szCs w:val="20"/>
        </w:rPr>
        <w:t>Wang, K. R., Variengien, A., Conmy, A., Shlegeris, B., and Steinhardt, J. (2023). Interpretability in the wild: a circuit for indirect object identification in GPT-2 Small. The Eleventh International Conference on Learning Representations (ICLR 2023).</w:t>
      </w:r>
    </w:p>
    <w:p w14:paraId="58399817">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[7] </w:t>
      </w:r>
      <w:r>
        <w:rPr>
          <w:rFonts w:hint="default" w:ascii="Times New Roman" w:hAnsi="Times New Roman" w:eastAsia="Arial" w:cs="Times New Roman"/>
          <w:b w:val="0"/>
          <w:bCs w:val="0"/>
          <w:color w:val="404040"/>
          <w:sz w:val="20"/>
          <w:szCs w:val="20"/>
        </w:rPr>
        <w:t>Hanna, M., Liu, O., and Variengien, A. (2023). How does GPT-2 compute greater-than? Interpreting mathematical abilities in a pre-trained language model. arXiv:2305.00586.</w:t>
      </w:r>
    </w:p>
    <w:p w14:paraId="605538B6">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[8] </w:t>
      </w:r>
      <w:r>
        <w:rPr>
          <w:rFonts w:hint="default" w:ascii="Times New Roman" w:hAnsi="Times New Roman" w:eastAsia="Arial" w:cs="Times New Roman"/>
          <w:b w:val="0"/>
          <w:bCs w:val="0"/>
          <w:color w:val="404040"/>
          <w:sz w:val="20"/>
          <w:szCs w:val="20"/>
        </w:rPr>
        <w:t>Heimersheim, S. and Janiak, J. (2023). A circuit for Python docstrings in a 4-layer attention-only transformer. Alignment Forum. https://www.alignmentforum.org/posts/u6KXXmKFbXfWzoAXn.</w:t>
      </w:r>
    </w:p>
    <w:p w14:paraId="5EFFBE99">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[9] </w:t>
      </w:r>
      <w:r>
        <w:rPr>
          <w:rFonts w:hint="default" w:ascii="Times New Roman" w:hAnsi="Times New Roman" w:eastAsia="Arial" w:cs="Times New Roman"/>
          <w:b w:val="0"/>
          <w:bCs w:val="0"/>
          <w:color w:val="404040"/>
          <w:sz w:val="20"/>
          <w:szCs w:val="20"/>
        </w:rPr>
        <w:t>McDougall, C., Conmy, A., Rushing, C., McGrath, T., and Nanda, N. (2023). Copy suppression: comprehensively understanding an attention head. arXiv:2310.04625.</w:t>
      </w:r>
    </w:p>
    <w:p w14:paraId="135F2014">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[10] </w:t>
      </w:r>
      <w:r>
        <w:rPr>
          <w:rFonts w:hint="default" w:ascii="Times New Roman" w:hAnsi="Times New Roman" w:eastAsia="Arial" w:cs="Times New Roman"/>
          <w:b w:val="0"/>
          <w:bCs w:val="0"/>
          <w:color w:val="404040"/>
          <w:sz w:val="20"/>
          <w:szCs w:val="20"/>
        </w:rPr>
        <w:t>Elhage, N., Nanda, N., Olsson, C., et al. (2021). A mathematical framework for transformer circuits. Transformer Circuits Thread. https://transformer-circuits.pub/2021/framework/index.html.</w:t>
      </w:r>
    </w:p>
    <w:p w14:paraId="0E21679B">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[11] </w:t>
      </w:r>
      <w:r>
        <w:rPr>
          <w:rFonts w:hint="default" w:ascii="Times New Roman" w:hAnsi="Times New Roman" w:eastAsia="Arial" w:cs="Times New Roman"/>
          <w:b w:val="0"/>
          <w:bCs w:val="0"/>
          <w:color w:val="404040"/>
          <w:sz w:val="20"/>
          <w:szCs w:val="20"/>
        </w:rPr>
        <w:t>Olsson, C., Elhage, N., Nanda, N., et al. (2022). In-context learning and induction heads. Transformer Circuits Thread. https://transformer-circuits.pub/2022/in-context-learning-and-induction-heads/index.html.</w:t>
      </w:r>
    </w:p>
    <w:p w14:paraId="3579DD9C">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[12] </w:t>
      </w:r>
      <w:r>
        <w:rPr>
          <w:rFonts w:hint="default" w:ascii="Times New Roman" w:hAnsi="Times New Roman" w:eastAsia="Arial" w:cs="Times New Roman"/>
          <w:b w:val="0"/>
          <w:bCs w:val="0"/>
          <w:color w:val="404040"/>
          <w:sz w:val="20"/>
          <w:szCs w:val="20"/>
        </w:rPr>
        <w:t>Bricken, T., Templeton, A., Batson, J., et al. (2023). Towards monosemanticity: decomposing language models with dictionary learning. Transformer Circuits Thread. https://transformer-circuits.pub/2023/monosemantic-features/</w:t>
      </w:r>
    </w:p>
    <w:p w14:paraId="0E0058E5">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[13] </w:t>
      </w:r>
      <w:r>
        <w:rPr>
          <w:rFonts w:hint="default" w:ascii="Times New Roman" w:hAnsi="Times New Roman" w:eastAsia="Arial" w:cs="Times New Roman"/>
          <w:b w:val="0"/>
          <w:bCs w:val="0"/>
          <w:color w:val="404040"/>
          <w:sz w:val="20"/>
          <w:szCs w:val="20"/>
        </w:rPr>
        <w:t>Elhage, N., Hume, T., Olsson, C., et al. (2022). Toy models of superposition. Transformer Circuits Thread. https://transformer-circuits.pub/2022/toy_model/</w:t>
      </w:r>
    </w:p>
    <w:p w14:paraId="21F20BEA">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[14] </w:t>
      </w:r>
      <w:r>
        <w:rPr>
          <w:rFonts w:hint="default" w:ascii="Times New Roman" w:hAnsi="Times New Roman" w:eastAsia="Arial" w:cs="Times New Roman"/>
          <w:b w:val="0"/>
          <w:bCs w:val="0"/>
          <w:color w:val="404040"/>
          <w:sz w:val="20"/>
          <w:szCs w:val="20"/>
        </w:rPr>
        <w:t>Bills, S., Cammarata, N., Mossing, D., et al. (2023). Language models can explain neurons in language models. OpenAI. https://openaipublic.blob.core.windows.net/neuron-explainer/paper/index.html.</w:t>
      </w:r>
    </w:p>
    <w:p w14:paraId="37B238AC">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[15] </w:t>
      </w:r>
      <w:r>
        <w:rPr>
          <w:rFonts w:hint="default" w:ascii="Times New Roman" w:hAnsi="Times New Roman" w:eastAsia="Arial" w:cs="Times New Roman"/>
          <w:b w:val="0"/>
          <w:bCs w:val="0"/>
          <w:color w:val="404040"/>
          <w:sz w:val="20"/>
          <w:szCs w:val="20"/>
        </w:rPr>
        <w:t>Goldowsky-Dill, N., MacLeod, C., Sato, L., and Arora, A. (2023). Localizing model behavior with path patching. arXiv:2304.05969.</w:t>
      </w:r>
    </w:p>
    <w:p w14:paraId="32778A15">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[16] </w:t>
      </w:r>
      <w:r>
        <w:rPr>
          <w:rFonts w:hint="default" w:ascii="Times New Roman" w:hAnsi="Times New Roman" w:eastAsia="Arial" w:cs="Times New Roman"/>
          <w:b w:val="0"/>
          <w:bCs w:val="0"/>
          <w:color w:val="404040"/>
          <w:sz w:val="20"/>
          <w:szCs w:val="20"/>
        </w:rPr>
        <w:t>Cao, S., Sanh, V., and Rush, A. (2021). Low-complexity probing via finding subnetworks. Proceedings of NAACL-HLT 2021, pp. 960–966.</w:t>
      </w:r>
    </w:p>
    <w:p w14:paraId="5D3737C1">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[17] </w:t>
      </w:r>
      <w:r>
        <w:rPr>
          <w:rFonts w:hint="default" w:ascii="Times New Roman" w:hAnsi="Times New Roman" w:eastAsia="Arial" w:cs="Times New Roman"/>
          <w:b w:val="0"/>
          <w:bCs w:val="0"/>
          <w:color w:val="404040"/>
          <w:sz w:val="20"/>
          <w:szCs w:val="20"/>
        </w:rPr>
        <w:t>Michel, P., Levy, O., and Neubig, G. (2019). Are sixteen heads really better than one? Advances in Neural Information Processing Systems 32 (NeurIPS 2019), pp. 14014–14024.</w:t>
      </w:r>
    </w:p>
    <w:p w14:paraId="79C3CC5D">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[18] </w:t>
      </w:r>
      <w:r>
        <w:rPr>
          <w:rFonts w:hint="default" w:ascii="Times New Roman" w:hAnsi="Times New Roman" w:eastAsia="Arial" w:cs="Times New Roman"/>
          <w:b w:val="0"/>
          <w:bCs w:val="0"/>
          <w:color w:val="404040"/>
          <w:sz w:val="20"/>
          <w:szCs w:val="20"/>
        </w:rPr>
        <w:t>Nanda, N., Chan, L., Lieberum, T., Smith, J., and Steinhardt, J. (2023). Progress measures for grokking via mechanistic interpretability. The Eleventh International Conference on Learning Representations (ICLR 2023).</w:t>
      </w:r>
    </w:p>
    <w:p w14:paraId="1641F6EF">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[19] </w:t>
      </w:r>
      <w:r>
        <w:rPr>
          <w:rFonts w:hint="default" w:ascii="Times New Roman" w:hAnsi="Times New Roman" w:eastAsia="Arial" w:cs="Times New Roman"/>
          <w:b w:val="0"/>
          <w:bCs w:val="0"/>
          <w:color w:val="404040"/>
          <w:sz w:val="20"/>
          <w:szCs w:val="20"/>
        </w:rPr>
        <w:t>Olah, C. (2022). Mechanistic interpretability, variables, and the importance of interpretable bases. Transformer Circuits Thread. https://www.transformer-circuits.pub/2022/mech-interp-essay.</w:t>
      </w:r>
    </w:p>
    <w:p w14:paraId="274A5DB1">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[20] </w:t>
      </w:r>
      <w:r>
        <w:rPr>
          <w:rFonts w:hint="default" w:ascii="Times New Roman" w:hAnsi="Times New Roman" w:eastAsia="Arial" w:cs="Times New Roman"/>
          <w:b w:val="0"/>
          <w:bCs w:val="0"/>
          <w:color w:val="404040"/>
          <w:sz w:val="20"/>
          <w:szCs w:val="20"/>
        </w:rPr>
        <w:t>Räuker, T., Ho, A., Casper, S., and Hadfield-Menell, D. (2022). Toward transparent AI: a survey on interpreting the inner structures of deep neural networks. arXiv:2207.13243.</w:t>
      </w:r>
    </w:p>
    <w:p w14:paraId="4C3CC02E">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[21] </w:t>
      </w:r>
      <w:r>
        <w:rPr>
          <w:rFonts w:hint="default" w:ascii="Times New Roman" w:hAnsi="Times New Roman" w:eastAsia="Arial" w:cs="Times New Roman"/>
          <w:b w:val="0"/>
          <w:bCs w:val="0"/>
          <w:color w:val="404040"/>
          <w:sz w:val="20"/>
          <w:szCs w:val="20"/>
        </w:rPr>
        <w:t>Meng, K., Bau, D., Andonian, A., and Belinkov, Y. (2022). Locating and editing factual associations in GPT. Advances in Neural Information Processing Systems 35 (NeurIPS 2022).</w:t>
      </w:r>
    </w:p>
    <w:p w14:paraId="2D58D910">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[22] </w:t>
      </w:r>
      <w:r>
        <w:rPr>
          <w:rFonts w:hint="default" w:ascii="Times New Roman" w:hAnsi="Times New Roman" w:eastAsia="Arial" w:cs="Times New Roman"/>
          <w:b w:val="0"/>
          <w:bCs w:val="0"/>
          <w:color w:val="404040"/>
          <w:sz w:val="20"/>
          <w:szCs w:val="20"/>
        </w:rPr>
        <w:t>Wei, J., Tay, Y., Bommasani, R., et al. (2022). Emergent abilities of large language models. arXiv:2206.07682.</w:t>
      </w:r>
    </w:p>
    <w:p w14:paraId="2268BBF1">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[23] </w:t>
      </w:r>
      <w:r>
        <w:rPr>
          <w:rFonts w:hint="default" w:ascii="Times New Roman" w:hAnsi="Times New Roman" w:eastAsia="Arial" w:cs="Times New Roman"/>
          <w:b w:val="0"/>
          <w:bCs w:val="0"/>
          <w:color w:val="404040"/>
          <w:sz w:val="20"/>
          <w:szCs w:val="20"/>
        </w:rPr>
        <w:t>Alishahi, A., Chrupała, G., and Linzen, T. (2019). Analyzing and interpreting neural networks for NLP: a report on the first BlackboxNLP workshop. Natural Language Engineering, 25(4), pp. 543–557.</w:t>
      </w:r>
    </w:p>
    <w:p w14:paraId="6AAC035D">
      <w:pPr>
        <w:spacing w:after="100"/>
        <w:ind w:left="360" w:hanging="360"/>
        <w:rPr>
          <w:rFonts w:hint="default" w:ascii="Times New Roman" w:hAnsi="Times New Roman" w:cs="Times New Roman"/>
          <w:b w:val="0"/>
          <w:bCs w:val="0"/>
        </w:rPr>
      </w:pPr>
      <w:r>
        <w:rPr>
          <w:rFonts w:hint="default" w:ascii="Times New Roman" w:hAnsi="Times New Roman" w:eastAsia="Arial" w:cs="Times New Roman"/>
          <w:b w:val="0"/>
          <w:bCs w:val="0"/>
          <w:color w:val="2E75B6"/>
          <w:sz w:val="20"/>
          <w:szCs w:val="20"/>
        </w:rPr>
        <w:t xml:space="preserve">[24] </w:t>
      </w:r>
      <w:r>
        <w:rPr>
          <w:rFonts w:hint="default" w:ascii="Times New Roman" w:hAnsi="Times New Roman" w:eastAsia="Arial" w:cs="Times New Roman"/>
          <w:b w:val="0"/>
          <w:bCs w:val="0"/>
          <w:color w:val="404040"/>
          <w:sz w:val="20"/>
          <w:szCs w:val="20"/>
        </w:rPr>
        <w:t>Chan, L., Garriga-Alonso, A., Goldowsky-Dill, N., et al. (2022). Causal scrubbing: a method for rigorously testing interpretability hypotheses. Alignment Forum. https://www.alignmentforum.org/posts/JvZhhzycHu2Yd57RN/causal-scrubbing.</w:t>
      </w:r>
    </w:p>
    <w:sectPr>
      <w:headerReference r:id="rId3" w:type="default"/>
      <w:footerReference r:id="rId4" w:type="default"/>
      <w:pgSz w:w="12240" w:h="15840"/>
      <w:pgMar w:top="1200" w:right="1200" w:bottom="1200" w:left="12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font>
  <w:font w:name="Arial Unicode MS">
    <w:panose1 w:val="020B0604020202020204"/>
    <w:charset w:val="86"/>
    <w:family w:val="auto"/>
    <w:pitch w:val="default"/>
    <w:sig w:usb0="FFFFFFFF" w:usb1="E9FFFFFF" w:usb2="0000003F" w:usb3="00000000" w:csb0="603F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6DDDE">
    <w:pPr>
      <w:pBdr>
        <w:top w:val="single" w:color="2E75B6" w:sz="2" w:space="4"/>
      </w:pBd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A3F92">
    <w:pPr>
      <w:pBdr>
        <w:bottom w:val="single" w:color="2E75B6" w:sz="2" w:space="4"/>
      </w:pBdr>
      <w:jc w:val="left"/>
    </w:pPr>
    <w:r>
      <w:rPr>
        <w:rFonts w:ascii="Arial" w:hAnsi="Arial" w:eastAsia="Arial" w:cs="Arial"/>
        <w:color w:val="999999"/>
        <w:sz w:val="18"/>
        <w:szCs w:val="18"/>
      </w:rPr>
      <w:t>AutoCircuit: Mechanistic Interpretability of Reasoning Circuits in Gemma-2-2B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957B06D"/>
    <w:multiLevelType w:val="singleLevel"/>
    <w:tmpl w:val="4957B06D"/>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D8D654B"/>
    <w:rsid w:val="46A030CA"/>
    <w:rsid w:val="471952DA"/>
    <w:rsid w:val="63471256"/>
    <w:rsid w:val="6E677DA3"/>
    <w:rsid w:val="75E14B7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60" w:after="180"/>
      <w:outlineLvl w:val="0"/>
    </w:pPr>
    <w:rPr>
      <w:rFonts w:ascii="Arial" w:hAnsi="Arial" w:eastAsia="Arial" w:cs="Arial"/>
      <w:b/>
      <w:bCs/>
      <w:color w:val="1F4E79"/>
      <w:sz w:val="32"/>
      <w:szCs w:val="32"/>
    </w:rPr>
  </w:style>
  <w:style w:type="paragraph" w:styleId="3">
    <w:name w:val="heading 2"/>
    <w:next w:val="1"/>
    <w:qFormat/>
    <w:uiPriority w:val="0"/>
    <w:pPr>
      <w:spacing w:before="240" w:after="120"/>
      <w:outlineLvl w:val="1"/>
    </w:pPr>
    <w:rPr>
      <w:rFonts w:ascii="Arial" w:hAnsi="Arial" w:eastAsia="Arial" w:cs="Arial"/>
      <w:b/>
      <w:bCs/>
      <w:color w:val="2E75B6"/>
      <w:sz w:val="26"/>
      <w:szCs w:val="26"/>
    </w:rPr>
  </w:style>
  <w:style w:type="paragraph" w:styleId="4">
    <w:name w:val="heading 3"/>
    <w:next w:val="1"/>
    <w:qFormat/>
    <w:uiPriority w:val="0"/>
    <w:pPr>
      <w:spacing w:before="180" w:after="100"/>
      <w:outlineLvl w:val="2"/>
    </w:pPr>
    <w:rPr>
      <w:rFonts w:ascii="Arial" w:hAnsi="Arial" w:eastAsia="Arial" w:cs="Arial"/>
      <w:b/>
      <w:bCs/>
      <w:i/>
      <w:iCs/>
      <w:color w:val="404040"/>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1824</Words>
  <Characters>11118</Characters>
  <TotalTime>4</TotalTime>
  <ScaleCrop>false</ScaleCrop>
  <LinksUpToDate>false</LinksUpToDate>
  <CharactersWithSpaces>12724</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2026-04-06T08:30:00Z</dcterms:created>
  <dc:creator>Un-named</dc:creator>
  <cp:lastModifiedBy>Alagbe Olalekan</cp:lastModifiedBy>
  <dcterms:modified xsi:type="dcterms:W3CDTF">2026-04-06T13:35:43Z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eyJoZGlkIjoiMDU1MjllMTVmNDJhZjU3NTJiNDk0ODllY2I1MDU5Y2YiLCJ1c2VySWQiOiIzNzI4NDI5MDQwNzI3In0=</vt:lpwstr>
  </property>
  <property fmtid="{D5CDD505-2E9C-101B-9397-08002B2CF9AE}" pid="3" name="KSOProductBuildVer">
    <vt:lpwstr>1033-12.1.0.25242</vt:lpwstr>
  </property>
  <property fmtid="{D5CDD505-2E9C-101B-9397-08002B2CF9AE}" pid="4" name="ICV">
    <vt:lpwstr>6CDF3A4E431E4F5A9E7C3F909B53B0D5_12</vt:lpwstr>
  </property>
</Properties>
</file>