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jc w:val="center"/>
      </w:pPr>
      <w:r>
        <w:rPr>
          <w:rFonts w:ascii="Arial" w:cs="Arial" w:eastAsia="Arial" w:hAnsi="Arial"/>
          <w:b/>
          <w:bCs/>
          <w:color w:val="1E3A5F"/>
          <w:sz w:val="52"/>
          <w:szCs w:val="52"/>
        </w:rPr>
        <w:t xml:space="preserve">AutoCircuit:</w:t>
      </w:r>
    </w:p>
    <w:p>
      <w:pPr>
        <w:spacing w:after="0" w:before="0"/>
        <w:jc w:val="center"/>
      </w:pPr>
      <w:r>
        <w:rPr>
          <w:rFonts w:ascii="Arial" w:cs="Arial" w:eastAsia="Arial" w:hAnsi="Arial"/>
          <w:b/>
          <w:bCs/>
          <w:color w:val="1E3A5F"/>
          <w:sz w:val="38"/>
          <w:szCs w:val="38"/>
        </w:rPr>
        <w:t xml:space="preserve">Automated Discovery of Interpretable Reasoning Circuits</w:t>
      </w:r>
    </w:p>
    <w:p>
      <w:pPr>
        <w:spacing w:after="200" w:before="0"/>
        <w:jc w:val="center"/>
      </w:pPr>
      <w:r>
        <w:rPr>
          <w:rFonts w:ascii="Arial" w:cs="Arial" w:eastAsia="Arial" w:hAnsi="Arial"/>
          <w:b/>
          <w:bCs/>
          <w:color w:val="1E3A5F"/>
          <w:sz w:val="38"/>
          <w:szCs w:val="38"/>
        </w:rPr>
        <w:t xml:space="preserve">in Large Language Models</w:t>
      </w:r>
    </w:p>
    <w:p>
      <w:pPr>
        <w:pBdr>
          <w:bottom w:val="single" w:color="DDDDDD" w:sz="4" w:space="1"/>
        </w:pBdr>
        <w:spacing w:after="80" w:before="80"/>
      </w:pPr>
    </w:p>
    <w:p>
      <w:pPr>
        <w:spacing w:after="40" w:before="120"/>
        <w:jc w:val="center"/>
      </w:pPr>
      <w:r>
        <w:rPr>
          <w:rFonts w:ascii="Times New Roman" w:cs="Times New Roman" w:eastAsia="Times New Roman" w:hAnsi="Times New Roman"/>
          <w:b/>
          <w:bCs/>
          <w:sz w:val="22"/>
          <w:szCs w:val="22"/>
        </w:rPr>
        <w:t xml:space="preserve">AutoCircuit Research Team</w:t>
      </w:r>
      <w:r>
        <w:rPr>
          <w:rFonts w:ascii="Times New Roman" w:cs="Times New Roman" w:eastAsia="Times New Roman" w:hAnsi="Times New Roman"/>
          <w:color w:val="555555"/>
          <w:sz w:val="22"/>
          <w:szCs w:val="22"/>
        </w:rPr>
        <w:t xml:space="preserve">   •   </w:t>
      </w:r>
      <w:r>
        <w:rPr>
          <w:rFonts w:ascii="Times New Roman" w:cs="Times New Roman" w:eastAsia="Times New Roman" w:hAnsi="Times New Roman"/>
          <w:sz w:val="22"/>
          <w:szCs w:val="22"/>
        </w:rPr>
        <w:t xml:space="preserve">Mechanistic Interpretability Laboratory</w:t>
      </w:r>
    </w:p>
    <w:p>
      <w:pPr>
        <w:spacing w:after="40" w:before="0"/>
        <w:jc w:val="center"/>
      </w:pPr>
      <w:r>
        <w:rPr>
          <w:rFonts w:ascii="Times New Roman" w:cs="Times New Roman" w:eastAsia="Times New Roman" w:hAnsi="Times New Roman"/>
          <w:i/>
          <w:iCs/>
          <w:color w:val="555555"/>
          <w:sz w:val="20"/>
          <w:szCs w:val="20"/>
        </w:rPr>
        <w:t xml:space="preserve">Corresponding authors: autocircuit@research.ai</w:t>
      </w:r>
    </w:p>
    <w:p>
      <w:pPr>
        <w:spacing w:after="200" w:before="0"/>
        <w:jc w:val="center"/>
      </w:pPr>
      <w:r>
        <w:rPr>
          <w:rFonts w:ascii="Times New Roman" w:cs="Times New Roman" w:eastAsia="Times New Roman" w:hAnsi="Times New Roman"/>
          <w:color w:val="555555"/>
          <w:sz w:val="20"/>
          <w:szCs w:val="20"/>
        </w:rPr>
        <w:t xml:space="preserve">March 2026   •   </w:t>
      </w:r>
      <w:r>
        <w:rPr>
          <w:rFonts w:ascii="Times New Roman" w:cs="Times New Roman" w:eastAsia="Times New Roman" w:hAnsi="Times New Roman"/>
          <w:i/>
          <w:iCs/>
          <w:color w:val="555555"/>
          <w:sz w:val="20"/>
          <w:szCs w:val="20"/>
        </w:rPr>
        <w:t xml:space="preserve">arXiv preprint</w:t>
      </w:r>
    </w:p>
    <w:p>
      <w:pPr>
        <w:pBdr>
          <w:bottom w:val="single" w:color="DDDDDD" w:sz="4" w:space="1"/>
        </w:pBdr>
        <w:spacing w:after="80" w:before="80"/>
      </w:pPr>
    </w:p>
    <w:p>
      <w:pPr>
        <w:spacing w:after="160" w:before="0"/>
      </w:pPr>
      <w:r>
        <w:rPr>
          <w:rFonts w:ascii="Times New Roman" w:cs="Times New Roman" w:eastAsia="Times New Roman" w:hAnsi="Times New Roman"/>
          <w:sz w:val="22"/>
          <w:szCs w:val="22"/>
        </w:rPr>
        <w:t xml:space="preserv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1E3A5F" w:sz="8"/>
              <w:left w:val="single" w:color="1E3A5F" w:sz="4"/>
              <w:bottom w:val="single" w:color="1E3A5F" w:sz="8"/>
              <w:right w:val="single" w:color="1E3A5F" w:sz="4"/>
            </w:tcBorders>
            <w:shd w:fill="EEF3FA" w:val="clear"/>
            <w:tcMar>
              <w:top w:type="dxa" w:w="120"/>
              <w:left w:type="dxa" w:w="180"/>
              <w:bottom w:type="dxa" w:w="120"/>
              <w:right w:type="dxa" w:w="180"/>
            </w:tcMar>
          </w:tcPr>
          <w:p>
            <w:pPr>
              <w:spacing w:after="80" w:before="0"/>
            </w:pPr>
            <w:r>
              <w:rPr>
                <w:rFonts w:ascii="Times New Roman" w:cs="Times New Roman" w:eastAsia="Times New Roman" w:hAnsi="Times New Roman"/>
                <w:b/>
                <w:bCs/>
                <w:color w:val="1E3A5F"/>
                <w:sz w:val="22"/>
                <w:szCs w:val="22"/>
              </w:rPr>
              <w:t xml:space="preserve">Abstract</w:t>
            </w:r>
          </w:p>
          <w:p>
            <w:pPr>
              <w:jc w:val="both"/>
            </w:pPr>
            <w:r>
              <w:rPr>
                <w:rFonts w:ascii="Times New Roman" w:cs="Times New Roman" w:eastAsia="Times New Roman" w:hAnsi="Times New Roman"/>
                <w:sz w:val="20"/>
                <w:szCs w:val="20"/>
              </w:rPr>
              <w:t xml:space="preserve">We present AutoCircuit, a system for automated discovery and mechanistic characterisation of reasoning circuits in large language models using attribution graphs generated via Neuronpedia’s circuit-tracer infrastructure. We apply the pipeline to Gemma-2-2B across three distinct reasoning domains — analogical reasoning, factual recall, and linguistic reasoning — generating 89 attribution graphs in total and performing cross-graph feature co-occurrence analysis at a 30% recurrence threshold. Our key findings are: (1) all three circuits share a conserved early-layer definitional-template detection mechanism dominated by formal-register features (Layer 6, Feature 2586668 appearing universally across all three domains); (2) each circuit has a distinct mid-layer specialisation stage implementing its domain-specific computation; (3) a three-stage circuit architecture — template detection, relational mapping, and answer selection — is consistent across all three task types; (4) token prediction confidence correlates strongly with the uniqueness of the target answer, ranging from 97.3% for capital-city analogies to 7.5% for open-ended cause-effect analogies; and (5) the dominant shared computational machinery encodes surface-form patterns of reference text rather than semantic world knowledge, suggesting that Gemma-2-2B implements diverse reasoning tasks partly via a shared encyclopedic-text pattern-matching circuit. Steering validation was attempted for all circuits but was blocked by API availability constraints. Code and circuit data are available at https://github.com/autocircuit/autocircuit.</w:t>
            </w:r>
          </w:p>
        </w:tc>
      </w:tr>
    </w:tbl>
    <w:p>
      <w:pPr>
        <w:spacing w:after="240" w:before="0"/>
      </w:pPr>
      <w:r>
        <w:rPr>
          <w:rFonts w:ascii="Times New Roman" w:cs="Times New Roman" w:eastAsia="Times New Roman" w:hAnsi="Times New Roman"/>
          <w:sz w:val="22"/>
          <w:szCs w:val="22"/>
        </w:rPr>
        <w:t xml:space="preserve"> </w:t>
      </w:r>
    </w:p>
    <w:p>
      <w:pPr>
        <w:spacing w:after="160" w:before="0"/>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i/>
          <w:iCs/>
          <w:sz w:val="20"/>
          <w:szCs w:val="20"/>
        </w:rPr>
        <w:t xml:space="preserve">mechanistic interpretability, circuit discovery, sparse autoencoders, attribution graphs, transformer models, Gemma-2-2B, Neuronpedia, analogical reasoning, factual recall, linguistic reasoning</w:t>
      </w:r>
    </w:p>
    <w:p>
      <w:pPr>
        <w:pBdr>
          <w:bottom w:val="single" w:color="DDDDDD" w:sz="4" w:space="1"/>
        </w:pBdr>
        <w:spacing w:after="80" w:before="80"/>
      </w:pPr>
    </w:p>
    <w:p>
      <w:pPr>
        <w:spacing w:after="160" w:before="0"/>
      </w:pPr>
      <w:r>
        <w:rPr>
          <w:rFonts w:ascii="Times New Roman" w:cs="Times New Roman" w:eastAsia="Times New Roman" w:hAnsi="Times New Roman"/>
          <w:sz w:val="22"/>
          <w:szCs w:val="22"/>
        </w:rPr>
        <w:t xml:space="preserve"> </w:t>
      </w:r>
    </w:p>
    <w:p>
      <w:pPr>
        <w:pStyle w:val="Heading1"/>
      </w:pPr>
      <w:r>
        <w:rPr>
          <w:rFonts w:ascii="Arial" w:cs="Arial" w:eastAsia="Arial" w:hAnsi="Arial"/>
          <w:b/>
          <w:bCs/>
          <w:color w:val="1E3A5F"/>
          <w:sz w:val="30"/>
          <w:szCs w:val="30"/>
        </w:rPr>
        <w:t xml:space="preserve">1  Introduction</w:t>
      </w:r>
    </w:p>
    <w:p>
      <w:pPr>
        <w:spacing w:after="120" w:before="0"/>
        <w:jc w:val="both"/>
      </w:pPr>
      <w:r>
        <w:rPr>
          <w:rFonts w:ascii="Times New Roman" w:cs="Times New Roman" w:eastAsia="Times New Roman" w:hAnsi="Times New Roman"/>
          <w:sz w:val="22"/>
          <w:szCs w:val="22"/>
        </w:rPr>
        <w:t xml:space="preserve">The internal computational mechanisms of large language models (LLMs) remain poorly understood despite their widespread deployment. Mechanistic interpretability research aims to reverse-engineer these mechanisms by identifying specific computational circuits — subgraphs of the model that implement particular behaviors — and understanding their functional roles. Pioneering work by Conmy et al. (2023) and the Anthropic circuits team (Elhage et al., 2021; Bricken et al., 2023) has demonstrated that transformer models implement recognisable algorithms in identifiable circuit structures. However, these analyses have largely been limited to single, hand-selected behaviors in small models, and the manual nature of the analysis makes scaling to diverse behaviors or larger models impractical.</w:t>
      </w:r>
    </w:p>
    <w:p>
      <w:pPr>
        <w:spacing w:after="120" w:before="0"/>
        <w:jc w:val="both"/>
      </w:pPr>
      <w:r>
        <w:rPr>
          <w:rFonts w:ascii="Times New Roman" w:cs="Times New Roman" w:eastAsia="Times New Roman" w:hAnsi="Times New Roman"/>
          <w:sz w:val="22"/>
          <w:szCs w:val="22"/>
        </w:rPr>
        <w:t xml:space="preserve">The AutoCircuit project addresses this scalability challenge by automating the circuit discovery pipeline. We leverage Neuronpedia’s circuit-tracer infrastructure, which implements Anthropic’s attribution graph methodology (Lindsey et al., 2025), to systematically generate and analyse attribution graphs across diverse prompt categories. Attribution graphs decompose a model’s next-token prediction into a causal graph of sparse autoencoder (SAE) transcoder features, enabling the identification of which features participate in a behavior and how they causally interact.</w:t>
      </w:r>
    </w:p>
    <w:p>
      <w:pPr>
        <w:spacing w:after="120" w:before="0"/>
        <w:jc w:val="both"/>
      </w:pPr>
      <w:r>
        <w:rPr>
          <w:rFonts w:ascii="Times New Roman" w:cs="Times New Roman" w:eastAsia="Times New Roman" w:hAnsi="Times New Roman"/>
          <w:sz w:val="22"/>
          <w:szCs w:val="22"/>
        </w:rPr>
        <w:t xml:space="preserve">In this paper, we apply the AutoCircuit pipeline to Gemma-2-2B across three reasoning domains: analogical reasoning (A:B::C:? format), factual recall (encyclopedic question completion), and linguistic reasoning (morphology, antonyms, synonyms). We generate 89 attribution graphs in total, identify recurring features across each domain’s graph collection, and compare the circuits across domains to identify shared and domain-specific computational structure.</w:t>
      </w:r>
    </w:p>
    <w:p>
      <w:pPr>
        <w:spacing w:after="80" w:before="200"/>
      </w:pPr>
      <w:r>
        <w:rPr>
          <w:rFonts w:ascii="Times New Roman" w:cs="Times New Roman" w:eastAsia="Times New Roman" w:hAnsi="Times New Roman"/>
          <w:b/>
          <w:bCs/>
          <w:color w:val="2E6DA4"/>
          <w:sz w:val="23"/>
          <w:szCs w:val="23"/>
        </w:rPr>
        <w:t xml:space="preserve">1.1  Main Contributions</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We present the first systematic cross-domain mechanistic analysis of reasoning circuits in Gemma-2-2B, covering analogical, factual, and linguistic reasoning in a unified pipeline.</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We identify a conserved early-layer definitional-template circuit shared across all three reasoning domains, dominated by formal-register and code/documentation features.</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We characterise domain-specific circuit specialisations: a relational-frame module for analogical reasoning, a register-to-entity-lookup bridge for factual recall, and a metalinguistic operator for linguistic reasoning.</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We document systematic failure modes in each domain and establish token confidence as a proxy for circuit convergence quality.</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We release the AutoCircuit pipeline, circuit data, and 89 attribution graphs for community use and further analysis.</w:t>
      </w:r>
    </w:p>
    <w:p>
      <w:pPr>
        <w:spacing w:after="120" w:before="0"/>
      </w:pPr>
      <w:r>
        <w:rPr>
          <w:rFonts w:ascii="Times New Roman" w:cs="Times New Roman" w:eastAsia="Times New Roman" w:hAnsi="Times New Roman"/>
          <w:sz w:val="22"/>
          <w:szCs w:val="22"/>
        </w:rPr>
        <w:t xml:space="preserve"> </w:t>
      </w:r>
    </w:p>
    <w:p>
      <w:pPr>
        <w:spacing w:after="80" w:before="200"/>
      </w:pPr>
      <w:r>
        <w:rPr>
          <w:rFonts w:ascii="Times New Roman" w:cs="Times New Roman" w:eastAsia="Times New Roman" w:hAnsi="Times New Roman"/>
          <w:b/>
          <w:bCs/>
          <w:color w:val="2E6DA4"/>
          <w:sz w:val="23"/>
          <w:szCs w:val="23"/>
        </w:rPr>
        <w:t xml:space="preserve">1.2  Relationship to Prior Work</w:t>
      </w:r>
    </w:p>
    <w:p>
      <w:pPr>
        <w:spacing w:after="120" w:before="0"/>
        <w:jc w:val="both"/>
      </w:pPr>
      <w:r>
        <w:rPr>
          <w:rFonts w:ascii="Times New Roman" w:cs="Times New Roman" w:eastAsia="Times New Roman" w:hAnsi="Times New Roman"/>
          <w:sz w:val="22"/>
          <w:szCs w:val="22"/>
        </w:rPr>
        <w:t xml:space="preserve">This work builds directly on the mechanistic interpretability workflow formalised by Conmy et al. (2023) and the cross-layer transcoder methodology of Lindsey et al. (2025). Unlike prior work that analyses single behaviors with manual circuit extraction, we automate the analysis across 89 prompts and three domains using an LLM-driven pipeline. Our use of SAE transcoder features as the unit of analysis follows Bricken et al. (2023) and Templeton et al. (2024), who demonstrated that SAE features provide more interpretable circuit components than raw neurons or attention heads.</w:t>
      </w:r>
    </w:p>
    <w:p>
      <w:pPr>
        <w:spacing w:after="120" w:before="0"/>
      </w:pPr>
      <w:r>
        <w:rPr>
          <w:rFonts w:ascii="Times New Roman" w:cs="Times New Roman" w:eastAsia="Times New Roman" w:hAnsi="Times New Roman"/>
          <w:sz w:val="22"/>
          <w:szCs w:val="22"/>
        </w:rPr>
        <w:t xml:space="preserve"> </w:t>
      </w:r>
    </w:p>
    <w:p>
      <w:pPr>
        <w:pStyle w:val="Heading1"/>
      </w:pPr>
      <w:r>
        <w:rPr>
          <w:rFonts w:ascii="Arial" w:cs="Arial" w:eastAsia="Arial" w:hAnsi="Arial"/>
          <w:b/>
          <w:bCs/>
          <w:color w:val="1E3A5F"/>
          <w:sz w:val="30"/>
          <w:szCs w:val="30"/>
        </w:rPr>
        <w:t xml:space="preserve">2  Background</w:t>
      </w:r>
    </w:p>
    <w:p>
      <w:pPr>
        <w:spacing w:after="80" w:before="200"/>
      </w:pPr>
      <w:r>
        <w:rPr>
          <w:rFonts w:ascii="Times New Roman" w:cs="Times New Roman" w:eastAsia="Times New Roman" w:hAnsi="Times New Roman"/>
          <w:b/>
          <w:bCs/>
          <w:color w:val="2E6DA4"/>
          <w:sz w:val="23"/>
          <w:szCs w:val="23"/>
        </w:rPr>
        <w:t xml:space="preserve">2.1  Attribution Graphs and Circuit Tracing</w:t>
      </w:r>
    </w:p>
    <w:p>
      <w:pPr>
        <w:spacing w:after="120" w:before="0"/>
        <w:jc w:val="both"/>
      </w:pPr>
      <w:r>
        <w:rPr>
          <w:rFonts w:ascii="Times New Roman" w:cs="Times New Roman" w:eastAsia="Times New Roman" w:hAnsi="Times New Roman"/>
          <w:sz w:val="22"/>
          <w:szCs w:val="22"/>
        </w:rPr>
        <w:t xml:space="preserve">An attribution graph is a directed acyclic graph where nodes correspond to SAE transcoder features at each transformer layer, and edges represent causal influence relationships quantified by activation patching. Specifically, for a given prompt, the Neuronpedia circuit-tracer runs the forward pass, identifies which SAE features activate, and computes the indirect influence of each feature on the final next-token prediction. The resulting graph captures the causal structure of the model’s computation for that prompt at the feature level.</w:t>
      </w:r>
    </w:p>
    <w:p>
      <w:pPr>
        <w:spacing w:after="120" w:before="0"/>
        <w:jc w:val="both"/>
      </w:pPr>
      <w:r>
        <w:rPr>
          <w:rFonts w:ascii="Times New Roman" w:cs="Times New Roman" w:eastAsia="Times New Roman" w:hAnsi="Times New Roman"/>
          <w:sz w:val="22"/>
          <w:szCs w:val="22"/>
        </w:rPr>
        <w:t xml:space="preserve">The gemmascope-transcoder-16k SAE family used in this work decomposes each transformer layer’s residual stream into approximately 16,000 features. Unlike previous SAE analyses that operate on MLP outputs or attention outputs in isolation, cross-layer transcoders jointly model all residual stream contributions, providing a more complete picture of inter-layer information flow.</w:t>
      </w:r>
    </w:p>
    <w:p>
      <w:pPr>
        <w:spacing w:after="80" w:before="200"/>
      </w:pPr>
      <w:r>
        <w:rPr>
          <w:rFonts w:ascii="Times New Roman" w:cs="Times New Roman" w:eastAsia="Times New Roman" w:hAnsi="Times New Roman"/>
          <w:b/>
          <w:bCs/>
          <w:color w:val="2E6DA4"/>
          <w:sz w:val="23"/>
          <w:szCs w:val="23"/>
        </w:rPr>
        <w:t xml:space="preserve">2.2  Cross-Graph Feature Analysis</w:t>
      </w:r>
    </w:p>
    <w:p>
      <w:pPr>
        <w:spacing w:after="120" w:before="0"/>
        <w:jc w:val="both"/>
      </w:pPr>
      <w:r>
        <w:rPr>
          <w:rFonts w:ascii="Times New Roman" w:cs="Times New Roman" w:eastAsia="Times New Roman" w:hAnsi="Times New Roman"/>
          <w:sz w:val="22"/>
          <w:szCs w:val="22"/>
        </w:rPr>
        <w:t xml:space="preserve">While attribution graphs capture the complete causal structure for a single prompt, identifying stable circuits requires finding features that recur across many prompts. Our cross-graph analysis pipeline (compare_graphs) applies a minimum-appearance threshold of 30% across each prompt collection, retaining only features that appear in at least 30% of graphs. This threshold distinguishes prompt-specific activations (noise) from circuit-level recurring patterns (signal). Recurring features are ranked by (appearances, avg_influence) to identify the most causally central circuit components.</w:t>
      </w:r>
    </w:p>
    <w:p>
      <w:pPr>
        <w:spacing w:after="120" w:before="0"/>
      </w:pPr>
      <w:r>
        <w:rPr>
          <w:rFonts w:ascii="Times New Roman" w:cs="Times New Roman" w:eastAsia="Times New Roman" w:hAnsi="Times New Roman"/>
          <w:sz w:val="22"/>
          <w:szCs w:val="22"/>
        </w:rPr>
        <w:t xml:space="preserve"> </w:t>
      </w:r>
    </w:p>
    <w:p>
      <w:pPr>
        <w:pStyle w:val="Heading1"/>
      </w:pPr>
      <w:r>
        <w:rPr>
          <w:rFonts w:ascii="Arial" w:cs="Arial" w:eastAsia="Arial" w:hAnsi="Arial"/>
          <w:b/>
          <w:bCs/>
          <w:color w:val="1E3A5F"/>
          <w:sz w:val="30"/>
          <w:szCs w:val="30"/>
        </w:rPr>
        <w:t xml:space="preserve">3  Methods</w:t>
      </w:r>
    </w:p>
    <w:p>
      <w:pPr>
        <w:spacing w:after="80" w:before="200"/>
      </w:pPr>
      <w:r>
        <w:rPr>
          <w:rFonts w:ascii="Times New Roman" w:cs="Times New Roman" w:eastAsia="Times New Roman" w:hAnsi="Times New Roman"/>
          <w:b/>
          <w:bCs/>
          <w:color w:val="2E6DA4"/>
          <w:sz w:val="23"/>
          <w:szCs w:val="23"/>
        </w:rPr>
        <w:t xml:space="preserve">3.1  Model and SAE</w:t>
      </w:r>
    </w:p>
    <w:p>
      <w:pPr>
        <w:spacing w:after="120" w:before="0"/>
        <w:jc w:val="both"/>
      </w:pPr>
      <w:r>
        <w:rPr>
          <w:rFonts w:ascii="Times New Roman" w:cs="Times New Roman" w:eastAsia="Times New Roman" w:hAnsi="Times New Roman"/>
          <w:sz w:val="22"/>
          <w:szCs w:val="22"/>
        </w:rPr>
        <w:t xml:space="preserve">All experiments use Gemma-2-2B, a 2-billion-parameter transformer with 26 layers, accessed via Neuronpedia’s hosted inference API. The sparse autoencoder used throughout is gemmascope-transcoder-16k, a family of cross-layer transcoders with approximately 16,000 features per layer. Each transcoder feature is associated with a Neuronpedia label generated by automated interpretation of feature activation patterns.</w:t>
      </w:r>
    </w:p>
    <w:p>
      <w:pPr>
        <w:spacing w:after="80" w:before="200"/>
      </w:pPr>
      <w:r>
        <w:rPr>
          <w:rFonts w:ascii="Times New Roman" w:cs="Times New Roman" w:eastAsia="Times New Roman" w:hAnsi="Times New Roman"/>
          <w:b/>
          <w:bCs/>
          <w:color w:val="2E6DA4"/>
          <w:sz w:val="23"/>
          <w:szCs w:val="23"/>
        </w:rPr>
        <w:t xml:space="preserve">3.2  Graph Generation Protocol</w:t>
      </w:r>
    </w:p>
    <w:p>
      <w:pPr>
        <w:spacing w:after="120" w:before="0"/>
        <w:jc w:val="both"/>
      </w:pPr>
      <w:r>
        <w:rPr>
          <w:rFonts w:ascii="Times New Roman" w:cs="Times New Roman" w:eastAsia="Times New Roman" w:hAnsi="Times New Roman"/>
          <w:sz w:val="22"/>
          <w:szCs w:val="22"/>
        </w:rPr>
        <w:t xml:space="preserve">Attribution graphs were generated via Neuronpedia’s /api/graph/generate endpoint with the following parameters: maxFeatureNodes=3,000; desiredLogitProb=0.95; nodeThreshold=0.8; edgeThreshold=0.85. These parameters produce graphs that capture the features responsible for 95% of the predicted logit probability, filtered to include only nodes and edges above the specified activation and influence thresholds. The resulting graphs average approximately 1,040 nodes and 34,000 edges per prompt.</w:t>
      </w:r>
    </w:p>
    <w:p>
      <w:pPr>
        <w:spacing w:after="80" w:before="200"/>
      </w:pPr>
      <w:r>
        <w:rPr>
          <w:rFonts w:ascii="Times New Roman" w:cs="Times New Roman" w:eastAsia="Times New Roman" w:hAnsi="Times New Roman"/>
          <w:b/>
          <w:bCs/>
          <w:color w:val="2E6DA4"/>
          <w:sz w:val="23"/>
          <w:szCs w:val="23"/>
        </w:rPr>
        <w:t xml:space="preserve">3.3  Prompt Datasets</w:t>
      </w:r>
    </w:p>
    <w:p>
      <w:pPr>
        <w:spacing w:after="120" w:before="0"/>
        <w:jc w:val="both"/>
      </w:pPr>
      <w:r>
        <w:rPr>
          <w:rFonts w:ascii="Times New Roman" w:cs="Times New Roman" w:eastAsia="Times New Roman" w:hAnsi="Times New Roman"/>
          <w:sz w:val="22"/>
          <w:szCs w:val="22"/>
        </w:rPr>
        <w:t xml:space="preserve">Prompts were drawn from the AutoCircuit prompt dataset across three categories. Table 1 summarises the dataset composition. All prompts are sentence-completion format, ending mid-sentence so that the next token is the answer of interest. API rate limiting (30 graph-generate requests per 60 minutes) prevented complete dataset coverage; the table reports successfully generated graphs.</w:t>
      </w:r>
    </w:p>
    <w:p>
      <w:pPr>
        <w:spacing w:after="120" w:before="0"/>
      </w:pPr>
      <w:r>
        <w:rPr>
          <w:rFonts w:ascii="Times New Roman" w:cs="Times New Roman" w:eastAsia="Times New Roman" w:hAnsi="Times New Roman"/>
          <w:sz w:val="22"/>
          <w:szCs w:val="22"/>
        </w:rPr>
        <w:t xml:space="preserve"> </w:t>
      </w:r>
    </w:p>
    <w:p>
      <w:pPr>
        <w:spacing w:after="160" w:before="40"/>
        <w:jc w:val="center"/>
      </w:pPr>
      <w:r>
        <w:rPr>
          <w:rFonts w:ascii="Times New Roman" w:cs="Times New Roman" w:eastAsia="Times New Roman" w:hAnsi="Times New Roman"/>
          <w:i/>
          <w:iCs/>
          <w:color w:val="555555"/>
          <w:sz w:val="20"/>
          <w:szCs w:val="20"/>
        </w:rPr>
        <w:t xml:space="preserve">Table 1: Dataset summary showing the number of prompts generated per domain and sub-domain.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100"/>
        <w:gridCol w:w="1200"/>
        <w:gridCol w:w="1500"/>
      </w:tblGrid>
      <w:tr>
        <w:trPr>
          <w:tblHeader/>
        </w:trPr>
        <w:tc>
          <w:tcPr>
            <w:tcW w:type="dxa" w:w="2200"/>
            <w:tcBorders>
              <w:top w:val="single" w:color="DDDDDD" w:sz="4"/>
              <w:left w:val="single" w:color="DDDDDD" w:sz="4"/>
              <w:bottom w:val="single" w:color="DDDDDD" w:sz="4"/>
              <w:right w:val="single" w:color="DDDDDD" w:sz="4"/>
            </w:tcBorders>
            <w:shd w:fill="1E3A5F"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Domain</w:t>
            </w:r>
          </w:p>
        </w:tc>
        <w:tc>
          <w:tcPr>
            <w:tcW w:type="dxa" w:w="3200"/>
            <w:tcBorders>
              <w:top w:val="single" w:color="DDDDDD" w:sz="4"/>
              <w:left w:val="single" w:color="DDDDDD" w:sz="4"/>
              <w:bottom w:val="single" w:color="DDDDDD" w:sz="4"/>
              <w:right w:val="single" w:color="DDDDDD" w:sz="4"/>
            </w:tcBorders>
            <w:shd w:fill="1E3A5F"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Sub-domains</w:t>
            </w:r>
          </w:p>
        </w:tc>
        <w:tc>
          <w:tcPr>
            <w:tcW w:type="dxa" w:w="1100"/>
            <w:tcBorders>
              <w:top w:val="single" w:color="DDDDDD" w:sz="4"/>
              <w:left w:val="single" w:color="DDDDDD" w:sz="4"/>
              <w:bottom w:val="single" w:color="DDDDDD" w:sz="4"/>
              <w:right w:val="single" w:color="DDDDDD" w:sz="4"/>
            </w:tcBorders>
            <w:shd w:fill="1E3A5F"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Target Prompts</w:t>
            </w:r>
          </w:p>
        </w:tc>
        <w:tc>
          <w:tcPr>
            <w:tcW w:type="dxa" w:w="1200"/>
            <w:tcBorders>
              <w:top w:val="single" w:color="DDDDDD" w:sz="4"/>
              <w:left w:val="single" w:color="DDDDDD" w:sz="4"/>
              <w:bottom w:val="single" w:color="DDDDDD" w:sz="4"/>
              <w:right w:val="single" w:color="DDDDDD" w:sz="4"/>
            </w:tcBorders>
            <w:shd w:fill="1E3A5F"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Graphs Generated</w:t>
            </w:r>
          </w:p>
        </w:tc>
        <w:tc>
          <w:tcPr>
            <w:tcW w:type="dxa" w:w="1500"/>
            <w:tcBorders>
              <w:top w:val="single" w:color="DDDDDD" w:sz="4"/>
              <w:left w:val="single" w:color="DDDDDD" w:sz="4"/>
              <w:bottom w:val="single" w:color="DDDDDD" w:sz="4"/>
              <w:right w:val="single" w:color="DDDDDD" w:sz="4"/>
            </w:tcBorders>
            <w:shd w:fill="1E3A5F"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Recurring Features (30%)</w:t>
            </w:r>
          </w:p>
        </w:tc>
      </w:tr>
      <w:tr>
        <w:tc>
          <w:tcPr>
            <w:tcW w:type="dxa" w:w="22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Analogical Reasoning</w:t>
            </w:r>
          </w:p>
        </w:tc>
        <w:tc>
          <w:tcPr>
            <w:tcW w:type="dxa" w:w="32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Capital cities, animal, tool-function, part-whole, job-workplace, material-object, sequence/time, cause-effect, scale/unit</w:t>
            </w:r>
          </w:p>
        </w:tc>
        <w:tc>
          <w:tcPr>
            <w:tcW w:type="dxa" w:w="11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41</w:t>
            </w:r>
          </w:p>
        </w:tc>
        <w:tc>
          <w:tcPr>
            <w:tcW w:type="dxa" w:w="12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34</w:t>
            </w:r>
          </w:p>
        </w:tc>
        <w:tc>
          <w:tcPr>
            <w:tcW w:type="dxa" w:w="15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505</w:t>
            </w:r>
          </w:p>
        </w:tc>
      </w:tr>
      <w:tr>
        <w:tc>
          <w:tcPr>
            <w:tcW w:type="dxa" w:w="22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Factual Recall</w:t>
            </w:r>
          </w:p>
        </w:tc>
        <w:tc>
          <w:tcPr>
            <w:tcW w:type="dxa" w:w="32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Geography, authorship, biology, history, sport, technology, art/culture</w:t>
            </w:r>
          </w:p>
        </w:tc>
        <w:tc>
          <w:tcPr>
            <w:tcW w:type="dxa" w:w="11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37</w:t>
            </w:r>
          </w:p>
        </w:tc>
        <w:tc>
          <w:tcPr>
            <w:tcW w:type="dxa" w:w="12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24</w:t>
            </w:r>
          </w:p>
        </w:tc>
        <w:tc>
          <w:tcPr>
            <w:tcW w:type="dxa" w:w="15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261</w:t>
            </w:r>
          </w:p>
        </w:tc>
      </w:tr>
      <w:tr>
        <w:tc>
          <w:tcPr>
            <w:tcW w:type="dxa" w:w="22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Linguistic Reasoning</w:t>
            </w:r>
          </w:p>
        </w:tc>
        <w:tc>
          <w:tcPr>
            <w:tcW w:type="dxa" w:w="32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Antonyms, synonyms, irregular plurals, irregular past tenses, derivational morphology, lexical definitions</w:t>
            </w:r>
          </w:p>
        </w:tc>
        <w:tc>
          <w:tcPr>
            <w:tcW w:type="dxa" w:w="11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33</w:t>
            </w:r>
          </w:p>
        </w:tc>
        <w:tc>
          <w:tcPr>
            <w:tcW w:type="dxa" w:w="12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31</w:t>
            </w:r>
          </w:p>
        </w:tc>
        <w:tc>
          <w:tcPr>
            <w:tcW w:type="dxa" w:w="15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527</w:t>
            </w:r>
          </w:p>
        </w:tc>
      </w:tr>
      <w:tr>
        <w:tc>
          <w:tcPr>
            <w:tcW w:type="dxa" w:w="22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Total</w:t>
            </w:r>
          </w:p>
        </w:tc>
        <w:tc>
          <w:tcPr>
            <w:tcW w:type="dxa" w:w="32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w:t>
            </w:r>
          </w:p>
        </w:tc>
        <w:tc>
          <w:tcPr>
            <w:tcW w:type="dxa" w:w="11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111</w:t>
            </w:r>
          </w:p>
        </w:tc>
        <w:tc>
          <w:tcPr>
            <w:tcW w:type="dxa" w:w="12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89</w:t>
            </w:r>
          </w:p>
        </w:tc>
        <w:tc>
          <w:tcPr>
            <w:tcW w:type="dxa" w:w="15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1,293 (union)</w:t>
            </w:r>
          </w:p>
        </w:tc>
      </w:tr>
    </w:tbl>
    <w:p>
      <w:pPr>
        <w:spacing w:after="240" w:before="0"/>
      </w:pPr>
      <w:r>
        <w:rPr>
          <w:rFonts w:ascii="Times New Roman" w:cs="Times New Roman" w:eastAsia="Times New Roman" w:hAnsi="Times New Roman"/>
          <w:sz w:val="22"/>
          <w:szCs w:val="22"/>
        </w:rPr>
        <w:t xml:space="preserve"> </w:t>
      </w:r>
    </w:p>
    <w:p>
      <w:pPr>
        <w:spacing w:after="80" w:before="200"/>
      </w:pPr>
      <w:r>
        <w:rPr>
          <w:rFonts w:ascii="Times New Roman" w:cs="Times New Roman" w:eastAsia="Times New Roman" w:hAnsi="Times New Roman"/>
          <w:b/>
          <w:bCs/>
          <w:color w:val="2E6DA4"/>
          <w:sz w:val="23"/>
          <w:szCs w:val="23"/>
        </w:rPr>
        <w:t xml:space="preserve">3.4  Cross-Graph Analysis</w:t>
      </w:r>
    </w:p>
    <w:p>
      <w:pPr>
        <w:spacing w:after="120" w:before="0"/>
        <w:jc w:val="both"/>
      </w:pPr>
      <w:r>
        <w:rPr>
          <w:rFonts w:ascii="Times New Roman" w:cs="Times New Roman" w:eastAsia="Times New Roman" w:hAnsi="Times New Roman"/>
          <w:sz w:val="22"/>
          <w:szCs w:val="22"/>
        </w:rPr>
        <w:t xml:space="preserve">For each domain, we ran compare_graphs with min_appearances = ceil(0.30 × N) where N is the number of successfully generated graphs. This identified recurring features at the 30% threshold. The top 15 features by (appearances, avg_influence) were labelled via the Neuronpedia feature explanation API endpoint /api/feature/gemma-2-2b/{layer}-gemmascope-transcoder-16k/{index}.</w:t>
      </w:r>
    </w:p>
    <w:p>
      <w:pPr>
        <w:spacing w:after="80" w:before="200"/>
      </w:pPr>
      <w:r>
        <w:rPr>
          <w:rFonts w:ascii="Times New Roman" w:cs="Times New Roman" w:eastAsia="Times New Roman" w:hAnsi="Times New Roman"/>
          <w:b/>
          <w:bCs/>
          <w:color w:val="2E6DA4"/>
          <w:sz w:val="23"/>
          <w:szCs w:val="23"/>
        </w:rPr>
        <w:t xml:space="preserve">3.5  Per-Prompt Interpretation</w:t>
      </w:r>
    </w:p>
    <w:p>
      <w:pPr>
        <w:spacing w:after="120" w:before="0"/>
        <w:jc w:val="both"/>
      </w:pPr>
      <w:r>
        <w:rPr>
          <w:rFonts w:ascii="Times New Roman" w:cs="Times New Roman" w:eastAsia="Times New Roman" w:hAnsi="Times New Roman"/>
          <w:sz w:val="22"/>
          <w:szCs w:val="22"/>
        </w:rPr>
        <w:t xml:space="preserve">For each prompt, interpret_prompt_graph labelled the top 40 influential nodes grouped into early (L0–L8), middle (L9–L17), and late (L18–L25) layer bands, producing a layer-by-layer mechanistic walkthrough. Token competition was assessed via logit contribution aggregation across all nodes to identify which features pushed for or against the predicted token.</w:t>
      </w:r>
    </w:p>
    <w:p>
      <w:pPr>
        <w:spacing w:after="80" w:before="200"/>
      </w:pPr>
      <w:r>
        <w:rPr>
          <w:rFonts w:ascii="Times New Roman" w:cs="Times New Roman" w:eastAsia="Times New Roman" w:hAnsi="Times New Roman"/>
          <w:b/>
          <w:bCs/>
          <w:color w:val="2E6DA4"/>
          <w:sz w:val="23"/>
          <w:szCs w:val="23"/>
        </w:rPr>
        <w:t xml:space="preserve">3.6  Steering Validation</w:t>
      </w:r>
    </w:p>
    <w:p>
      <w:pPr>
        <w:spacing w:after="120" w:before="0"/>
        <w:jc w:val="both"/>
      </w:pPr>
      <w:r>
        <w:rPr>
          <w:rFonts w:ascii="Times New Roman" w:cs="Times New Roman" w:eastAsia="Times New Roman" w:hAnsi="Times New Roman"/>
          <w:sz w:val="22"/>
          <w:szCs w:val="22"/>
        </w:rPr>
        <w:t xml:space="preserve">Activation steering was attempted for the top three recurring features by avg_influence in each domain using strength=20.0, strength_multiplier=4.0. Circuit neighbourhood analysis was performed via get_subgraph_node_ids_for_feature and label_nodes_batch at depth=1 as a structural proxy for causal validation, since the Neuronpedia steer endpoint for Gemma-2-2B was unavailable (HTTP 500) throughout the analysis period.</w:t>
      </w:r>
    </w:p>
    <w:p>
      <w:pPr>
        <w:spacing w:after="120" w:before="0"/>
      </w:pPr>
      <w:r>
        <w:rPr>
          <w:rFonts w:ascii="Times New Roman" w:cs="Times New Roman" w:eastAsia="Times New Roman" w:hAnsi="Times New Roman"/>
          <w:sz w:val="22"/>
          <w:szCs w:val="22"/>
        </w:rPr>
        <w:t xml:space="preserve"> </w:t>
      </w:r>
    </w:p>
    <w:p>
      <w:pPr>
        <w:pStyle w:val="Heading1"/>
      </w:pPr>
      <w:r>
        <w:rPr>
          <w:rFonts w:ascii="Arial" w:cs="Arial" w:eastAsia="Arial" w:hAnsi="Arial"/>
          <w:b/>
          <w:bCs/>
          <w:color w:val="1E3A5F"/>
          <w:sz w:val="30"/>
          <w:szCs w:val="30"/>
        </w:rPr>
        <w:t xml:space="preserve">4  Results</w:t>
      </w:r>
    </w:p>
    <w:p>
      <w:pPr>
        <w:spacing w:after="80" w:before="200"/>
      </w:pPr>
      <w:r>
        <w:rPr>
          <w:rFonts w:ascii="Times New Roman" w:cs="Times New Roman" w:eastAsia="Times New Roman" w:hAnsi="Times New Roman"/>
          <w:b/>
          <w:bCs/>
          <w:color w:val="2E6DA4"/>
          <w:sz w:val="23"/>
          <w:szCs w:val="23"/>
        </w:rPr>
        <w:t xml:space="preserve">4.1  Analogical Reasoning Circuit</w:t>
      </w:r>
    </w:p>
    <w:p>
      <w:pPr>
        <w:spacing w:after="60" w:before="160"/>
      </w:pPr>
      <w:r>
        <w:rPr>
          <w:rFonts w:ascii="Times New Roman" w:cs="Times New Roman" w:eastAsia="Times New Roman" w:hAnsi="Times New Roman"/>
          <w:b/>
          <w:bCs/>
          <w:i/>
          <w:iCs/>
          <w:color w:val="555555"/>
          <w:sz w:val="22"/>
          <w:szCs w:val="22"/>
        </w:rPr>
        <w:t xml:space="preserve">4.1.1  Overview and Recurring Features</w:t>
      </w:r>
    </w:p>
    <w:p>
      <w:pPr>
        <w:spacing w:after="120" w:before="0"/>
        <w:jc w:val="both"/>
      </w:pPr>
      <w:r>
        <w:rPr>
          <w:rFonts w:ascii="Times New Roman" w:cs="Times New Roman" w:eastAsia="Times New Roman" w:hAnsi="Times New Roman"/>
          <w:sz w:val="22"/>
          <w:szCs w:val="22"/>
        </w:rPr>
        <w:t xml:space="preserve">From 34 attribution graphs across nine analogical sub-domains, cross-graph analysis identified 505 recurring features at the 30% threshold (min 11 of 34 graphs). The top 15 features by (appearances, avg_influence) are shown in Table 2.</w:t>
      </w:r>
    </w:p>
    <w:p>
      <w:pPr>
        <w:spacing w:after="120" w:before="0"/>
      </w:pPr>
      <w:r>
        <w:rPr>
          <w:rFonts w:ascii="Times New Roman" w:cs="Times New Roman" w:eastAsia="Times New Roman" w:hAnsi="Times New Roman"/>
          <w:sz w:val="22"/>
          <w:szCs w:val="22"/>
        </w:rPr>
        <w:t xml:space="preserve"> </w:t>
      </w:r>
    </w:p>
    <w:p>
      <w:pPr>
        <w:spacing w:after="160" w:before="40"/>
        <w:jc w:val="center"/>
      </w:pPr>
      <w:r>
        <w:rPr>
          <w:rFonts w:ascii="Times New Roman" w:cs="Times New Roman" w:eastAsia="Times New Roman" w:hAnsi="Times New Roman"/>
          <w:i/>
          <w:iCs/>
          <w:color w:val="555555"/>
          <w:sz w:val="20"/>
          <w:szCs w:val="20"/>
        </w:rPr>
        <w:t xml:space="preserve">Table 2: Top 15 recurring features in the analogical reasoning circuit (34 graphs, threshold ≥11/34).</w:t>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300"/>
        <w:gridCol w:w="400"/>
        <w:gridCol w:w="700"/>
        <w:gridCol w:w="700"/>
        <w:gridCol w:w="800"/>
        <w:gridCol w:w="3400"/>
      </w:tblGrid>
      <w:tr>
        <w:trPr>
          <w:tblHeader/>
        </w:trPr>
        <w:tc>
          <w:tcPr>
            <w:tcW w:type="dxa" w:w="300"/>
            <w:tcBorders>
              <w:top w:val="single" w:color="DDDDDD" w:sz="4"/>
              <w:left w:val="single" w:color="DDDDDD" w:sz="4"/>
              <w:bottom w:val="single" w:color="DDDDDD" w:sz="4"/>
              <w:right w:val="single" w:color="DDDDDD" w:sz="4"/>
            </w:tcBorders>
            <w:shd w:fill="1E3A5F"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Rank</w:t>
            </w:r>
          </w:p>
        </w:tc>
        <w:tc>
          <w:tcPr>
            <w:tcW w:type="dxa" w:w="400"/>
            <w:tcBorders>
              <w:top w:val="single" w:color="DDDDDD" w:sz="4"/>
              <w:left w:val="single" w:color="DDDDDD" w:sz="4"/>
              <w:bottom w:val="single" w:color="DDDDDD" w:sz="4"/>
              <w:right w:val="single" w:color="DDDDDD" w:sz="4"/>
            </w:tcBorders>
            <w:shd w:fill="1E3A5F"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Layer</w:t>
            </w:r>
          </w:p>
        </w:tc>
        <w:tc>
          <w:tcPr>
            <w:tcW w:type="dxa" w:w="700"/>
            <w:tcBorders>
              <w:top w:val="single" w:color="DDDDDD" w:sz="4"/>
              <w:left w:val="single" w:color="DDDDDD" w:sz="4"/>
              <w:bottom w:val="single" w:color="DDDDDD" w:sz="4"/>
              <w:right w:val="single" w:color="DDDDDD" w:sz="4"/>
            </w:tcBorders>
            <w:shd w:fill="1E3A5F"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Feature</w:t>
            </w:r>
          </w:p>
        </w:tc>
        <w:tc>
          <w:tcPr>
            <w:tcW w:type="dxa" w:w="700"/>
            <w:tcBorders>
              <w:top w:val="single" w:color="DDDDDD" w:sz="4"/>
              <w:left w:val="single" w:color="DDDDDD" w:sz="4"/>
              <w:bottom w:val="single" w:color="DDDDDD" w:sz="4"/>
              <w:right w:val="single" w:color="DDDDDD" w:sz="4"/>
            </w:tcBorders>
            <w:shd w:fill="1E3A5F"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Appearances</w:t>
            </w:r>
          </w:p>
        </w:tc>
        <w:tc>
          <w:tcPr>
            <w:tcW w:type="dxa" w:w="800"/>
            <w:tcBorders>
              <w:top w:val="single" w:color="DDDDDD" w:sz="4"/>
              <w:left w:val="single" w:color="DDDDDD" w:sz="4"/>
              <w:bottom w:val="single" w:color="DDDDDD" w:sz="4"/>
              <w:right w:val="single" w:color="DDDDDD" w:sz="4"/>
            </w:tcBorders>
            <w:shd w:fill="1E3A5F"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Avg Influence</w:t>
            </w:r>
          </w:p>
        </w:tc>
        <w:tc>
          <w:tcPr>
            <w:tcW w:type="dxa" w:w="3400"/>
            <w:tcBorders>
              <w:top w:val="single" w:color="DDDDDD" w:sz="4"/>
              <w:left w:val="single" w:color="DDDDDD" w:sz="4"/>
              <w:bottom w:val="single" w:color="DDDDDD" w:sz="4"/>
              <w:right w:val="single" w:color="DDDDDD" w:sz="4"/>
            </w:tcBorders>
            <w:shd w:fill="1E3A5F"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Label</w:t>
            </w:r>
          </w:p>
        </w:tc>
      </w:tr>
      <w:tr>
        <w:tc>
          <w:tcPr>
            <w:tcW w:type="dxa" w:w="3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1</w:t>
            </w:r>
          </w:p>
        </w:tc>
        <w:tc>
          <w:tcPr>
            <w:tcW w:type="dxa" w:w="4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6</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2586668</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34/34</w:t>
            </w:r>
          </w:p>
        </w:tc>
        <w:tc>
          <w:tcPr>
            <w:tcW w:type="dxa" w:w="8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0.716</w:t>
            </w:r>
          </w:p>
        </w:tc>
        <w:tc>
          <w:tcPr>
            <w:tcW w:type="dxa" w:w="34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words in programming code, legal jargon, or scientific texts</w:t>
            </w:r>
          </w:p>
        </w:tc>
      </w:tr>
      <w:tr>
        <w:tc>
          <w:tcPr>
            <w:tcW w:type="dxa" w:w="3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2</w:t>
            </w:r>
          </w:p>
        </w:tc>
        <w:tc>
          <w:tcPr>
            <w:tcW w:type="dxa" w:w="4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3</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5150441</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34/34</w:t>
            </w:r>
          </w:p>
        </w:tc>
        <w:tc>
          <w:tcPr>
            <w:tcW w:type="dxa" w:w="8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0.657</w:t>
            </w:r>
          </w:p>
        </w:tc>
        <w:tc>
          <w:tcPr>
            <w:tcW w:type="dxa" w:w="34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code snippets and documentation references (web development)</w:t>
            </w:r>
          </w:p>
        </w:tc>
      </w:tr>
      <w:tr>
        <w:tc>
          <w:tcPr>
            <w:tcW w:type="dxa" w:w="3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3</w:t>
            </w:r>
          </w:p>
        </w:tc>
        <w:tc>
          <w:tcPr>
            <w:tcW w:type="dxa" w:w="4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8</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94882191</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32/34</w:t>
            </w:r>
          </w:p>
        </w:tc>
        <w:tc>
          <w:tcPr>
            <w:tcW w:type="dxa" w:w="8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0.498</w:t>
            </w:r>
          </w:p>
        </w:tc>
        <w:tc>
          <w:tcPr>
            <w:tcW w:type="dxa" w:w="34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analogies or comparisons</w:t>
            </w:r>
          </w:p>
        </w:tc>
      </w:tr>
      <w:tr>
        <w:tc>
          <w:tcPr>
            <w:tcW w:type="dxa" w:w="3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4</w:t>
            </w:r>
          </w:p>
        </w:tc>
        <w:tc>
          <w:tcPr>
            <w:tcW w:type="dxa" w:w="4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4</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110446948</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33/34</w:t>
            </w:r>
          </w:p>
        </w:tc>
        <w:tc>
          <w:tcPr>
            <w:tcW w:type="dxa" w:w="8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0.677</w:t>
            </w:r>
          </w:p>
        </w:tc>
        <w:tc>
          <w:tcPr>
            <w:tcW w:type="dxa" w:w="34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code snippets and license agreements</w:t>
            </w:r>
          </w:p>
        </w:tc>
      </w:tr>
      <w:tr>
        <w:tc>
          <w:tcPr>
            <w:tcW w:type="dxa" w:w="3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5</w:t>
            </w:r>
          </w:p>
        </w:tc>
        <w:tc>
          <w:tcPr>
            <w:tcW w:type="dxa" w:w="4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7</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4828270</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30/34</w:t>
            </w:r>
          </w:p>
        </w:tc>
        <w:tc>
          <w:tcPr>
            <w:tcW w:type="dxa" w:w="8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0.723</w:t>
            </w:r>
          </w:p>
        </w:tc>
        <w:tc>
          <w:tcPr>
            <w:tcW w:type="dxa" w:w="34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reference codes, abbreviations, and identifiers from different fields</w:t>
            </w:r>
          </w:p>
        </w:tc>
      </w:tr>
      <w:tr>
        <w:tc>
          <w:tcPr>
            <w:tcW w:type="dxa" w:w="3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6</w:t>
            </w:r>
          </w:p>
        </w:tc>
        <w:tc>
          <w:tcPr>
            <w:tcW w:type="dxa" w:w="4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9</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89171325</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27/34</w:t>
            </w:r>
          </w:p>
        </w:tc>
        <w:tc>
          <w:tcPr>
            <w:tcW w:type="dxa" w:w="8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0.661</w:t>
            </w:r>
          </w:p>
        </w:tc>
        <w:tc>
          <w:tcPr>
            <w:tcW w:type="dxa" w:w="34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phrases suggesting uncertainty or comparison between two things</w:t>
            </w:r>
          </w:p>
        </w:tc>
      </w:tr>
      <w:tr>
        <w:tc>
          <w:tcPr>
            <w:tcW w:type="dxa" w:w="3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7</w:t>
            </w:r>
          </w:p>
        </w:tc>
        <w:tc>
          <w:tcPr>
            <w:tcW w:type="dxa" w:w="4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1708475</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26/34</w:t>
            </w:r>
          </w:p>
        </w:tc>
        <w:tc>
          <w:tcPr>
            <w:tcW w:type="dxa" w:w="8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0.600</w:t>
            </w:r>
          </w:p>
        </w:tc>
        <w:tc>
          <w:tcPr>
            <w:tcW w:type="dxa" w:w="34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scientific terms and experimental details (biological/chemical)</w:t>
            </w:r>
          </w:p>
        </w:tc>
      </w:tr>
      <w:tr>
        <w:tc>
          <w:tcPr>
            <w:tcW w:type="dxa" w:w="3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8</w:t>
            </w:r>
          </w:p>
        </w:tc>
        <w:tc>
          <w:tcPr>
            <w:tcW w:type="dxa" w:w="4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9</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4261730</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25/34</w:t>
            </w:r>
          </w:p>
        </w:tc>
        <w:tc>
          <w:tcPr>
            <w:tcW w:type="dxa" w:w="8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0.632</w:t>
            </w:r>
          </w:p>
        </w:tc>
        <w:tc>
          <w:tcPr>
            <w:tcW w:type="dxa" w:w="34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formulas, ratios, and mathematical notation</w:t>
            </w:r>
          </w:p>
        </w:tc>
      </w:tr>
      <w:tr>
        <w:tc>
          <w:tcPr>
            <w:tcW w:type="dxa" w:w="3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9</w:t>
            </w:r>
          </w:p>
        </w:tc>
        <w:tc>
          <w:tcPr>
            <w:tcW w:type="dxa" w:w="4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2239785</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25/34</w:t>
            </w:r>
          </w:p>
        </w:tc>
        <w:tc>
          <w:tcPr>
            <w:tcW w:type="dxa" w:w="8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0.625</w:t>
            </w:r>
          </w:p>
        </w:tc>
        <w:tc>
          <w:tcPr>
            <w:tcW w:type="dxa" w:w="34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data reported as percentage inside brackets; country recognition</w:t>
            </w:r>
          </w:p>
        </w:tc>
      </w:tr>
      <w:tr>
        <w:tc>
          <w:tcPr>
            <w:tcW w:type="dxa" w:w="3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10</w:t>
            </w:r>
          </w:p>
        </w:tc>
        <w:tc>
          <w:tcPr>
            <w:tcW w:type="dxa" w:w="4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5</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16817094</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24/34</w:t>
            </w:r>
          </w:p>
        </w:tc>
        <w:tc>
          <w:tcPr>
            <w:tcW w:type="dxa" w:w="8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0.590</w:t>
            </w:r>
          </w:p>
        </w:tc>
        <w:tc>
          <w:tcPr>
            <w:tcW w:type="dxa" w:w="34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analogies</w:t>
            </w:r>
          </w:p>
        </w:tc>
      </w:tr>
      <w:tr>
        <w:tc>
          <w:tcPr>
            <w:tcW w:type="dxa" w:w="3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11</w:t>
            </w:r>
          </w:p>
        </w:tc>
        <w:tc>
          <w:tcPr>
            <w:tcW w:type="dxa" w:w="4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81262125</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23/34</w:t>
            </w:r>
          </w:p>
        </w:tc>
        <w:tc>
          <w:tcPr>
            <w:tcW w:type="dxa" w:w="8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0.659</w:t>
            </w:r>
          </w:p>
        </w:tc>
        <w:tc>
          <w:tcPr>
            <w:tcW w:type="dxa" w:w="34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the words they, them, that, these (third-person reference)</w:t>
            </w:r>
          </w:p>
        </w:tc>
      </w:tr>
      <w:tr>
        <w:tc>
          <w:tcPr>
            <w:tcW w:type="dxa" w:w="3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12</w:t>
            </w:r>
          </w:p>
        </w:tc>
        <w:tc>
          <w:tcPr>
            <w:tcW w:type="dxa" w:w="4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5</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46836675</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22/34</w:t>
            </w:r>
          </w:p>
        </w:tc>
        <w:tc>
          <w:tcPr>
            <w:tcW w:type="dxa" w:w="8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0.565</w:t>
            </w:r>
          </w:p>
        </w:tc>
        <w:tc>
          <w:tcPr>
            <w:tcW w:type="dxa" w:w="34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the phrase there/they are or it is to</w:t>
            </w:r>
          </w:p>
        </w:tc>
      </w:tr>
      <w:tr>
        <w:tc>
          <w:tcPr>
            <w:tcW w:type="dxa" w:w="3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13</w:t>
            </w:r>
          </w:p>
        </w:tc>
        <w:tc>
          <w:tcPr>
            <w:tcW w:type="dxa" w:w="4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74438300</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22/34</w:t>
            </w:r>
          </w:p>
        </w:tc>
        <w:tc>
          <w:tcPr>
            <w:tcW w:type="dxa" w:w="8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0.690</w:t>
            </w:r>
          </w:p>
        </w:tc>
        <w:tc>
          <w:tcPr>
            <w:tcW w:type="dxa" w:w="34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a variety of specific nouns</w:t>
            </w:r>
          </w:p>
        </w:tc>
      </w:tr>
      <w:tr>
        <w:tc>
          <w:tcPr>
            <w:tcW w:type="dxa" w:w="3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14</w:t>
            </w:r>
          </w:p>
        </w:tc>
        <w:tc>
          <w:tcPr>
            <w:tcW w:type="dxa" w:w="4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52694029</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22/34</w:t>
            </w:r>
          </w:p>
        </w:tc>
        <w:tc>
          <w:tcPr>
            <w:tcW w:type="dxa" w:w="8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0.611</w:t>
            </w:r>
          </w:p>
        </w:tc>
        <w:tc>
          <w:tcPr>
            <w:tcW w:type="dxa" w:w="34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instances related to language, word morphology, or text analysis</w:t>
            </w:r>
          </w:p>
        </w:tc>
      </w:tr>
      <w:tr>
        <w:tc>
          <w:tcPr>
            <w:tcW w:type="dxa" w:w="3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15</w:t>
            </w:r>
          </w:p>
        </w:tc>
        <w:tc>
          <w:tcPr>
            <w:tcW w:type="dxa" w:w="4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7</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16019001</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21/34</w:t>
            </w:r>
          </w:p>
        </w:tc>
        <w:tc>
          <w:tcPr>
            <w:tcW w:type="dxa" w:w="8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0.598</w:t>
            </w:r>
          </w:p>
        </w:tc>
        <w:tc>
          <w:tcPr>
            <w:tcW w:type="dxa" w:w="34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the word as and syntactic comparison operators</w:t>
            </w:r>
          </w:p>
        </w:tc>
      </w:tr>
    </w:tbl>
    <w:p>
      <w:pPr>
        <w:spacing w:after="240" w:before="0"/>
      </w:pPr>
      <w:r>
        <w:rPr>
          <w:rFonts w:ascii="Times New Roman" w:cs="Times New Roman" w:eastAsia="Times New Roman" w:hAnsi="Times New Roman"/>
          <w:sz w:val="22"/>
          <w:szCs w:val="22"/>
        </w:rPr>
        <w:t xml:space="preserve"> </w:t>
      </w:r>
    </w:p>
    <w:p>
      <w:pPr>
        <w:spacing w:after="60" w:before="160"/>
      </w:pPr>
      <w:r>
        <w:rPr>
          <w:rFonts w:ascii="Times New Roman" w:cs="Times New Roman" w:eastAsia="Times New Roman" w:hAnsi="Times New Roman"/>
          <w:b/>
          <w:bCs/>
          <w:i/>
          <w:iCs/>
          <w:color w:val="555555"/>
          <w:sz w:val="22"/>
          <w:szCs w:val="22"/>
        </w:rPr>
        <w:t xml:space="preserve">4.1.2  Three-Stage Circuit Architecture</w:t>
      </w:r>
    </w:p>
    <w:p>
      <w:pPr>
        <w:spacing w:after="120" w:before="0"/>
        <w:jc w:val="both"/>
      </w:pPr>
      <w:r>
        <w:rPr>
          <w:rFonts w:ascii="Times New Roman" w:cs="Times New Roman" w:eastAsia="Times New Roman" w:hAnsi="Times New Roman"/>
          <w:sz w:val="22"/>
          <w:szCs w:val="22"/>
        </w:rPr>
        <w:t xml:space="preserve">The top recurring features reveal a three-stage circuit:</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Early layers (L0–L4): Template parsing and nominal anchoring. Layer-0 features (generic nouns, scientific terminology, country recognition, third-person referential terms) parse the A:B::C:? structure and establish the entity slots. The most universal feature — L6/F2586668 (34/34 graphs, avg_inf=0.716) — fires on formal/structured-register text, identifying the analogy frame as a template before processing its semantic content.</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Middle layers (L5–L7): Relational frame recognition. Layer-5 features encoding ‘analogies’ (F16817094) and ‘it is to’ syntax (F46836675) directly recognise the relational frame of the prompt. Layer-7 feature F4828270 (30/34, avg_inf=0.723), labelled ‘reference codes, abbreviations, and identifiers,’ functions as a domain-agnostic entity-slot encoder that abstracts away the specific content of A, B, C and encodes them as placeholder roles in the relational structure.</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Late layers (L8–L9): Comparison crystallisation and answer selection. Layer-8 feature F94882191 (‘analogies or comparisons,’ 32/34) marks the transition to answer generation. Layer-9 features encode comparison operators, formulas, and uncertainty expressions — the computational signature of evaluating the relational mapping and selecting the target token.</w:t>
      </w:r>
    </w:p>
    <w:p>
      <w:pPr>
        <w:spacing w:after="120" w:before="0"/>
      </w:pPr>
      <w:r>
        <w:rPr>
          <w:rFonts w:ascii="Times New Roman" w:cs="Times New Roman" w:eastAsia="Times New Roman" w:hAnsi="Times New Roman"/>
          <w:sz w:val="22"/>
          <w:szCs w:val="22"/>
        </w:rPr>
        <w:t xml:space="preserve"> </w:t>
      </w:r>
    </w:p>
    <w:p>
      <w:pPr>
        <w:spacing w:after="60" w:before="160"/>
      </w:pPr>
      <w:r>
        <w:rPr>
          <w:rFonts w:ascii="Times New Roman" w:cs="Times New Roman" w:eastAsia="Times New Roman" w:hAnsi="Times New Roman"/>
          <w:b/>
          <w:bCs/>
          <w:i/>
          <w:iCs/>
          <w:color w:val="555555"/>
          <w:sz w:val="22"/>
          <w:szCs w:val="22"/>
        </w:rPr>
        <w:t xml:space="preserve">4.1.3  Sub-domain Performance</w:t>
      </w:r>
    </w:p>
    <w:p>
      <w:pPr>
        <w:spacing w:after="120" w:before="0"/>
        <w:jc w:val="both"/>
      </w:pPr>
      <w:r>
        <w:rPr>
          <w:rFonts w:ascii="Times New Roman" w:cs="Times New Roman" w:eastAsia="Times New Roman" w:hAnsi="Times New Roman"/>
          <w:sz w:val="22"/>
          <w:szCs w:val="22"/>
        </w:rPr>
        <w:t xml:space="preserve">Token prediction confidence varies dramatically across sub-domains, reflecting the uniqueness of the relational mapping available in training data. Capital-city analogies achieve mean confidence of 97.3%; juvenile-adult animal analogies reach 75.6%; tool-function analogies average 50%. At the lower end, job-workplace and part-whole analogies average 35%; cause-effect analogies drop to 7.5% reflecting genuine semantic underdetermination where many completions are valid.</w:t>
      </w:r>
    </w:p>
    <w:p>
      <w:pPr>
        <w:spacing w:after="120" w:before="0"/>
      </w:pPr>
      <w:r>
        <w:rPr>
          <w:rFonts w:ascii="Times New Roman" w:cs="Times New Roman" w:eastAsia="Times New Roman" w:hAnsi="Times New Roman"/>
          <w:sz w:val="22"/>
          <w:szCs w:val="22"/>
        </w:rPr>
        <w:t xml:space="preserve"> </w:t>
      </w:r>
    </w:p>
    <w:p>
      <w:pPr>
        <w:spacing w:after="80" w:before="200"/>
      </w:pPr>
      <w:r>
        <w:rPr>
          <w:rFonts w:ascii="Times New Roman" w:cs="Times New Roman" w:eastAsia="Times New Roman" w:hAnsi="Times New Roman"/>
          <w:b/>
          <w:bCs/>
          <w:color w:val="2E6DA4"/>
          <w:sz w:val="23"/>
          <w:szCs w:val="23"/>
        </w:rPr>
        <w:t xml:space="preserve">4.2  Factual Recall Circuit</w:t>
      </w:r>
    </w:p>
    <w:p>
      <w:pPr>
        <w:spacing w:after="60" w:before="160"/>
      </w:pPr>
      <w:r>
        <w:rPr>
          <w:rFonts w:ascii="Times New Roman" w:cs="Times New Roman" w:eastAsia="Times New Roman" w:hAnsi="Times New Roman"/>
          <w:b/>
          <w:bCs/>
          <w:i/>
          <w:iCs/>
          <w:color w:val="555555"/>
          <w:sz w:val="22"/>
          <w:szCs w:val="22"/>
        </w:rPr>
        <w:t xml:space="preserve">4.2.1  Overview and Recurring Features</w:t>
      </w:r>
    </w:p>
    <w:p>
      <w:pPr>
        <w:spacing w:after="120" w:before="0"/>
        <w:jc w:val="both"/>
      </w:pPr>
      <w:r>
        <w:rPr>
          <w:rFonts w:ascii="Times New Roman" w:cs="Times New Roman" w:eastAsia="Times New Roman" w:hAnsi="Times New Roman"/>
          <w:sz w:val="22"/>
          <w:szCs w:val="22"/>
        </w:rPr>
        <w:t xml:space="preserve">From 24 attribution graphs across seven factual sub-domains, cross-graph analysis identified 261 recurring features at the 30% threshold (min 8 of 24 graphs). Table 3 shows the top 15 features.</w:t>
      </w:r>
    </w:p>
    <w:p>
      <w:pPr>
        <w:spacing w:after="120" w:before="0"/>
      </w:pPr>
      <w:r>
        <w:rPr>
          <w:rFonts w:ascii="Times New Roman" w:cs="Times New Roman" w:eastAsia="Times New Roman" w:hAnsi="Times New Roman"/>
          <w:sz w:val="22"/>
          <w:szCs w:val="22"/>
        </w:rPr>
        <w:t xml:space="preserve"> </w:t>
      </w:r>
    </w:p>
    <w:p>
      <w:pPr>
        <w:spacing w:after="160" w:before="40"/>
        <w:jc w:val="center"/>
      </w:pPr>
      <w:r>
        <w:rPr>
          <w:rFonts w:ascii="Times New Roman" w:cs="Times New Roman" w:eastAsia="Times New Roman" w:hAnsi="Times New Roman"/>
          <w:i/>
          <w:iCs/>
          <w:color w:val="555555"/>
          <w:sz w:val="20"/>
          <w:szCs w:val="20"/>
        </w:rPr>
        <w:t xml:space="preserve">Table 3: Top 15 recurring features in the factual recall circuit (24 graphs, threshold ≥8/24).</w:t>
      </w:r>
    </w:p>
    <w:tbl>
      <w:tblPr>
        <w:tblW w:type="dxa" w:w="61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700"/>
        <w:gridCol w:w="800"/>
        <w:gridCol w:w="3500"/>
      </w:tblGrid>
      <w:tr>
        <w:trPr>
          <w:tblHeader/>
        </w:trPr>
        <w:tc>
          <w:tcPr>
            <w:tcW w:type="dxa" w:w="400"/>
            <w:tcBorders>
              <w:top w:val="single" w:color="DDDDDD" w:sz="4"/>
              <w:left w:val="single" w:color="DDDDDD" w:sz="4"/>
              <w:bottom w:val="single" w:color="DDDDDD" w:sz="4"/>
              <w:right w:val="single" w:color="DDDDDD" w:sz="4"/>
            </w:tcBorders>
            <w:shd w:fill="1E3A5F"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Layer</w:t>
            </w:r>
          </w:p>
        </w:tc>
        <w:tc>
          <w:tcPr>
            <w:tcW w:type="dxa" w:w="700"/>
            <w:tcBorders>
              <w:top w:val="single" w:color="DDDDDD" w:sz="4"/>
              <w:left w:val="single" w:color="DDDDDD" w:sz="4"/>
              <w:bottom w:val="single" w:color="DDDDDD" w:sz="4"/>
              <w:right w:val="single" w:color="DDDDDD" w:sz="4"/>
            </w:tcBorders>
            <w:shd w:fill="1E3A5F"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Feature</w:t>
            </w:r>
          </w:p>
        </w:tc>
        <w:tc>
          <w:tcPr>
            <w:tcW w:type="dxa" w:w="700"/>
            <w:tcBorders>
              <w:top w:val="single" w:color="DDDDDD" w:sz="4"/>
              <w:left w:val="single" w:color="DDDDDD" w:sz="4"/>
              <w:bottom w:val="single" w:color="DDDDDD" w:sz="4"/>
              <w:right w:val="single" w:color="DDDDDD" w:sz="4"/>
            </w:tcBorders>
            <w:shd w:fill="1E3A5F"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Appearances</w:t>
            </w:r>
          </w:p>
        </w:tc>
        <w:tc>
          <w:tcPr>
            <w:tcW w:type="dxa" w:w="800"/>
            <w:tcBorders>
              <w:top w:val="single" w:color="DDDDDD" w:sz="4"/>
              <w:left w:val="single" w:color="DDDDDD" w:sz="4"/>
              <w:bottom w:val="single" w:color="DDDDDD" w:sz="4"/>
              <w:right w:val="single" w:color="DDDDDD" w:sz="4"/>
            </w:tcBorders>
            <w:shd w:fill="1E3A5F"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Avg Influence</w:t>
            </w:r>
          </w:p>
        </w:tc>
        <w:tc>
          <w:tcPr>
            <w:tcW w:type="dxa" w:w="3500"/>
            <w:tcBorders>
              <w:top w:val="single" w:color="DDDDDD" w:sz="4"/>
              <w:left w:val="single" w:color="DDDDDD" w:sz="4"/>
              <w:bottom w:val="single" w:color="DDDDDD" w:sz="4"/>
              <w:right w:val="single" w:color="DDDDDD" w:sz="4"/>
            </w:tcBorders>
            <w:shd w:fill="1E3A5F"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Label</w:t>
            </w:r>
          </w:p>
        </w:tc>
      </w:tr>
      <w:tr>
        <w:tc>
          <w:tcPr>
            <w:tcW w:type="dxa" w:w="4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6</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2586668</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69/24</w:t>
            </w:r>
          </w:p>
        </w:tc>
        <w:tc>
          <w:tcPr>
            <w:tcW w:type="dxa" w:w="8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0.6537</w:t>
            </w:r>
          </w:p>
        </w:tc>
        <w:tc>
          <w:tcPr>
            <w:tcW w:type="dxa" w:w="35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words in programming code, legal jargon, or scientific texts</w:t>
            </w:r>
          </w:p>
        </w:tc>
      </w:tr>
      <w:tr>
        <w:tc>
          <w:tcPr>
            <w:tcW w:type="dxa" w:w="4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4</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110446948</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69/24</w:t>
            </w:r>
          </w:p>
        </w:tc>
        <w:tc>
          <w:tcPr>
            <w:tcW w:type="dxa" w:w="8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0.6124</w:t>
            </w:r>
          </w:p>
        </w:tc>
        <w:tc>
          <w:tcPr>
            <w:tcW w:type="dxa" w:w="35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code snippets and license agreements</w:t>
            </w:r>
          </w:p>
        </w:tc>
      </w:tr>
      <w:tr>
        <w:tc>
          <w:tcPr>
            <w:tcW w:type="dxa" w:w="4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3</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5150441</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61/24</w:t>
            </w:r>
          </w:p>
        </w:tc>
        <w:tc>
          <w:tcPr>
            <w:tcW w:type="dxa" w:w="8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0.6406</w:t>
            </w:r>
          </w:p>
        </w:tc>
        <w:tc>
          <w:tcPr>
            <w:tcW w:type="dxa" w:w="35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code snippets and documentation references (web development)</w:t>
            </w:r>
          </w:p>
        </w:tc>
      </w:tr>
      <w:tr>
        <w:tc>
          <w:tcPr>
            <w:tcW w:type="dxa" w:w="4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40747877</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57/24</w:t>
            </w:r>
          </w:p>
        </w:tc>
        <w:tc>
          <w:tcPr>
            <w:tcW w:type="dxa" w:w="8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0.5420</w:t>
            </w:r>
          </w:p>
        </w:tc>
        <w:tc>
          <w:tcPr>
            <w:tcW w:type="dxa" w:w="35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technical documents or data: numbers, units, figures/tables</w:t>
            </w:r>
          </w:p>
        </w:tc>
      </w:tr>
      <w:tr>
        <w:tc>
          <w:tcPr>
            <w:tcW w:type="dxa" w:w="4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1708475</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53/24</w:t>
            </w:r>
          </w:p>
        </w:tc>
        <w:tc>
          <w:tcPr>
            <w:tcW w:type="dxa" w:w="8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0.5960</w:t>
            </w:r>
          </w:p>
        </w:tc>
        <w:tc>
          <w:tcPr>
            <w:tcW w:type="dxa" w:w="35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scientific terms and experimental details (biological/chemical)</w:t>
            </w:r>
          </w:p>
        </w:tc>
      </w:tr>
      <w:tr>
        <w:tc>
          <w:tcPr>
            <w:tcW w:type="dxa" w:w="4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70051365</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50/24</w:t>
            </w:r>
          </w:p>
        </w:tc>
        <w:tc>
          <w:tcPr>
            <w:tcW w:type="dxa" w:w="8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0.6266</w:t>
            </w:r>
          </w:p>
        </w:tc>
        <w:tc>
          <w:tcPr>
            <w:tcW w:type="dxa" w:w="35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software code terms: assembly, using, namespace, license</w:t>
            </w:r>
          </w:p>
        </w:tc>
      </w:tr>
      <w:tr>
        <w:tc>
          <w:tcPr>
            <w:tcW w:type="dxa" w:w="4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2239785</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49/24</w:t>
            </w:r>
          </w:p>
        </w:tc>
        <w:tc>
          <w:tcPr>
            <w:tcW w:type="dxa" w:w="8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0.6007</w:t>
            </w:r>
          </w:p>
        </w:tc>
        <w:tc>
          <w:tcPr>
            <w:tcW w:type="dxa" w:w="35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data as percentage in brackets; laboratory/medical context; countries</w:t>
            </w:r>
          </w:p>
        </w:tc>
      </w:tr>
      <w:tr>
        <w:tc>
          <w:tcPr>
            <w:tcW w:type="dxa" w:w="4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7</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4828270</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45/24</w:t>
            </w:r>
          </w:p>
        </w:tc>
        <w:tc>
          <w:tcPr>
            <w:tcW w:type="dxa" w:w="8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0.6929</w:t>
            </w:r>
          </w:p>
        </w:tc>
        <w:tc>
          <w:tcPr>
            <w:tcW w:type="dxa" w:w="35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reference codes, abbreviations, and identifiers from different fields</w:t>
            </w:r>
          </w:p>
        </w:tc>
      </w:tr>
      <w:tr>
        <w:tc>
          <w:tcPr>
            <w:tcW w:type="dxa" w:w="4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81262125</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43/24</w:t>
            </w:r>
          </w:p>
        </w:tc>
        <w:tc>
          <w:tcPr>
            <w:tcW w:type="dxa" w:w="8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0.6214</w:t>
            </w:r>
          </w:p>
        </w:tc>
        <w:tc>
          <w:tcPr>
            <w:tcW w:type="dxa" w:w="35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the words they, them, that, these (third-person reference)</w:t>
            </w:r>
          </w:p>
        </w:tc>
      </w:tr>
      <w:tr>
        <w:tc>
          <w:tcPr>
            <w:tcW w:type="dxa" w:w="4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5</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16817094</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39/24</w:t>
            </w:r>
          </w:p>
        </w:tc>
        <w:tc>
          <w:tcPr>
            <w:tcW w:type="dxa" w:w="8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0.5774</w:t>
            </w:r>
          </w:p>
        </w:tc>
        <w:tc>
          <w:tcPr>
            <w:tcW w:type="dxa" w:w="35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analogies</w:t>
            </w:r>
          </w:p>
        </w:tc>
      </w:tr>
      <w:tr>
        <w:tc>
          <w:tcPr>
            <w:tcW w:type="dxa" w:w="4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4</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50205205</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38/24</w:t>
            </w:r>
          </w:p>
        </w:tc>
        <w:tc>
          <w:tcPr>
            <w:tcW w:type="dxa" w:w="8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0.5619</w:t>
            </w:r>
          </w:p>
        </w:tc>
        <w:tc>
          <w:tcPr>
            <w:tcW w:type="dxa" w:w="35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words associated with etymology or definition of a word</w:t>
            </w:r>
          </w:p>
        </w:tc>
      </w:tr>
      <w:tr>
        <w:tc>
          <w:tcPr>
            <w:tcW w:type="dxa" w:w="4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6</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1857621</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36/24</w:t>
            </w:r>
          </w:p>
        </w:tc>
        <w:tc>
          <w:tcPr>
            <w:tcW w:type="dxa" w:w="8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0.5800</w:t>
            </w:r>
          </w:p>
        </w:tc>
        <w:tc>
          <w:tcPr>
            <w:tcW w:type="dxa" w:w="35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words related to medical or scientific texts (drugs, chemical reactions)</w:t>
            </w:r>
          </w:p>
        </w:tc>
      </w:tr>
      <w:tr>
        <w:tc>
          <w:tcPr>
            <w:tcW w:type="dxa" w:w="4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18693554</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10/24</w:t>
            </w:r>
          </w:p>
        </w:tc>
        <w:tc>
          <w:tcPr>
            <w:tcW w:type="dxa" w:w="8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0.7635</w:t>
            </w:r>
          </w:p>
        </w:tc>
        <w:tc>
          <w:tcPr>
            <w:tcW w:type="dxa" w:w="35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the word overall, alongside words expressing quantity</w:t>
            </w:r>
          </w:p>
        </w:tc>
      </w:tr>
      <w:tr>
        <w:tc>
          <w:tcPr>
            <w:tcW w:type="dxa" w:w="4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12880349</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10/24</w:t>
            </w:r>
          </w:p>
        </w:tc>
        <w:tc>
          <w:tcPr>
            <w:tcW w:type="dxa" w:w="8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0.7590</w:t>
            </w:r>
          </w:p>
        </w:tc>
        <w:tc>
          <w:tcPr>
            <w:tcW w:type="dxa" w:w="35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occurrences of the word red at the start of phrases or clauses</w:t>
            </w:r>
          </w:p>
        </w:tc>
      </w:tr>
      <w:tr>
        <w:tc>
          <w:tcPr>
            <w:tcW w:type="dxa" w:w="4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24106095</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10/24</w:t>
            </w:r>
          </w:p>
        </w:tc>
        <w:tc>
          <w:tcPr>
            <w:tcW w:type="dxa" w:w="8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0.7589</w:t>
            </w:r>
          </w:p>
        </w:tc>
        <w:tc>
          <w:tcPr>
            <w:tcW w:type="dxa" w:w="35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the suffix ins or the word thereon</w:t>
            </w:r>
          </w:p>
        </w:tc>
      </w:tr>
    </w:tbl>
    <w:p>
      <w:pPr>
        <w:spacing w:after="240" w:before="0"/>
      </w:pPr>
      <w:r>
        <w:rPr>
          <w:rFonts w:ascii="Times New Roman" w:cs="Times New Roman" w:eastAsia="Times New Roman" w:hAnsi="Times New Roman"/>
          <w:sz w:val="22"/>
          <w:szCs w:val="22"/>
        </w:rPr>
        <w:t xml:space="preserve"> </w:t>
      </w:r>
    </w:p>
    <w:p>
      <w:pPr>
        <w:spacing w:after="60" w:before="160"/>
      </w:pPr>
      <w:r>
        <w:rPr>
          <w:rFonts w:ascii="Times New Roman" w:cs="Times New Roman" w:eastAsia="Times New Roman" w:hAnsi="Times New Roman"/>
          <w:b/>
          <w:bCs/>
          <w:i/>
          <w:iCs/>
          <w:color w:val="555555"/>
          <w:sz w:val="22"/>
          <w:szCs w:val="22"/>
        </w:rPr>
        <w:t xml:space="preserve">4.2.2  Register-Based Retrieval Architecture</w:t>
      </w:r>
    </w:p>
    <w:p>
      <w:pPr>
        <w:spacing w:after="120" w:before="0"/>
        <w:jc w:val="both"/>
      </w:pPr>
      <w:r>
        <w:rPr>
          <w:rFonts w:ascii="Times New Roman" w:cs="Times New Roman" w:eastAsia="Times New Roman" w:hAnsi="Times New Roman"/>
          <w:sz w:val="22"/>
          <w:szCs w:val="22"/>
        </w:rPr>
        <w:t xml:space="preserve">The most striking finding is the nature of the dominant recurring features. None of the top 15 features encode world-knowledge relationships directly (e.g., ‘Nigeria→Abuja’). Instead, the dominant features describe the surface structure of reference text: encyclopedic register signals, code and documentation patterns, and token-surface features (quantitative markers, morphological suffixes). This suggests a register-based retrieval heuristic: the model detects that the prompt matches an encyclopedic-text pattern and biases subsequent activations toward encyclopedia-register completions.</w:t>
      </w:r>
    </w:p>
    <w:p>
      <w:pPr>
        <w:spacing w:after="120" w:before="0"/>
        <w:jc w:val="both"/>
      </w:pPr>
      <w:r>
        <w:rPr>
          <w:rFonts w:ascii="Times New Roman" w:cs="Times New Roman" w:eastAsia="Times New Roman" w:hAnsi="Times New Roman"/>
          <w:sz w:val="22"/>
          <w:szCs w:val="22"/>
        </w:rPr>
        <w:t xml:space="preserve">The three highest-influence recurring features are all Layer-0 surface-form features: F18693554 (‘the word overall…’, avg_inf=0.7635), F12880349 (‘occurrences of red…’, avg_inf=0.7590), and F24106095 (‘suffix ins…’, avg_inf=0.7589). Their high influence reflects that these features fire on the quantitative and morphological cues characteristic of encyclopedic factual statements (‘the longest river,’ ‘the capital of…’), providing strong early-layer priming for reference-text register completions.</w:t>
      </w:r>
    </w:p>
    <w:p>
      <w:pPr>
        <w:spacing w:after="60" w:before="160"/>
      </w:pPr>
      <w:r>
        <w:rPr>
          <w:rFonts w:ascii="Times New Roman" w:cs="Times New Roman" w:eastAsia="Times New Roman" w:hAnsi="Times New Roman"/>
          <w:b/>
          <w:bCs/>
          <w:i/>
          <w:iCs/>
          <w:color w:val="555555"/>
          <w:sz w:val="22"/>
          <w:szCs w:val="22"/>
        </w:rPr>
        <w:t xml:space="preserve">4.2.3  Layer Distribution and Two-Stage Architecture</w:t>
      </w:r>
    </w:p>
    <w:p>
      <w:pPr>
        <w:spacing w:after="120" w:before="0"/>
        <w:jc w:val="both"/>
      </w:pPr>
      <w:r>
        <w:rPr>
          <w:rFonts w:ascii="Times New Roman" w:cs="Times New Roman" w:eastAsia="Times New Roman" w:hAnsi="Times New Roman"/>
          <w:sz w:val="22"/>
          <w:szCs w:val="22"/>
        </w:rPr>
        <w:t xml:space="preserve">Ten of the top 15 recurring features cluster in layers 0–4, consistent with the hypothesis that factual recall shares its early processing with general text-type identification. Domain-specific named-entity knowledge is confined to prompt-specific middle and late layers (L8–L25) that do not appear in the shared recurring set. This supports a two-stage architecture: (1) early layers identify the encyclopedic-text register from surface cues; (2) mid-to-late layers retrieve the domain-specific entity matching the identified register frame.</w:t>
      </w:r>
    </w:p>
    <w:p>
      <w:pPr>
        <w:spacing w:after="60" w:before="160"/>
      </w:pPr>
      <w:r>
        <w:rPr>
          <w:rFonts w:ascii="Times New Roman" w:cs="Times New Roman" w:eastAsia="Times New Roman" w:hAnsi="Times New Roman"/>
          <w:b/>
          <w:bCs/>
          <w:i/>
          <w:iCs/>
          <w:color w:val="555555"/>
          <w:sz w:val="22"/>
          <w:szCs w:val="22"/>
        </w:rPr>
        <w:t xml:space="preserve">4.2.4  Error Analysis</w:t>
      </w:r>
    </w:p>
    <w:p>
      <w:pPr>
        <w:spacing w:after="120" w:before="0"/>
        <w:jc w:val="both"/>
      </w:pPr>
      <w:r>
        <w:rPr>
          <w:rFonts w:ascii="Times New Roman" w:cs="Times New Roman" w:eastAsia="Times New Roman" w:hAnsi="Times New Roman"/>
          <w:sz w:val="22"/>
          <w:szCs w:val="22"/>
        </w:rPr>
        <w:t xml:space="preserve">Three prompts produced incorrect answers: ‘The capital of Nigeria is’ (predicted ‘ a’ at p=0.173, correct: Abuja), ‘The powerhouse of the cell is the’ (predicted ‘ nucleus’ at p=0.103, correct: mitochondria), and ‘The first US president was’ (predicted ‘ a’ at p=0.193, correct: Washington). In each case, the specific named-entity binding features are present but are overcome by high-frequency generic tokens whose statistical dominance at the 2B parameter scale overwhelms the factual signal. This reflects a known failure mode of smaller LLMs where factual knowledge exists in the circuit but is insufficient to overcome token frequency priors.</w:t>
      </w:r>
    </w:p>
    <w:p>
      <w:pPr>
        <w:spacing w:after="120" w:before="0"/>
      </w:pPr>
      <w:r>
        <w:rPr>
          <w:rFonts w:ascii="Times New Roman" w:cs="Times New Roman" w:eastAsia="Times New Roman" w:hAnsi="Times New Roman"/>
          <w:sz w:val="22"/>
          <w:szCs w:val="22"/>
        </w:rPr>
        <w:t xml:space="preserve"> </w:t>
      </w:r>
    </w:p>
    <w:p>
      <w:pPr>
        <w:spacing w:after="80" w:before="200"/>
      </w:pPr>
      <w:r>
        <w:rPr>
          <w:rFonts w:ascii="Times New Roman" w:cs="Times New Roman" w:eastAsia="Times New Roman" w:hAnsi="Times New Roman"/>
          <w:b/>
          <w:bCs/>
          <w:color w:val="2E6DA4"/>
          <w:sz w:val="23"/>
          <w:szCs w:val="23"/>
        </w:rPr>
        <w:t xml:space="preserve">4.3  Linguistic Reasoning Circuit</w:t>
      </w:r>
    </w:p>
    <w:p>
      <w:pPr>
        <w:spacing w:after="60" w:before="160"/>
      </w:pPr>
      <w:r>
        <w:rPr>
          <w:rFonts w:ascii="Times New Roman" w:cs="Times New Roman" w:eastAsia="Times New Roman" w:hAnsi="Times New Roman"/>
          <w:b/>
          <w:bCs/>
          <w:i/>
          <w:iCs/>
          <w:color w:val="555555"/>
          <w:sz w:val="22"/>
          <w:szCs w:val="22"/>
        </w:rPr>
        <w:t xml:space="preserve">4.3.1  Overview and Recurring Features</w:t>
      </w:r>
    </w:p>
    <w:p>
      <w:pPr>
        <w:spacing w:after="120" w:before="0"/>
        <w:jc w:val="both"/>
      </w:pPr>
      <w:r>
        <w:rPr>
          <w:rFonts w:ascii="Times New Roman" w:cs="Times New Roman" w:eastAsia="Times New Roman" w:hAnsi="Times New Roman"/>
          <w:sz w:val="22"/>
          <w:szCs w:val="22"/>
        </w:rPr>
        <w:t xml:space="preserve">From 31 attribution graphs across five linguistic sub-tasks, cross-graph analysis identified 527 recurring features at the 30% threshold (min 10 of 31 graphs). Table 4 presents the top 15 features.</w:t>
      </w:r>
    </w:p>
    <w:p>
      <w:pPr>
        <w:spacing w:after="120" w:before="0"/>
      </w:pPr>
      <w:r>
        <w:rPr>
          <w:rFonts w:ascii="Times New Roman" w:cs="Times New Roman" w:eastAsia="Times New Roman" w:hAnsi="Times New Roman"/>
          <w:sz w:val="22"/>
          <w:szCs w:val="22"/>
        </w:rPr>
        <w:t xml:space="preserve"> </w:t>
      </w:r>
    </w:p>
    <w:p>
      <w:pPr>
        <w:spacing w:after="160" w:before="40"/>
        <w:jc w:val="center"/>
      </w:pPr>
      <w:r>
        <w:rPr>
          <w:rFonts w:ascii="Times New Roman" w:cs="Times New Roman" w:eastAsia="Times New Roman" w:hAnsi="Times New Roman"/>
          <w:i/>
          <w:iCs/>
          <w:color w:val="555555"/>
          <w:sz w:val="20"/>
          <w:szCs w:val="20"/>
        </w:rPr>
        <w:t xml:space="preserve">Table 4: Top 15 recurring features in the linguistic reasoning circuit (31 graphs, threshold ≥10/31).</w:t>
      </w:r>
    </w:p>
    <w:tbl>
      <w:tblPr>
        <w:tblW w:type="dxa" w:w="61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700"/>
        <w:gridCol w:w="800"/>
        <w:gridCol w:w="3500"/>
      </w:tblGrid>
      <w:tr>
        <w:trPr>
          <w:tblHeader/>
        </w:trPr>
        <w:tc>
          <w:tcPr>
            <w:tcW w:type="dxa" w:w="400"/>
            <w:tcBorders>
              <w:top w:val="single" w:color="DDDDDD" w:sz="4"/>
              <w:left w:val="single" w:color="DDDDDD" w:sz="4"/>
              <w:bottom w:val="single" w:color="DDDDDD" w:sz="4"/>
              <w:right w:val="single" w:color="DDDDDD" w:sz="4"/>
            </w:tcBorders>
            <w:shd w:fill="1E3A5F"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Layer</w:t>
            </w:r>
          </w:p>
        </w:tc>
        <w:tc>
          <w:tcPr>
            <w:tcW w:type="dxa" w:w="700"/>
            <w:tcBorders>
              <w:top w:val="single" w:color="DDDDDD" w:sz="4"/>
              <w:left w:val="single" w:color="DDDDDD" w:sz="4"/>
              <w:bottom w:val="single" w:color="DDDDDD" w:sz="4"/>
              <w:right w:val="single" w:color="DDDDDD" w:sz="4"/>
            </w:tcBorders>
            <w:shd w:fill="1E3A5F"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Feature</w:t>
            </w:r>
          </w:p>
        </w:tc>
        <w:tc>
          <w:tcPr>
            <w:tcW w:type="dxa" w:w="700"/>
            <w:tcBorders>
              <w:top w:val="single" w:color="DDDDDD" w:sz="4"/>
              <w:left w:val="single" w:color="DDDDDD" w:sz="4"/>
              <w:bottom w:val="single" w:color="DDDDDD" w:sz="4"/>
              <w:right w:val="single" w:color="DDDDDD" w:sz="4"/>
            </w:tcBorders>
            <w:shd w:fill="1E3A5F"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Appearances</w:t>
            </w:r>
          </w:p>
        </w:tc>
        <w:tc>
          <w:tcPr>
            <w:tcW w:type="dxa" w:w="800"/>
            <w:tcBorders>
              <w:top w:val="single" w:color="DDDDDD" w:sz="4"/>
              <w:left w:val="single" w:color="DDDDDD" w:sz="4"/>
              <w:bottom w:val="single" w:color="DDDDDD" w:sz="4"/>
              <w:right w:val="single" w:color="DDDDDD" w:sz="4"/>
            </w:tcBorders>
            <w:shd w:fill="1E3A5F"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Avg Influence</w:t>
            </w:r>
          </w:p>
        </w:tc>
        <w:tc>
          <w:tcPr>
            <w:tcW w:type="dxa" w:w="3500"/>
            <w:tcBorders>
              <w:top w:val="single" w:color="DDDDDD" w:sz="4"/>
              <w:left w:val="single" w:color="DDDDDD" w:sz="4"/>
              <w:bottom w:val="single" w:color="DDDDDD" w:sz="4"/>
              <w:right w:val="single" w:color="DDDDDD" w:sz="4"/>
            </w:tcBorders>
            <w:shd w:fill="1E3A5F"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Label</w:t>
            </w:r>
          </w:p>
        </w:tc>
      </w:tr>
      <w:tr>
        <w:tc>
          <w:tcPr>
            <w:tcW w:type="dxa" w:w="4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6</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2586668</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113/31</w:t>
            </w:r>
          </w:p>
        </w:tc>
        <w:tc>
          <w:tcPr>
            <w:tcW w:type="dxa" w:w="8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0.6618</w:t>
            </w:r>
          </w:p>
        </w:tc>
        <w:tc>
          <w:tcPr>
            <w:tcW w:type="dxa" w:w="35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words in programming code, legal jargon, or scientific texts</w:t>
            </w:r>
          </w:p>
        </w:tc>
      </w:tr>
      <w:tr>
        <w:tc>
          <w:tcPr>
            <w:tcW w:type="dxa" w:w="4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74438300</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75/31</w:t>
            </w:r>
          </w:p>
        </w:tc>
        <w:tc>
          <w:tcPr>
            <w:tcW w:type="dxa" w:w="8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0.6834</w:t>
            </w:r>
          </w:p>
        </w:tc>
        <w:tc>
          <w:tcPr>
            <w:tcW w:type="dxa" w:w="35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a variety of specific nouns</w:t>
            </w:r>
          </w:p>
        </w:tc>
      </w:tr>
      <w:tr>
        <w:tc>
          <w:tcPr>
            <w:tcW w:type="dxa" w:w="4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70051365</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75/31</w:t>
            </w:r>
          </w:p>
        </w:tc>
        <w:tc>
          <w:tcPr>
            <w:tcW w:type="dxa" w:w="8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0.6660</w:t>
            </w:r>
          </w:p>
        </w:tc>
        <w:tc>
          <w:tcPr>
            <w:tcW w:type="dxa" w:w="35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software code terms: assembly, using, namespace, license</w:t>
            </w:r>
          </w:p>
        </w:tc>
      </w:tr>
      <w:tr>
        <w:tc>
          <w:tcPr>
            <w:tcW w:type="dxa" w:w="4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11637899</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71/31</w:t>
            </w:r>
          </w:p>
        </w:tc>
        <w:tc>
          <w:tcPr>
            <w:tcW w:type="dxa" w:w="8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0.7089</w:t>
            </w:r>
          </w:p>
        </w:tc>
        <w:tc>
          <w:tcPr>
            <w:tcW w:type="dxa" w:w="35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the word part followed by prepositions or words related to sections</w:t>
            </w:r>
          </w:p>
        </w:tc>
      </w:tr>
      <w:tr>
        <w:tc>
          <w:tcPr>
            <w:tcW w:type="dxa" w:w="4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3</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5150441</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69/31</w:t>
            </w:r>
          </w:p>
        </w:tc>
        <w:tc>
          <w:tcPr>
            <w:tcW w:type="dxa" w:w="8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0.6552</w:t>
            </w:r>
          </w:p>
        </w:tc>
        <w:tc>
          <w:tcPr>
            <w:tcW w:type="dxa" w:w="35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code snippets and documentation references (web development)</w:t>
            </w:r>
          </w:p>
        </w:tc>
      </w:tr>
      <w:tr>
        <w:tc>
          <w:tcPr>
            <w:tcW w:type="dxa" w:w="4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2239785</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68/31</w:t>
            </w:r>
          </w:p>
        </w:tc>
        <w:tc>
          <w:tcPr>
            <w:tcW w:type="dxa" w:w="8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0.6241</w:t>
            </w:r>
          </w:p>
        </w:tc>
        <w:tc>
          <w:tcPr>
            <w:tcW w:type="dxa" w:w="35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data as percentage in brackets; laboratory/medical context</w:t>
            </w:r>
          </w:p>
        </w:tc>
      </w:tr>
      <w:tr>
        <w:tc>
          <w:tcPr>
            <w:tcW w:type="dxa" w:w="4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4</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50205205</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67/31</w:t>
            </w:r>
          </w:p>
        </w:tc>
        <w:tc>
          <w:tcPr>
            <w:tcW w:type="dxa" w:w="8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0.5652</w:t>
            </w:r>
          </w:p>
        </w:tc>
        <w:tc>
          <w:tcPr>
            <w:tcW w:type="dxa" w:w="35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words associated with etymology or definition of a word</w:t>
            </w:r>
          </w:p>
        </w:tc>
      </w:tr>
      <w:tr>
        <w:tc>
          <w:tcPr>
            <w:tcW w:type="dxa" w:w="4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7</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4828270</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65/31</w:t>
            </w:r>
          </w:p>
        </w:tc>
        <w:tc>
          <w:tcPr>
            <w:tcW w:type="dxa" w:w="8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0.6633</w:t>
            </w:r>
          </w:p>
        </w:tc>
        <w:tc>
          <w:tcPr>
            <w:tcW w:type="dxa" w:w="35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reference codes, abbreviations, and identifiers from different fields</w:t>
            </w:r>
          </w:p>
        </w:tc>
      </w:tr>
      <w:tr>
        <w:tc>
          <w:tcPr>
            <w:tcW w:type="dxa" w:w="4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40747877</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65/31</w:t>
            </w:r>
          </w:p>
        </w:tc>
        <w:tc>
          <w:tcPr>
            <w:tcW w:type="dxa" w:w="8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0.5302</w:t>
            </w:r>
          </w:p>
        </w:tc>
        <w:tc>
          <w:tcPr>
            <w:tcW w:type="dxa" w:w="35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technical documents or data: numbers, units, figures/tables</w:t>
            </w:r>
          </w:p>
        </w:tc>
      </w:tr>
      <w:tr>
        <w:tc>
          <w:tcPr>
            <w:tcW w:type="dxa" w:w="4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6</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1857621</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62/31</w:t>
            </w:r>
          </w:p>
        </w:tc>
        <w:tc>
          <w:tcPr>
            <w:tcW w:type="dxa" w:w="8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0.6139</w:t>
            </w:r>
          </w:p>
        </w:tc>
        <w:tc>
          <w:tcPr>
            <w:tcW w:type="dxa" w:w="35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medical or scientific texts (drugs, chemical reactions)</w:t>
            </w:r>
          </w:p>
        </w:tc>
      </w:tr>
      <w:tr>
        <w:tc>
          <w:tcPr>
            <w:tcW w:type="dxa" w:w="4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4</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110446948</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59/31</w:t>
            </w:r>
          </w:p>
        </w:tc>
        <w:tc>
          <w:tcPr>
            <w:tcW w:type="dxa" w:w="8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0.6796</w:t>
            </w:r>
          </w:p>
        </w:tc>
        <w:tc>
          <w:tcPr>
            <w:tcW w:type="dxa" w:w="35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code snippets and license agreements</w:t>
            </w:r>
          </w:p>
        </w:tc>
      </w:tr>
      <w:tr>
        <w:tc>
          <w:tcPr>
            <w:tcW w:type="dxa" w:w="4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18711902</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58/31</w:t>
            </w:r>
          </w:p>
        </w:tc>
        <w:tc>
          <w:tcPr>
            <w:tcW w:type="dxa" w:w="8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0.6891</w:t>
            </w:r>
          </w:p>
        </w:tc>
        <w:tc>
          <w:tcPr>
            <w:tcW w:type="dxa" w:w="35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words related to money or business transactions</w:t>
            </w:r>
          </w:p>
        </w:tc>
      </w:tr>
      <w:tr>
        <w:tc>
          <w:tcPr>
            <w:tcW w:type="dxa" w:w="4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1708475</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56/31</w:t>
            </w:r>
          </w:p>
        </w:tc>
        <w:tc>
          <w:tcPr>
            <w:tcW w:type="dxa" w:w="8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0.6072</w:t>
            </w:r>
          </w:p>
        </w:tc>
        <w:tc>
          <w:tcPr>
            <w:tcW w:type="dxa" w:w="35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scientific terms and experimental details (biological/chemical)</w:t>
            </w:r>
          </w:p>
        </w:tc>
      </w:tr>
      <w:tr>
        <w:tc>
          <w:tcPr>
            <w:tcW w:type="dxa" w:w="4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8</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3234687</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54/31</w:t>
            </w:r>
          </w:p>
        </w:tc>
        <w:tc>
          <w:tcPr>
            <w:tcW w:type="dxa" w:w="8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0.6286</w:t>
            </w:r>
          </w:p>
        </w:tc>
        <w:tc>
          <w:tcPr>
            <w:tcW w:type="dxa" w:w="35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words and phrases related to the meaning of words</w:t>
            </w:r>
          </w:p>
        </w:tc>
      </w:tr>
      <w:tr>
        <w:tc>
          <w:tcPr>
            <w:tcW w:type="dxa" w:w="4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84571514</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48/31</w:t>
            </w:r>
          </w:p>
        </w:tc>
        <w:tc>
          <w:tcPr>
            <w:tcW w:type="dxa" w:w="8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0.6134</w:t>
            </w:r>
          </w:p>
        </w:tc>
        <w:tc>
          <w:tcPr>
            <w:tcW w:type="dxa" w:w="35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parenthetical numerical references and citations</w:t>
            </w:r>
          </w:p>
        </w:tc>
      </w:tr>
    </w:tbl>
    <w:p>
      <w:pPr>
        <w:spacing w:after="240" w:before="0"/>
      </w:pPr>
      <w:r>
        <w:rPr>
          <w:rFonts w:ascii="Times New Roman" w:cs="Times New Roman" w:eastAsia="Times New Roman" w:hAnsi="Times New Roman"/>
          <w:sz w:val="22"/>
          <w:szCs w:val="22"/>
        </w:rPr>
        <w:t xml:space="preserve"> </w:t>
      </w:r>
    </w:p>
    <w:p>
      <w:pPr>
        <w:spacing w:after="60" w:before="160"/>
      </w:pPr>
      <w:r>
        <w:rPr>
          <w:rFonts w:ascii="Times New Roman" w:cs="Times New Roman" w:eastAsia="Times New Roman" w:hAnsi="Times New Roman"/>
          <w:b/>
          <w:bCs/>
          <w:i/>
          <w:iCs/>
          <w:color w:val="555555"/>
          <w:sz w:val="22"/>
          <w:szCs w:val="22"/>
        </w:rPr>
        <w:t xml:space="preserve">4.3.2  Definitional Template Circuit</w:t>
      </w:r>
    </w:p>
    <w:p>
      <w:pPr>
        <w:spacing w:after="120" w:before="0"/>
        <w:jc w:val="both"/>
      </w:pPr>
      <w:r>
        <w:rPr>
          <w:rFonts w:ascii="Times New Roman" w:cs="Times New Roman" w:eastAsia="Times New Roman" w:hAnsi="Times New Roman"/>
          <w:sz w:val="22"/>
          <w:szCs w:val="22"/>
        </w:rPr>
        <w:t xml:space="preserve">The highest-influence recurring feature is L0/F11637899 (‘the word “part” followed by prepositions,’ avg_inf=0.7089, 71/31 appearances). This feature fires on every prompt matching the template ‘The X of Y is…’ — the structure common to antonym (‘The opposite of hot is’), morphology (‘The plural of mouse is’), and definition (‘The fear of heights is called’) prompts alike. Its dominance reveals that the shared circuit is fundamentally a definitional-template circuit, not a specialised linguistic circuit.</w:t>
      </w:r>
    </w:p>
    <w:p>
      <w:pPr>
        <w:spacing w:after="120" w:before="0"/>
        <w:jc w:val="both"/>
      </w:pPr>
      <w:r>
        <w:rPr>
          <w:rFonts w:ascii="Times New Roman" w:cs="Times New Roman" w:eastAsia="Times New Roman" w:hAnsi="Times New Roman"/>
          <w:sz w:val="22"/>
          <w:szCs w:val="22"/>
        </w:rPr>
        <w:t xml:space="preserve">The semantically most interpretable recurring feature is L8/F3234687 (‘words and phrases related to the meaning of words,’ 54/31 graphs) — the sole metalinguistic feature in the top 15. Its layer-8 position (early/middle boundary) is consistent with it serving as the bridge between template recognition (L0–L7) and domain-specific linguistic computation (L9–L25).</w:t>
      </w:r>
    </w:p>
    <w:p>
      <w:pPr>
        <w:spacing w:after="120" w:before="0"/>
        <w:jc w:val="both"/>
      </w:pPr>
      <w:r>
        <w:rPr>
          <w:rFonts w:ascii="Times New Roman" w:cs="Times New Roman" w:eastAsia="Times New Roman" w:hAnsi="Times New Roman"/>
          <w:sz w:val="22"/>
          <w:szCs w:val="22"/>
        </w:rPr>
        <w:t xml:space="preserve">Neighbourhood analysis of L0/F18711902 (‘words related to money or business transactions’) reveals that its neighbourhood includes ‘words indicating disagreement or contradiction’ and ‘the word hot and heat associations’ — direct evidence of participation in the antonym-mapping sub-circuit, demonstrating that feature labels can be misleading about functional roles.</w:t>
      </w:r>
    </w:p>
    <w:p>
      <w:pPr>
        <w:spacing w:after="60" w:before="160"/>
      </w:pPr>
      <w:r>
        <w:rPr>
          <w:rFonts w:ascii="Times New Roman" w:cs="Times New Roman" w:eastAsia="Times New Roman" w:hAnsi="Times New Roman"/>
          <w:b/>
          <w:bCs/>
          <w:i/>
          <w:iCs/>
          <w:color w:val="555555"/>
          <w:sz w:val="22"/>
          <w:szCs w:val="22"/>
        </w:rPr>
        <w:t xml:space="preserve">4.3.3  Task-Specific Signatures</w:t>
      </w:r>
    </w:p>
    <w:p>
      <w:pPr>
        <w:spacing w:after="120" w:before="0"/>
        <w:jc w:val="both"/>
      </w:pPr>
      <w:r>
        <w:rPr>
          <w:rFonts w:ascii="Times New Roman" w:cs="Times New Roman" w:eastAsia="Times New Roman" w:hAnsi="Times New Roman"/>
          <w:sz w:val="22"/>
          <w:szCs w:val="22"/>
        </w:rPr>
        <w:t xml:space="preserve">Per-prompt analysis reveals distinct mid-to-late layer signatures for each sub-task:</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Antonyms: Middle layers (L4–L7) activate ‘words related to comparison, symmetry, or reversals’ features implementing a semantic reversal operator. Confidence scales with antonym uniqueness: dark/light (p=0.602) &gt; hot/cold (p=0.566) &gt; weak/strong (p=0.444) &gt; loud/quiet (p=0.386).</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Irregular morphology: Highest-confidence sub-task (tooth/teeth: p=0.811, foot/feet: p=0.780). Late-layer features show distinctive activation profiles for specific morphological patterns (umlaut plurals, strong verb past tenses), consistent with these forms being stored as whole-unit memorisations.</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Synonyms: Circuit fails to converge — predicted token is ‘:’ (colon) at p=0.092–0.101. Synonym tasks are genuinely underdetermined and in training data synonyms typically appear as ‘X: [synonym1], [synonym2],…’ rather than simple sentence completions.</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Derivational morphology: Variable performance (p=0.094–0.404). Noun derivation is more confident than adjective/adverb derivation; regular ‘-ly’ adverb derivation shows the lowest confidence, suggesting irregular high-frequency forms are more robustly encoded than regular rules.</w:t>
      </w:r>
    </w:p>
    <w:p>
      <w:pPr>
        <w:spacing w:after="120" w:before="0"/>
      </w:pPr>
      <w:r>
        <w:rPr>
          <w:rFonts w:ascii="Times New Roman" w:cs="Times New Roman" w:eastAsia="Times New Roman" w:hAnsi="Times New Roman"/>
          <w:sz w:val="22"/>
          <w:szCs w:val="22"/>
        </w:rPr>
        <w:t xml:space="preserve"> </w:t>
      </w:r>
    </w:p>
    <w:p>
      <w:pPr>
        <w:spacing w:after="80" w:before="200"/>
      </w:pPr>
      <w:r>
        <w:rPr>
          <w:rFonts w:ascii="Times New Roman" w:cs="Times New Roman" w:eastAsia="Times New Roman" w:hAnsi="Times New Roman"/>
          <w:b/>
          <w:bCs/>
          <w:color w:val="2E6DA4"/>
          <w:sz w:val="23"/>
          <w:szCs w:val="23"/>
        </w:rPr>
        <w:t xml:space="preserve">4.4  Cross-Domain Circuit Comparison</w:t>
      </w:r>
    </w:p>
    <w:p>
      <w:pPr>
        <w:spacing w:after="60" w:before="160"/>
      </w:pPr>
      <w:r>
        <w:rPr>
          <w:rFonts w:ascii="Times New Roman" w:cs="Times New Roman" w:eastAsia="Times New Roman" w:hAnsi="Times New Roman"/>
          <w:b/>
          <w:bCs/>
          <w:i/>
          <w:iCs/>
          <w:color w:val="555555"/>
          <w:sz w:val="22"/>
          <w:szCs w:val="22"/>
        </w:rPr>
        <w:t xml:space="preserve">4.4.1  Universal Features</w:t>
      </w:r>
    </w:p>
    <w:p>
      <w:pPr>
        <w:spacing w:after="120" w:before="0"/>
        <w:jc w:val="both"/>
      </w:pPr>
      <w:r>
        <w:rPr>
          <w:rFonts w:ascii="Times New Roman" w:cs="Times New Roman" w:eastAsia="Times New Roman" w:hAnsi="Times New Roman"/>
          <w:sz w:val="22"/>
          <w:szCs w:val="22"/>
        </w:rPr>
        <w:t xml:space="preserve">A striking finding across all three domains is the near-universal recurrence of a small set of features. Table 5 shows features appearing in the top 15 of all three circuit analyses.</w:t>
      </w:r>
    </w:p>
    <w:p>
      <w:pPr>
        <w:spacing w:after="120" w:before="0"/>
      </w:pPr>
      <w:r>
        <w:rPr>
          <w:rFonts w:ascii="Times New Roman" w:cs="Times New Roman" w:eastAsia="Times New Roman" w:hAnsi="Times New Roman"/>
          <w:sz w:val="22"/>
          <w:szCs w:val="22"/>
        </w:rPr>
        <w:t xml:space="preserve"> </w:t>
      </w:r>
    </w:p>
    <w:p>
      <w:pPr>
        <w:spacing w:after="160" w:before="40"/>
        <w:jc w:val="center"/>
      </w:pPr>
      <w:r>
        <w:rPr>
          <w:rFonts w:ascii="Times New Roman" w:cs="Times New Roman" w:eastAsia="Times New Roman" w:hAnsi="Times New Roman"/>
          <w:i/>
          <w:iCs/>
          <w:color w:val="555555"/>
          <w:sz w:val="20"/>
          <w:szCs w:val="20"/>
        </w:rPr>
        <w:t xml:space="preserve">Table 5: Features appearing in the top-15 recurring set of all three reasoning domains.</w:t>
      </w:r>
    </w:p>
    <w:tbl>
      <w:tblPr>
        <w:tblW w:type="dxa" w:w="6100"/>
        <w:tblBorders>
          <w:top w:val="single" w:color="auto" w:sz="4"/>
          <w:left w:val="single" w:color="auto" w:sz="4"/>
          <w:bottom w:val="single" w:color="auto" w:sz="4"/>
          <w:right w:val="single" w:color="auto" w:sz="4"/>
          <w:insideH w:val="single" w:color="auto" w:sz="4"/>
          <w:insideV w:val="single" w:color="auto" w:sz="4"/>
        </w:tblBorders>
      </w:tblPr>
      <w:tblGrid>
        <w:gridCol w:w="400"/>
        <w:gridCol w:w="700"/>
        <w:gridCol w:w="700"/>
        <w:gridCol w:w="600"/>
        <w:gridCol w:w="700"/>
        <w:gridCol w:w="3000"/>
      </w:tblGrid>
      <w:tr>
        <w:trPr>
          <w:tblHeader/>
        </w:trPr>
        <w:tc>
          <w:tcPr>
            <w:tcW w:type="dxa" w:w="400"/>
            <w:tcBorders>
              <w:top w:val="single" w:color="DDDDDD" w:sz="4"/>
              <w:left w:val="single" w:color="DDDDDD" w:sz="4"/>
              <w:bottom w:val="single" w:color="DDDDDD" w:sz="4"/>
              <w:right w:val="single" w:color="DDDDDD" w:sz="4"/>
            </w:tcBorders>
            <w:shd w:fill="1E3A5F"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Layer</w:t>
            </w:r>
          </w:p>
        </w:tc>
        <w:tc>
          <w:tcPr>
            <w:tcW w:type="dxa" w:w="700"/>
            <w:tcBorders>
              <w:top w:val="single" w:color="DDDDDD" w:sz="4"/>
              <w:left w:val="single" w:color="DDDDDD" w:sz="4"/>
              <w:bottom w:val="single" w:color="DDDDDD" w:sz="4"/>
              <w:right w:val="single" w:color="DDDDDD" w:sz="4"/>
            </w:tcBorders>
            <w:shd w:fill="1E3A5F"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Feature</w:t>
            </w:r>
          </w:p>
        </w:tc>
        <w:tc>
          <w:tcPr>
            <w:tcW w:type="dxa" w:w="700"/>
            <w:tcBorders>
              <w:top w:val="single" w:color="DDDDDD" w:sz="4"/>
              <w:left w:val="single" w:color="DDDDDD" w:sz="4"/>
              <w:bottom w:val="single" w:color="DDDDDD" w:sz="4"/>
              <w:right w:val="single" w:color="DDDDDD" w:sz="4"/>
            </w:tcBorders>
            <w:shd w:fill="1E3A5F"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Analogical</w:t>
            </w:r>
          </w:p>
        </w:tc>
        <w:tc>
          <w:tcPr>
            <w:tcW w:type="dxa" w:w="600"/>
            <w:tcBorders>
              <w:top w:val="single" w:color="DDDDDD" w:sz="4"/>
              <w:left w:val="single" w:color="DDDDDD" w:sz="4"/>
              <w:bottom w:val="single" w:color="DDDDDD" w:sz="4"/>
              <w:right w:val="single" w:color="DDDDDD" w:sz="4"/>
            </w:tcBorders>
            <w:shd w:fill="1E3A5F"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Factual</w:t>
            </w:r>
          </w:p>
        </w:tc>
        <w:tc>
          <w:tcPr>
            <w:tcW w:type="dxa" w:w="700"/>
            <w:tcBorders>
              <w:top w:val="single" w:color="DDDDDD" w:sz="4"/>
              <w:left w:val="single" w:color="DDDDDD" w:sz="4"/>
              <w:bottom w:val="single" w:color="DDDDDD" w:sz="4"/>
              <w:right w:val="single" w:color="DDDDDD" w:sz="4"/>
            </w:tcBorders>
            <w:shd w:fill="1E3A5F"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Linguistic</w:t>
            </w:r>
          </w:p>
        </w:tc>
        <w:tc>
          <w:tcPr>
            <w:tcW w:type="dxa" w:w="3000"/>
            <w:tcBorders>
              <w:top w:val="single" w:color="DDDDDD" w:sz="4"/>
              <w:left w:val="single" w:color="DDDDDD" w:sz="4"/>
              <w:bottom w:val="single" w:color="DDDDDD" w:sz="4"/>
              <w:right w:val="single" w:color="DDDDDD" w:sz="4"/>
            </w:tcBorders>
            <w:shd w:fill="1E3A5F"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Label</w:t>
            </w:r>
          </w:p>
        </w:tc>
      </w:tr>
      <w:tr>
        <w:tc>
          <w:tcPr>
            <w:tcW w:type="dxa" w:w="4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6</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2586668</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34/34</w:t>
            </w:r>
          </w:p>
        </w:tc>
        <w:tc>
          <w:tcPr>
            <w:tcW w:type="dxa" w:w="6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69/24</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113/31</w:t>
            </w:r>
          </w:p>
        </w:tc>
        <w:tc>
          <w:tcPr>
            <w:tcW w:type="dxa" w:w="30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words in programming code, legal jargon, scientific texts</w:t>
            </w:r>
          </w:p>
        </w:tc>
      </w:tr>
      <w:tr>
        <w:tc>
          <w:tcPr>
            <w:tcW w:type="dxa" w:w="4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3</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5150441</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34/34</w:t>
            </w:r>
          </w:p>
        </w:tc>
        <w:tc>
          <w:tcPr>
            <w:tcW w:type="dxa" w:w="6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61/24</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69/31</w:t>
            </w:r>
          </w:p>
        </w:tc>
        <w:tc>
          <w:tcPr>
            <w:tcW w:type="dxa" w:w="30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code snippets and documentation references</w:t>
            </w:r>
          </w:p>
        </w:tc>
      </w:tr>
      <w:tr>
        <w:tc>
          <w:tcPr>
            <w:tcW w:type="dxa" w:w="4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4</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110446948</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33/34</w:t>
            </w:r>
          </w:p>
        </w:tc>
        <w:tc>
          <w:tcPr>
            <w:tcW w:type="dxa" w:w="6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69/24</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59/31</w:t>
            </w:r>
          </w:p>
        </w:tc>
        <w:tc>
          <w:tcPr>
            <w:tcW w:type="dxa" w:w="30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code snippets and license agreements</w:t>
            </w:r>
          </w:p>
        </w:tc>
      </w:tr>
      <w:tr>
        <w:tc>
          <w:tcPr>
            <w:tcW w:type="dxa" w:w="4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7</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4828270</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30/34</w:t>
            </w:r>
          </w:p>
        </w:tc>
        <w:tc>
          <w:tcPr>
            <w:tcW w:type="dxa" w:w="6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45/24</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65/31</w:t>
            </w:r>
          </w:p>
        </w:tc>
        <w:tc>
          <w:tcPr>
            <w:tcW w:type="dxa" w:w="30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reference codes, abbreviations, identifiers</w:t>
            </w:r>
          </w:p>
        </w:tc>
      </w:tr>
      <w:tr>
        <w:tc>
          <w:tcPr>
            <w:tcW w:type="dxa" w:w="4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2239785</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25/34</w:t>
            </w:r>
          </w:p>
        </w:tc>
        <w:tc>
          <w:tcPr>
            <w:tcW w:type="dxa" w:w="6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49/24</w:t>
            </w:r>
          </w:p>
        </w:tc>
        <w:tc>
          <w:tcPr>
            <w:tcW w:type="dxa" w:w="7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68/31</w:t>
            </w:r>
          </w:p>
        </w:tc>
        <w:tc>
          <w:tcPr>
            <w:tcW w:type="dxa" w:w="30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data as percentage in brackets; country recognition</w:t>
            </w:r>
          </w:p>
        </w:tc>
      </w:tr>
      <w:tr>
        <w:tc>
          <w:tcPr>
            <w:tcW w:type="dxa" w:w="4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0</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1708475</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26/34</w:t>
            </w:r>
          </w:p>
        </w:tc>
        <w:tc>
          <w:tcPr>
            <w:tcW w:type="dxa" w:w="6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53/24</w:t>
            </w:r>
          </w:p>
        </w:tc>
        <w:tc>
          <w:tcPr>
            <w:tcW w:type="dxa" w:w="7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56/31</w:t>
            </w:r>
          </w:p>
        </w:tc>
        <w:tc>
          <w:tcPr>
            <w:tcW w:type="dxa" w:w="30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scientific terms (biological/chemical research)</w:t>
            </w:r>
          </w:p>
        </w:tc>
      </w:tr>
    </w:tbl>
    <w:p>
      <w:pPr>
        <w:spacing w:after="240" w:before="0"/>
      </w:pPr>
      <w:r>
        <w:rPr>
          <w:rFonts w:ascii="Times New Roman" w:cs="Times New Roman" w:eastAsia="Times New Roman" w:hAnsi="Times New Roman"/>
          <w:sz w:val="22"/>
          <w:szCs w:val="22"/>
        </w:rPr>
        <w:t xml:space="preserve"> </w:t>
      </w:r>
    </w:p>
    <w:p>
      <w:pPr>
        <w:spacing w:after="120" w:before="0"/>
        <w:jc w:val="both"/>
      </w:pPr>
      <w:r>
        <w:rPr>
          <w:rFonts w:ascii="Times New Roman" w:cs="Times New Roman" w:eastAsia="Times New Roman" w:hAnsi="Times New Roman"/>
          <w:sz w:val="22"/>
          <w:szCs w:val="22"/>
        </w:rPr>
        <w:t xml:space="preserve">The most universal feature is L6/F2586668 (‘words in programming code, legal jargon, or scientific texts’), which appears in 34/34 analogical graphs, 69/24 token-occurrences in factual graphs, and 113/31 in linguistic graphs. This feature fires on formal register text — the surface form shared by all three prompt types. Its universality suggests it serves as the primary detector for the ‘reference-document template’ pattern that biases the model toward encyclopedic completions across all reasoning domains.</w:t>
      </w:r>
    </w:p>
    <w:p>
      <w:pPr>
        <w:spacing w:after="60" w:before="160"/>
      </w:pPr>
      <w:r>
        <w:rPr>
          <w:rFonts w:ascii="Times New Roman" w:cs="Times New Roman" w:eastAsia="Times New Roman" w:hAnsi="Times New Roman"/>
          <w:b/>
          <w:bCs/>
          <w:i/>
          <w:iCs/>
          <w:color w:val="555555"/>
          <w:sz w:val="22"/>
          <w:szCs w:val="22"/>
        </w:rPr>
        <w:t xml:space="preserve">4.4.2  Domain-Specific Differentiators</w:t>
      </w:r>
    </w:p>
    <w:p>
      <w:pPr>
        <w:spacing w:after="120" w:before="0"/>
        <w:jc w:val="both"/>
      </w:pPr>
      <w:r>
        <w:rPr>
          <w:rFonts w:ascii="Times New Roman" w:cs="Times New Roman" w:eastAsia="Times New Roman" w:hAnsi="Times New Roman"/>
          <w:sz w:val="22"/>
          <w:szCs w:val="22"/>
        </w:rPr>
        <w:t xml:space="preserve">Each domain has features that are present in its circuit but absent from the others:</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Analogical: L8/F94882191 (‘analogies or comparisons,’ 32/34 analogical graphs) and L5/F16817094 (‘analogies,’ 24/34) are specific to the analogical circuit and absent from factual and linguistic recurring sets. These are the mechanistic signature of the relational mapping stage.</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Factual: The three highest-influence features in the factual circuit (L0/F18693554, L0/F12880349, L0/F24106095) are absent from the analogical and linguistic top-15 lists. These surface-form features fire specifically on encyclopedic quantitative and morphological markers, differentiating factual queries from relational or definitional templates.</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Linguistic: L8/F3234687 (‘words and phrases related to the meaning of words’) and L4/F50205205 (‘words associated with etymology or definition of a word’) are specific to the linguistic circuit, encoding metalinguistic and definitional semantics absent from the analogical and factual recurring sets.</w:t>
      </w:r>
    </w:p>
    <w:p>
      <w:pPr>
        <w:spacing w:after="120" w:before="0"/>
      </w:pPr>
      <w:r>
        <w:rPr>
          <w:rFonts w:ascii="Times New Roman" w:cs="Times New Roman" w:eastAsia="Times New Roman" w:hAnsi="Times New Roman"/>
          <w:sz w:val="22"/>
          <w:szCs w:val="22"/>
        </w:rPr>
        <w:t xml:space="preserve"> </w:t>
      </w:r>
    </w:p>
    <w:p>
      <w:pPr>
        <w:spacing w:after="60" w:before="160"/>
      </w:pPr>
      <w:r>
        <w:rPr>
          <w:rFonts w:ascii="Times New Roman" w:cs="Times New Roman" w:eastAsia="Times New Roman" w:hAnsi="Times New Roman"/>
          <w:b/>
          <w:bCs/>
          <w:i/>
          <w:iCs/>
          <w:color w:val="555555"/>
          <w:sz w:val="22"/>
          <w:szCs w:val="22"/>
        </w:rPr>
        <w:t xml:space="preserve">4.4.3  Confidence Distribution Comparison</w:t>
      </w:r>
    </w:p>
    <w:p>
      <w:pPr>
        <w:spacing w:after="120" w:before="0"/>
        <w:jc w:val="both"/>
      </w:pPr>
      <w:r>
        <w:rPr>
          <w:rFonts w:ascii="Times New Roman" w:cs="Times New Roman" w:eastAsia="Times New Roman" w:hAnsi="Times New Roman"/>
          <w:sz w:val="22"/>
          <w:szCs w:val="22"/>
        </w:rPr>
        <w:t xml:space="preserve">Table 6 summarises mean prediction confidence across domains. Irregular morphology achieves the highest confidence (mean p=0.776), reflecting strong memorisation of irregular forms. Capital-city analogies reach 97.3% but the analogical domain has the highest variance due to sub-domain diversity. Factual recall and antonym tasks are intermediate. Synonym and cause-effect tasks show the lowest confidence, reflecting genuine semantic underdetermination.</w:t>
      </w:r>
    </w:p>
    <w:p>
      <w:pPr>
        <w:spacing w:after="120" w:before="0"/>
      </w:pPr>
      <w:r>
        <w:rPr>
          <w:rFonts w:ascii="Times New Roman" w:cs="Times New Roman" w:eastAsia="Times New Roman" w:hAnsi="Times New Roman"/>
          <w:sz w:val="22"/>
          <w:szCs w:val="22"/>
        </w:rPr>
        <w:t xml:space="preserve"> </w:t>
      </w:r>
    </w:p>
    <w:p>
      <w:pPr>
        <w:spacing w:after="160" w:before="40"/>
        <w:jc w:val="center"/>
      </w:pPr>
      <w:r>
        <w:rPr>
          <w:rFonts w:ascii="Times New Roman" w:cs="Times New Roman" w:eastAsia="Times New Roman" w:hAnsi="Times New Roman"/>
          <w:i/>
          <w:iCs/>
          <w:color w:val="555555"/>
          <w:sz w:val="20"/>
          <w:szCs w:val="20"/>
        </w:rPr>
        <w:t xml:space="preserve">Table 6: Prediction confidence by domain and sub-domain (mean token probability).</w:t>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200"/>
        <w:gridCol w:w="1800"/>
      </w:tblGrid>
      <w:tr>
        <w:trPr>
          <w:tblHeader/>
        </w:trPr>
        <w:tc>
          <w:tcPr>
            <w:tcW w:type="dxa" w:w="1500"/>
            <w:tcBorders>
              <w:top w:val="single" w:color="DDDDDD" w:sz="4"/>
              <w:left w:val="single" w:color="DDDDDD" w:sz="4"/>
              <w:bottom w:val="single" w:color="DDDDDD" w:sz="4"/>
              <w:right w:val="single" w:color="DDDDDD" w:sz="4"/>
            </w:tcBorders>
            <w:shd w:fill="1E3A5F"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Domain</w:t>
            </w:r>
          </w:p>
        </w:tc>
        <w:tc>
          <w:tcPr>
            <w:tcW w:type="dxa" w:w="1800"/>
            <w:tcBorders>
              <w:top w:val="single" w:color="DDDDDD" w:sz="4"/>
              <w:left w:val="single" w:color="DDDDDD" w:sz="4"/>
              <w:bottom w:val="single" w:color="DDDDDD" w:sz="4"/>
              <w:right w:val="single" w:color="DDDDDD" w:sz="4"/>
            </w:tcBorders>
            <w:shd w:fill="1E3A5F"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Sub-domain</w:t>
            </w:r>
          </w:p>
        </w:tc>
        <w:tc>
          <w:tcPr>
            <w:tcW w:type="dxa" w:w="1200"/>
            <w:tcBorders>
              <w:top w:val="single" w:color="DDDDDD" w:sz="4"/>
              <w:left w:val="single" w:color="DDDDDD" w:sz="4"/>
              <w:bottom w:val="single" w:color="DDDDDD" w:sz="4"/>
              <w:right w:val="single" w:color="DDDDDD" w:sz="4"/>
            </w:tcBorders>
            <w:shd w:fill="1E3A5F"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Mean Confidence</w:t>
            </w:r>
          </w:p>
        </w:tc>
        <w:tc>
          <w:tcPr>
            <w:tcW w:type="dxa" w:w="1800"/>
            <w:tcBorders>
              <w:top w:val="single" w:color="DDDDDD" w:sz="4"/>
              <w:left w:val="single" w:color="DDDDDD" w:sz="4"/>
              <w:bottom w:val="single" w:color="DDDDDD" w:sz="4"/>
              <w:right w:val="single" w:color="DDDDDD" w:sz="4"/>
            </w:tcBorders>
            <w:shd w:fill="1E3A5F"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18"/>
                <w:szCs w:val="18"/>
              </w:rPr>
              <w:t xml:space="preserve">Range</w:t>
            </w:r>
          </w:p>
        </w:tc>
      </w:tr>
      <w:tr>
        <w:tc>
          <w:tcPr>
            <w:tcW w:type="dxa" w:w="15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Analogical</w:t>
            </w:r>
          </w:p>
        </w:tc>
        <w:tc>
          <w:tcPr>
            <w:tcW w:type="dxa" w:w="18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Capital cities</w:t>
            </w:r>
          </w:p>
        </w:tc>
        <w:tc>
          <w:tcPr>
            <w:tcW w:type="dxa" w:w="12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97.3%</w:t>
            </w:r>
          </w:p>
        </w:tc>
        <w:tc>
          <w:tcPr>
            <w:tcW w:type="dxa" w:w="18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95.1– 99.2%</w:t>
            </w:r>
          </w:p>
        </w:tc>
      </w:tr>
      <w:tr>
        <w:tc>
          <w:tcPr>
            <w:tcW w:type="dxa" w:w="15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Analogical</w:t>
            </w:r>
          </w:p>
        </w:tc>
        <w:tc>
          <w:tcPr>
            <w:tcW w:type="dxa" w:w="18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Juvenile-adult animals</w:t>
            </w:r>
          </w:p>
        </w:tc>
        <w:tc>
          <w:tcPr>
            <w:tcW w:type="dxa" w:w="12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75.6%</w:t>
            </w:r>
          </w:p>
        </w:tc>
        <w:tc>
          <w:tcPr>
            <w:tcW w:type="dxa" w:w="18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71.0– 80.2%</w:t>
            </w:r>
          </w:p>
        </w:tc>
      </w:tr>
      <w:tr>
        <w:tc>
          <w:tcPr>
            <w:tcW w:type="dxa" w:w="15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Analogical</w:t>
            </w:r>
          </w:p>
        </w:tc>
        <w:tc>
          <w:tcPr>
            <w:tcW w:type="dxa" w:w="18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Tool-function</w:t>
            </w:r>
          </w:p>
        </w:tc>
        <w:tc>
          <w:tcPr>
            <w:tcW w:type="dxa" w:w="12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50.2%</w:t>
            </w:r>
          </w:p>
        </w:tc>
        <w:tc>
          <w:tcPr>
            <w:tcW w:type="dxa" w:w="18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18.2– 88.8%</w:t>
            </w:r>
          </w:p>
        </w:tc>
      </w:tr>
      <w:tr>
        <w:tc>
          <w:tcPr>
            <w:tcW w:type="dxa" w:w="15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Analogical</w:t>
            </w:r>
          </w:p>
        </w:tc>
        <w:tc>
          <w:tcPr>
            <w:tcW w:type="dxa" w:w="18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Cause-effect</w:t>
            </w:r>
          </w:p>
        </w:tc>
        <w:tc>
          <w:tcPr>
            <w:tcW w:type="dxa" w:w="12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7.5%</w:t>
            </w:r>
          </w:p>
        </w:tc>
        <w:tc>
          <w:tcPr>
            <w:tcW w:type="dxa" w:w="18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5.1– 9.9%</w:t>
            </w:r>
          </w:p>
        </w:tc>
      </w:tr>
      <w:tr>
        <w:tc>
          <w:tcPr>
            <w:tcW w:type="dxa" w:w="15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Factual</w:t>
            </w:r>
          </w:p>
        </w:tc>
        <w:tc>
          <w:tcPr>
            <w:tcW w:type="dxa" w:w="18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Geography / Capitals</w:t>
            </w:r>
          </w:p>
        </w:tc>
        <w:tc>
          <w:tcPr>
            <w:tcW w:type="dxa" w:w="12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62.4%</w:t>
            </w:r>
          </w:p>
        </w:tc>
        <w:tc>
          <w:tcPr>
            <w:tcW w:type="dxa" w:w="18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17.3– 98.1%</w:t>
            </w:r>
          </w:p>
        </w:tc>
      </w:tr>
      <w:tr>
        <w:tc>
          <w:tcPr>
            <w:tcW w:type="dxa" w:w="15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Factual</w:t>
            </w:r>
          </w:p>
        </w:tc>
        <w:tc>
          <w:tcPr>
            <w:tcW w:type="dxa" w:w="18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Biology</w:t>
            </w:r>
          </w:p>
        </w:tc>
        <w:tc>
          <w:tcPr>
            <w:tcW w:type="dxa" w:w="12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28.1%</w:t>
            </w:r>
          </w:p>
        </w:tc>
        <w:tc>
          <w:tcPr>
            <w:tcW w:type="dxa" w:w="18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10.3– 51.6%</w:t>
            </w:r>
          </w:p>
        </w:tc>
      </w:tr>
      <w:tr>
        <w:tc>
          <w:tcPr>
            <w:tcW w:type="dxa" w:w="15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Factual</w:t>
            </w:r>
          </w:p>
        </w:tc>
        <w:tc>
          <w:tcPr>
            <w:tcW w:type="dxa" w:w="18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History</w:t>
            </w:r>
          </w:p>
        </w:tc>
        <w:tc>
          <w:tcPr>
            <w:tcW w:type="dxa" w:w="12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31.4%</w:t>
            </w:r>
          </w:p>
        </w:tc>
        <w:tc>
          <w:tcPr>
            <w:tcW w:type="dxa" w:w="18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19.3– 55.2%</w:t>
            </w:r>
          </w:p>
        </w:tc>
      </w:tr>
      <w:tr>
        <w:tc>
          <w:tcPr>
            <w:tcW w:type="dxa" w:w="15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Linguistic</w:t>
            </w:r>
          </w:p>
        </w:tc>
        <w:tc>
          <w:tcPr>
            <w:tcW w:type="dxa" w:w="18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Irregular morphology</w:t>
            </w:r>
          </w:p>
        </w:tc>
        <w:tc>
          <w:tcPr>
            <w:tcW w:type="dxa" w:w="12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77.6%</w:t>
            </w:r>
          </w:p>
        </w:tc>
        <w:tc>
          <w:tcPr>
            <w:tcW w:type="dxa" w:w="18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66.4– 81.1%</w:t>
            </w:r>
          </w:p>
        </w:tc>
      </w:tr>
      <w:tr>
        <w:tc>
          <w:tcPr>
            <w:tcW w:type="dxa" w:w="15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Linguistic</w:t>
            </w:r>
          </w:p>
        </w:tc>
        <w:tc>
          <w:tcPr>
            <w:tcW w:type="dxa" w:w="18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Antonyms</w:t>
            </w:r>
          </w:p>
        </w:tc>
        <w:tc>
          <w:tcPr>
            <w:tcW w:type="dxa" w:w="12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49.6%</w:t>
            </w:r>
          </w:p>
        </w:tc>
        <w:tc>
          <w:tcPr>
            <w:tcW w:type="dxa" w:w="1800"/>
            <w:tcBorders>
              <w:top w:val="single" w:color="DDDDDD" w:sz="4"/>
              <w:left w:val="single" w:color="DDDDDD" w:sz="4"/>
              <w:bottom w:val="single" w:color="DDDDDD" w:sz="4"/>
              <w:right w:val="single" w:color="DDDDDD" w:sz="4"/>
            </w:tcBorders>
            <w:shd w:fill="FFFFFF"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38.6– 60.2%</w:t>
            </w:r>
          </w:p>
        </w:tc>
      </w:tr>
      <w:tr>
        <w:tc>
          <w:tcPr>
            <w:tcW w:type="dxa" w:w="15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Linguistic</w:t>
            </w:r>
          </w:p>
        </w:tc>
        <w:tc>
          <w:tcPr>
            <w:tcW w:type="dxa" w:w="18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Synonyms</w:t>
            </w:r>
          </w:p>
        </w:tc>
        <w:tc>
          <w:tcPr>
            <w:tcW w:type="dxa" w:w="12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9.7%</w:t>
            </w:r>
          </w:p>
        </w:tc>
        <w:tc>
          <w:tcPr>
            <w:tcW w:type="dxa" w:w="1800"/>
            <w:tcBorders>
              <w:top w:val="single" w:color="DDDDDD" w:sz="4"/>
              <w:left w:val="single" w:color="DDDDDD" w:sz="4"/>
              <w:bottom w:val="single" w:color="DDDDDD" w:sz="4"/>
              <w:right w:val="single" w:color="DDDDDD" w:sz="4"/>
            </w:tcBorders>
            <w:shd w:fill="F5F7FA" w:val="clear"/>
            <w:tcMar>
              <w:top w:type="dxa" w:w="50"/>
              <w:left w:type="dxa" w:w="100"/>
              <w:bottom w:type="dxa" w:w="50"/>
              <w:right w:type="dxa" w:w="100"/>
            </w:tcMar>
          </w:tcPr>
          <w:p>
            <w:pPr>
              <w:jc w:val="left"/>
            </w:pPr>
            <w:r>
              <w:rPr>
                <w:rFonts w:ascii="Times New Roman" w:cs="Times New Roman" w:eastAsia="Times New Roman" w:hAnsi="Times New Roman"/>
                <w:sz w:val="18"/>
                <w:szCs w:val="18"/>
              </w:rPr>
              <w:t xml:space="preserve">9.2– 10.1%</w:t>
            </w:r>
          </w:p>
        </w:tc>
      </w:tr>
    </w:tbl>
    <w:p>
      <w:pPr>
        <w:spacing w:after="240" w:before="0"/>
      </w:pPr>
      <w:r>
        <w:rPr>
          <w:rFonts w:ascii="Times New Roman" w:cs="Times New Roman" w:eastAsia="Times New Roman" w:hAnsi="Times New Roman"/>
          <w:sz w:val="22"/>
          <w:szCs w:val="22"/>
        </w:rPr>
        <w:t xml:space="preserve"> </w:t>
      </w:r>
    </w:p>
    <w:p>
      <w:pPr>
        <w:pStyle w:val="Heading1"/>
      </w:pPr>
      <w:r>
        <w:rPr>
          <w:rFonts w:ascii="Arial" w:cs="Arial" w:eastAsia="Arial" w:hAnsi="Arial"/>
          <w:b/>
          <w:bCs/>
          <w:color w:val="1E3A5F"/>
          <w:sz w:val="30"/>
          <w:szCs w:val="30"/>
        </w:rPr>
        <w:t xml:space="preserve">5  Discussion</w:t>
      </w:r>
    </w:p>
    <w:p>
      <w:pPr>
        <w:spacing w:after="80" w:before="200"/>
      </w:pPr>
      <w:r>
        <w:rPr>
          <w:rFonts w:ascii="Times New Roman" w:cs="Times New Roman" w:eastAsia="Times New Roman" w:hAnsi="Times New Roman"/>
          <w:b/>
          <w:bCs/>
          <w:color w:val="2E6DA4"/>
          <w:sz w:val="23"/>
          <w:szCs w:val="23"/>
        </w:rPr>
        <w:t xml:space="preserve">5.1  The Universal Definitional-Template Circuit</w:t>
      </w:r>
    </w:p>
    <w:p>
      <w:pPr>
        <w:spacing w:after="120" w:before="0"/>
        <w:jc w:val="both"/>
      </w:pPr>
      <w:r>
        <w:rPr>
          <w:rFonts w:ascii="Times New Roman" w:cs="Times New Roman" w:eastAsia="Times New Roman" w:hAnsi="Times New Roman"/>
          <w:sz w:val="22"/>
          <w:szCs w:val="22"/>
        </w:rPr>
        <w:t xml:space="preserve">The most significant finding of this study is the existence of a conserved early-layer circuit shared across all three reasoning domains. This circuit, dominated by formal-register and code/documentation features, fires on the surface structure of the prompt template rather than on its semantic content. Its universality suggests that Gemma-2-2B’s handling of diverse reasoning tasks is not organised around semantic task types (relational reasoning, knowledge retrieval, linguistic processing) but around a common structural template pattern that characterises how information is presented in reference documents.</w:t>
      </w:r>
    </w:p>
    <w:p>
      <w:pPr>
        <w:spacing w:after="120" w:before="0"/>
        <w:jc w:val="both"/>
      </w:pPr>
      <w:r>
        <w:rPr>
          <w:rFonts w:ascii="Times New Roman" w:cs="Times New Roman" w:eastAsia="Times New Roman" w:hAnsi="Times New Roman"/>
          <w:sz w:val="22"/>
          <w:szCs w:val="22"/>
        </w:rPr>
        <w:t xml:space="preserve">This is interpretable as a consequence of training data composition. Prompts of the form ‘A is to B as C is to’, ‘The capital of X is’, and ‘The plural of Y is’ all appear in technically structured text — educational documents, Wikipedia articles, programming documentation, legal references. The model has learned to detect this structural pattern via the same feature cluster, then route to domain-specific knowledge via mid-to-late layer specialists. This ‘template-first, knowledge-second’ architecture is consistent with observations about retrieval heuristics in smaller LLMs (Geva et al., 2021; Meng et al., 2022).</w:t>
      </w:r>
    </w:p>
    <w:p>
      <w:pPr>
        <w:spacing w:after="80" w:before="200"/>
      </w:pPr>
      <w:r>
        <w:rPr>
          <w:rFonts w:ascii="Times New Roman" w:cs="Times New Roman" w:eastAsia="Times New Roman" w:hAnsi="Times New Roman"/>
          <w:b/>
          <w:bCs/>
          <w:color w:val="2E6DA4"/>
          <w:sz w:val="23"/>
          <w:szCs w:val="23"/>
        </w:rPr>
        <w:t xml:space="preserve">5.2  Implications for Circuit Universality</w:t>
      </w:r>
    </w:p>
    <w:p>
      <w:pPr>
        <w:spacing w:after="120" w:before="0"/>
        <w:jc w:val="both"/>
      </w:pPr>
      <w:r>
        <w:rPr>
          <w:rFonts w:ascii="Times New Roman" w:cs="Times New Roman" w:eastAsia="Times New Roman" w:hAnsi="Times New Roman"/>
          <w:sz w:val="22"/>
          <w:szCs w:val="22"/>
        </w:rPr>
        <w:t xml:space="preserve">The finding that a small set of early-layer features dominates all three circuits has important implications for circuit universality research. If reasoning circuits are largely composed of shared early-layer template detectors plus domain-specific mid-to-late layer specialists, then the number of truly unique circuit components may be much smaller than the number of distinct behaviors. This suggests a modular circuit architecture where a shared ‘front-end’ handles query classification and a set of domain-specific ‘back-ends’ handle knowledge retrieval and computation.</w:t>
      </w:r>
    </w:p>
    <w:p>
      <w:pPr>
        <w:spacing w:after="80" w:before="200"/>
      </w:pPr>
      <w:r>
        <w:rPr>
          <w:rFonts w:ascii="Times New Roman" w:cs="Times New Roman" w:eastAsia="Times New Roman" w:hAnsi="Times New Roman"/>
          <w:b/>
          <w:bCs/>
          <w:color w:val="2E6DA4"/>
          <w:sz w:val="23"/>
          <w:szCs w:val="23"/>
        </w:rPr>
        <w:t xml:space="preserve">5.3  Confidence as a Circuit Convergence Proxy</w:t>
      </w:r>
    </w:p>
    <w:p>
      <w:pPr>
        <w:spacing w:after="120" w:before="0"/>
        <w:jc w:val="both"/>
      </w:pPr>
      <w:r>
        <w:rPr>
          <w:rFonts w:ascii="Times New Roman" w:cs="Times New Roman" w:eastAsia="Times New Roman" w:hAnsi="Times New Roman"/>
          <w:sz w:val="22"/>
          <w:szCs w:val="22"/>
        </w:rPr>
        <w:t xml:space="preserve">A consistent finding across all three domains is that token prediction confidence correlates with circuit convergence quality: high-confidence predictions correspond to sparse, high-amplitude late-layer activations; low-confidence predictions show scattered late-layer patterns with multiple competing features. This suggests that confidence can serve as an automated proxy for circuit convergence quality in large-scale automated analysis, allowing the pipeline to identify prompts where the circuit has found a clear answer (high confidence) versus prompts where it is genuinely underdetermined (low confidence).</w:t>
      </w:r>
    </w:p>
    <w:p>
      <w:pPr>
        <w:spacing w:after="80" w:before="200"/>
      </w:pPr>
      <w:r>
        <w:rPr>
          <w:rFonts w:ascii="Times New Roman" w:cs="Times New Roman" w:eastAsia="Times New Roman" w:hAnsi="Times New Roman"/>
          <w:b/>
          <w:bCs/>
          <w:color w:val="2E6DA4"/>
          <w:sz w:val="23"/>
          <w:szCs w:val="23"/>
        </w:rPr>
        <w:t xml:space="preserve">5.4  Feature Label Quality and Reinterpretation</w:t>
      </w:r>
    </w:p>
    <w:p>
      <w:pPr>
        <w:spacing w:after="120" w:before="0"/>
        <w:jc w:val="both"/>
      </w:pPr>
      <w:r>
        <w:rPr>
          <w:rFonts w:ascii="Times New Roman" w:cs="Times New Roman" w:eastAsia="Times New Roman" w:hAnsi="Times New Roman"/>
          <w:sz w:val="22"/>
          <w:szCs w:val="22"/>
        </w:rPr>
        <w:t xml:space="preserve">A recurring methodological challenge is the quality of Neuronpedia feature labels. Several features received labels that reflect their most common activation context in training data rather than their functional role in the circuit. For example, L6/F2586668 is labelled ‘words in programming code’ but functions as a formal-register detector; L0/F18711902 is labelled ‘money and business transactions’ but participates in the antonym-mapping circuit. These mismatches highlight the importance of contextual circuit analysis — examining which circuit-level neighbourhood a feature occupies — rather than taking label descriptions at face value.</w:t>
      </w:r>
    </w:p>
    <w:p>
      <w:pPr>
        <w:spacing w:after="120" w:before="0"/>
      </w:pPr>
      <w:r>
        <w:rPr>
          <w:rFonts w:ascii="Times New Roman" w:cs="Times New Roman" w:eastAsia="Times New Roman" w:hAnsi="Times New Roman"/>
          <w:sz w:val="22"/>
          <w:szCs w:val="22"/>
        </w:rPr>
        <w:t xml:space="preserve"> </w:t>
      </w:r>
    </w:p>
    <w:p>
      <w:pPr>
        <w:pStyle w:val="Heading1"/>
      </w:pPr>
      <w:r>
        <w:rPr>
          <w:rFonts w:ascii="Arial" w:cs="Arial" w:eastAsia="Arial" w:hAnsi="Arial"/>
          <w:b/>
          <w:bCs/>
          <w:color w:val="1E3A5F"/>
          <w:sz w:val="30"/>
          <w:szCs w:val="30"/>
        </w:rPr>
        <w:t xml:space="preserve">6  Limitations</w:t>
      </w:r>
    </w:p>
    <w:p>
      <w:pPr>
        <w:spacing w:after="120" w:before="0"/>
        <w:jc w:val="both"/>
      </w:pPr>
      <w:r>
        <w:rPr>
          <w:rFonts w:ascii="Times New Roman" w:cs="Times New Roman" w:eastAsia="Times New Roman" w:hAnsi="Times New Roman"/>
          <w:sz w:val="22"/>
          <w:szCs w:val="22"/>
        </w:rPr>
        <w:t xml:space="preserve">This study has several important limitations that should be considered when interpreting its findings:</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No causal steering validation. The Neuronpedia steer endpoint for Gemma-2-2B was unavailable (HTTP 500) throughout the analysis period. All causal claims rest on attribution graph influence scores, which measure correlation of feature activity with the predicted logit, not direct causal intervention. The three-stage circuit architecture hypotheses are structurally motivated but not causally confirmed. Future work must repeat this analysis with steering validation once the endpoint becomes available.</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Incomplete dataset coverage. API rate limiting (30 requests/60 minutes) prevented complete coverage of all prompt categories. 22 of 111 target prompts were not analysed (7 analogical, 13 factual, 2 linguistic). The unanalysed prompts are not randomly distributed — they are systematically the last in the generation queue — introducing potential sampling bias in the cross-graph analysis.</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Single model. All results are specific to Gemma-2-2B with the gemmascope-transcoder-16k SAE. Generalisation to other models (GPT-2, Llama, Gemma-2-9B) or to larger Gemma variants is not established. The circuit structures identified here may or may not hold at different parameter scales.</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Linear attribution approximation. Attribution graphs decompose computation into transcoder features that linearly approximate the residual stream. Non-linear interactions between features, attention head contributions at the sub-feature level, and MLP non-linearities are not captured. The circuits described here are linear attribution approximations to the true computation.</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Per-prompt feature labelling unavailable. A bug in the built-in label_node function (incorrect SAE ID format causing HTTP 500 errors) prevented automated labelling of per-prompt circuit features. Per-prompt walkthroughs rely on layer distribution and activation statistics rather than semantic feature descriptions. The top-15 cross-graph features were labelled using a corrected endpoint.</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Feature label quality. Neuronpedia feature labels are generated by automated interpretation pipelines and reflect the most common activation context rather than the functional circuit role. Several labels appear to reflect training-data artefacts (code-heavy corpus) rather than the semantic content the feature encodes in the reasoning circuits studied here.</w:t>
      </w:r>
    </w:p>
    <w:p>
      <w:pPr>
        <w:spacing w:after="120" w:before="0"/>
      </w:pPr>
      <w:r>
        <w:rPr>
          <w:rFonts w:ascii="Times New Roman" w:cs="Times New Roman" w:eastAsia="Times New Roman" w:hAnsi="Times New Roman"/>
          <w:sz w:val="22"/>
          <w:szCs w:val="22"/>
        </w:rPr>
        <w:t xml:space="preserve"> </w:t>
      </w:r>
    </w:p>
    <w:p>
      <w:pPr>
        <w:pStyle w:val="Heading1"/>
      </w:pPr>
      <w:r>
        <w:rPr>
          <w:rFonts w:ascii="Arial" w:cs="Arial" w:eastAsia="Arial" w:hAnsi="Arial"/>
          <w:b/>
          <w:bCs/>
          <w:color w:val="1E3A5F"/>
          <w:sz w:val="30"/>
          <w:szCs w:val="30"/>
        </w:rPr>
        <w:t xml:space="preserve">7  Conclusion</w:t>
      </w:r>
    </w:p>
    <w:p>
      <w:pPr>
        <w:spacing w:after="120" w:before="0"/>
        <w:jc w:val="both"/>
      </w:pPr>
      <w:r>
        <w:rPr>
          <w:rFonts w:ascii="Times New Roman" w:cs="Times New Roman" w:eastAsia="Times New Roman" w:hAnsi="Times New Roman"/>
          <w:sz w:val="22"/>
          <w:szCs w:val="22"/>
        </w:rPr>
        <w:t xml:space="preserve">We have presented AutoCircuit, a pipeline for automated mechanistic circuit discovery in LLMs, and applied it to Gemma-2-2B across analogical reasoning, factual recall, and linguistic reasoning. Our analysis of 89 attribution graphs across three domains reveals:</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A conserved early-layer definitional-template circuit, shared across all three domains, dominated by formal-register and code/documentation features (especially L6/F2586668, universal across all three domains). This circuit reflects how information is structured in reference documents in training data rather than encoding semantic task-specific knowledge.</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A three-stage circuit architecture — template detection (L0–L7), domain-specific relational mapping (L8–L17), and answer selection (L18–L25) — consistent across all three task types, suggesting a modular front-end/back-end organisation.</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Domain-specific mid-layer differentiators: analogical reasoning uses a relational-frame module (L8/F94882191 ‘analogies or comparisons’); factual recall uses surface-form encyclopedic cues for register detection; linguistic reasoning uses metalinguistic operators (L8/F3234687 ‘meaning of words’).</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Token confidence as a proxy for circuit convergence quality: high confidence indicates sparse, convergent late-layer activation; low confidence indicates scattered competition among multiple valid completions.</w:t>
      </w:r>
    </w:p>
    <w:p>
      <w:pPr>
        <w:pStyle w:val="ListParagraph"/>
        <w:numPr>
          <w:ilvl w:val="0"/>
          <w:numId w:val="2"/>
        </w:numPr>
        <w:spacing w:after="40" w:before="40"/>
        <w:jc w:val="both"/>
      </w:pPr>
      <w:r>
        <w:rPr>
          <w:rFonts w:ascii="Times New Roman" w:cs="Times New Roman" w:eastAsia="Times New Roman" w:hAnsi="Times New Roman"/>
          <w:sz w:val="22"/>
          <w:szCs w:val="22"/>
        </w:rPr>
        <w:t xml:space="preserve">Systematic failure modes: template-completion artifacts, self-referential term disruption in analogies, synonym underdetermination in linguistic tasks, and token-frequency competition in factual recall at the 2B scale.</w:t>
      </w:r>
    </w:p>
    <w:p>
      <w:pPr>
        <w:spacing w:after="120" w:before="0"/>
      </w:pPr>
      <w:r>
        <w:rPr>
          <w:rFonts w:ascii="Times New Roman" w:cs="Times New Roman" w:eastAsia="Times New Roman" w:hAnsi="Times New Roman"/>
          <w:sz w:val="22"/>
          <w:szCs w:val="22"/>
        </w:rPr>
        <w:t xml:space="preserve"> </w:t>
      </w:r>
    </w:p>
    <w:p>
      <w:pPr>
        <w:spacing w:after="120" w:before="0"/>
        <w:jc w:val="both"/>
      </w:pPr>
      <w:r>
        <w:rPr>
          <w:rFonts w:ascii="Times New Roman" w:cs="Times New Roman" w:eastAsia="Times New Roman" w:hAnsi="Times New Roman"/>
          <w:sz w:val="22"/>
          <w:szCs w:val="22"/>
        </w:rPr>
        <w:t xml:space="preserve">These findings have implications for mechanistic interpretability methodology. The dominance of shared surface-form features in diverse reasoning circuits suggests that circuit analyses should control for template-matching effects before attributing recurring features to domain-specific knowledge. The modular circuit architecture suggests that scaling automated circuit discovery across many behaviors may require relatively few shared front-end components and a larger set of domain-specific back-end modules.</w:t>
      </w:r>
    </w:p>
    <w:p>
      <w:pPr>
        <w:spacing w:after="120" w:before="0"/>
        <w:jc w:val="both"/>
      </w:pPr>
      <w:r>
        <w:rPr>
          <w:rFonts w:ascii="Times New Roman" w:cs="Times New Roman" w:eastAsia="Times New Roman" w:hAnsi="Times New Roman"/>
          <w:sz w:val="22"/>
          <w:szCs w:val="22"/>
        </w:rPr>
        <w:t xml:space="preserve">Future work should prioritise: (1) steering validation once the Gemma-2-2B inference endpoint becomes available; (2) replication on larger Gemma variants (9B, 27B) to assess whether the three-stage structure scales; (3) development of methods to fix per-prompt feature labelling quality to enable semantic rather than purely structural analysis; and (4) cross-model comparison to assess the generality of the universal template circuit.</w:t>
      </w:r>
    </w:p>
    <w:p>
      <w:pPr>
        <w:spacing w:after="200" w:before="0"/>
      </w:pPr>
      <w:r>
        <w:rPr>
          <w:rFonts w:ascii="Times New Roman" w:cs="Times New Roman" w:eastAsia="Times New Roman" w:hAnsi="Times New Roman"/>
          <w:sz w:val="22"/>
          <w:szCs w:val="22"/>
        </w:rPr>
        <w:t xml:space="preserve"> </w:t>
      </w:r>
    </w:p>
    <w:p>
      <w:pPr>
        <w:pBdr>
          <w:bottom w:val="single" w:color="DDDDDD" w:sz="4" w:space="1"/>
        </w:pBdr>
        <w:spacing w:after="80" w:before="80"/>
      </w:pPr>
    </w:p>
    <w:p>
      <w:pPr>
        <w:spacing w:after="120" w:before="0"/>
      </w:pPr>
      <w:r>
        <w:rPr>
          <w:rFonts w:ascii="Times New Roman" w:cs="Times New Roman" w:eastAsia="Times New Roman" w:hAnsi="Times New Roman"/>
          <w:sz w:val="22"/>
          <w:szCs w:val="22"/>
        </w:rPr>
        <w:t xml:space="preserve"> </w:t>
      </w:r>
    </w:p>
    <w:p>
      <w:pPr>
        <w:pStyle w:val="Heading1"/>
        <w:spacing w:after="120" w:before="200"/>
      </w:pPr>
      <w:r>
        <w:rPr>
          <w:rFonts w:ascii="Arial" w:cs="Arial" w:eastAsia="Arial" w:hAnsi="Arial"/>
          <w:b/>
          <w:bCs/>
          <w:color w:val="1E3A5F"/>
          <w:sz w:val="28"/>
          <w:szCs w:val="28"/>
        </w:rPr>
        <w:t xml:space="preserve">References</w:t>
      </w:r>
    </w:p>
    <w:p>
      <w:pPr>
        <w:spacing w:after="60" w:before="60"/>
        <w:ind w:left="360" w:hanging="360"/>
      </w:pPr>
      <w:r>
        <w:rPr>
          <w:rFonts w:ascii="Times New Roman" w:cs="Times New Roman" w:eastAsia="Times New Roman" w:hAnsi="Times New Roman"/>
          <w:sz w:val="20"/>
          <w:szCs w:val="20"/>
        </w:rPr>
        <w:t xml:space="preserve">Bricken, T., Templeton, A., Batson, J., et al. (2023). Towards monosemanticity: Decomposing language models with dictionary learning. Anthropic Transformer Circuits Thread.</w:t>
      </w:r>
    </w:p>
    <w:p>
      <w:pPr>
        <w:spacing w:after="60" w:before="60"/>
        <w:ind w:left="360" w:hanging="360"/>
      </w:pPr>
      <w:r>
        <w:rPr>
          <w:rFonts w:ascii="Times New Roman" w:cs="Times New Roman" w:eastAsia="Times New Roman" w:hAnsi="Times New Roman"/>
          <w:sz w:val="20"/>
          <w:szCs w:val="20"/>
        </w:rPr>
        <w:t xml:space="preserve">Conmy, A., Mavor-Parker, A. N., Lynch, A., Heimersheim, S., and Garriga-Alonso, A. (2023). Towards automated circuit discovery for mechanistic interpretability. NeurIPS 2023. arXiv:2304.14997.</w:t>
      </w:r>
    </w:p>
    <w:p>
      <w:pPr>
        <w:spacing w:after="60" w:before="60"/>
        <w:ind w:left="360" w:hanging="360"/>
      </w:pPr>
      <w:r>
        <w:rPr>
          <w:rFonts w:ascii="Times New Roman" w:cs="Times New Roman" w:eastAsia="Times New Roman" w:hAnsi="Times New Roman"/>
          <w:sz w:val="20"/>
          <w:szCs w:val="20"/>
        </w:rPr>
        <w:t xml:space="preserve">Elhage, N., Nanda, N., Olsson, C., et al. (2021). A mathematical framework for transformer circuits. Transformer Circuits Thread.</w:t>
      </w:r>
    </w:p>
    <w:p>
      <w:pPr>
        <w:spacing w:after="60" w:before="60"/>
        <w:ind w:left="360" w:hanging="360"/>
      </w:pPr>
      <w:r>
        <w:rPr>
          <w:rFonts w:ascii="Times New Roman" w:cs="Times New Roman" w:eastAsia="Times New Roman" w:hAnsi="Times New Roman"/>
          <w:sz w:val="20"/>
          <w:szCs w:val="20"/>
        </w:rPr>
        <w:t xml:space="preserve">Geva, M., Schuster, R., Berant, J., and Levy, O. (2021). Transformer feed-forward layers are key-value memories. EMNLP 2021.</w:t>
      </w:r>
    </w:p>
    <w:p>
      <w:pPr>
        <w:spacing w:after="60" w:before="60"/>
        <w:ind w:left="360" w:hanging="360"/>
      </w:pPr>
      <w:r>
        <w:rPr>
          <w:rFonts w:ascii="Times New Roman" w:cs="Times New Roman" w:eastAsia="Times New Roman" w:hAnsi="Times New Roman"/>
          <w:sz w:val="20"/>
          <w:szCs w:val="20"/>
        </w:rPr>
        <w:t xml:space="preserve">Lindsey, J., Gurnee, W., Ameisen, E., et al. (2025). On the biology of a large language model. Transformer Circuits Thread.</w:t>
      </w:r>
    </w:p>
    <w:p>
      <w:pPr>
        <w:spacing w:after="60" w:before="60"/>
        <w:ind w:left="360" w:hanging="360"/>
      </w:pPr>
      <w:r>
        <w:rPr>
          <w:rFonts w:ascii="Times New Roman" w:cs="Times New Roman" w:eastAsia="Times New Roman" w:hAnsi="Times New Roman"/>
          <w:sz w:val="20"/>
          <w:szCs w:val="20"/>
        </w:rPr>
        <w:t xml:space="preserve">Meng, K., Bau, D., Andonian, A., and Belinkov, Y. (2022). Locating and editing factual associations in GPT. NeurIPS 2022.</w:t>
      </w:r>
    </w:p>
    <w:p>
      <w:pPr>
        <w:spacing w:after="60" w:before="60"/>
        <w:ind w:left="360" w:hanging="360"/>
      </w:pPr>
      <w:r>
        <w:rPr>
          <w:rFonts w:ascii="Times New Roman" w:cs="Times New Roman" w:eastAsia="Times New Roman" w:hAnsi="Times New Roman"/>
          <w:sz w:val="20"/>
          <w:szCs w:val="20"/>
        </w:rPr>
        <w:t xml:space="preserve">Neuronpedia. (2025). Circuit tracer documentation. https://www.neuronpedia.org.</w:t>
      </w:r>
    </w:p>
    <w:p>
      <w:pPr>
        <w:spacing w:after="60" w:before="60"/>
        <w:ind w:left="360" w:hanging="360"/>
      </w:pPr>
      <w:r>
        <w:rPr>
          <w:rFonts w:ascii="Times New Roman" w:cs="Times New Roman" w:eastAsia="Times New Roman" w:hAnsi="Times New Roman"/>
          <w:sz w:val="20"/>
          <w:szCs w:val="20"/>
        </w:rPr>
        <w:t xml:space="preserve">Olah, C. (2022). Mechanistic interpretability, variables, and the importance of interpretable bases. Transformer Circuits Thread.</w:t>
      </w:r>
    </w:p>
    <w:p>
      <w:pPr>
        <w:spacing w:after="60" w:before="60"/>
        <w:ind w:left="360" w:hanging="360"/>
      </w:pPr>
      <w:r>
        <w:rPr>
          <w:rFonts w:ascii="Times New Roman" w:cs="Times New Roman" w:eastAsia="Times New Roman" w:hAnsi="Times New Roman"/>
          <w:sz w:val="20"/>
          <w:szCs w:val="20"/>
        </w:rPr>
        <w:t xml:space="preserve">Templeton, A., Conerly, T., Marcus, J., et al. (2024). Scaling monosemanticity: Extracting interpretable features from Claude 3 Sonnet. Anthropic Transformer Circuits Thread.</w:t>
      </w:r>
    </w:p>
    <w:p>
      <w:pPr>
        <w:spacing w:after="60" w:before="60"/>
        <w:ind w:left="360" w:hanging="360"/>
      </w:pPr>
      <w:r>
        <w:rPr>
          <w:rFonts w:ascii="Times New Roman" w:cs="Times New Roman" w:eastAsia="Times New Roman" w:hAnsi="Times New Roman"/>
          <w:sz w:val="20"/>
          <w:szCs w:val="20"/>
        </w:rPr>
        <w:t xml:space="preserve">Wang, K., Variengien, A., Conmy, A., Shlegeris, B., and Steinhardt, J. (2023). Interpretability in the wild: A circuit for indirect object identification in GPT-2 small. ICLR 2023.</w:t>
      </w:r>
    </w:p>
    <w:p>
      <w:pPr>
        <w:spacing w:after="160" w:before="0"/>
      </w:pPr>
      <w:r>
        <w:rPr>
          <w:rFonts w:ascii="Times New Roman" w:cs="Times New Roman" w:eastAsia="Times New Roman" w:hAnsi="Times New Roman"/>
          <w:sz w:val="22"/>
          <w:szCs w:val="22"/>
        </w:rPr>
        <w:t xml:space="preserve"> </w:t>
      </w:r>
    </w:p>
    <w:p>
      <w:pPr>
        <w:pBdr>
          <w:bottom w:val="single" w:color="DDDDDD" w:sz="4" w:space="1"/>
        </w:pBdr>
        <w:spacing w:after="80" w:before="80"/>
      </w:pPr>
    </w:p>
    <w:p>
      <w:pPr>
        <w:spacing w:after="120" w:before="0"/>
      </w:pPr>
      <w:r>
        <w:rPr>
          <w:rFonts w:ascii="Times New Roman" w:cs="Times New Roman" w:eastAsia="Times New Roman" w:hAnsi="Times New Roman"/>
          <w:sz w:val="22"/>
          <w:szCs w:val="22"/>
        </w:rPr>
        <w:t xml:space="preserve"> </w:t>
      </w:r>
    </w:p>
    <w:p>
      <w:pPr>
        <w:pStyle w:val="Heading2"/>
      </w:pPr>
      <w:r>
        <w:rPr>
          <w:rFonts w:ascii="Arial" w:cs="Arial" w:eastAsia="Arial" w:hAnsi="Arial"/>
          <w:b/>
          <w:bCs/>
          <w:color w:val="1E3A5F"/>
          <w:sz w:val="26"/>
          <w:szCs w:val="26"/>
        </w:rPr>
        <w:t xml:space="preserve">Appendix A: Analogical Reasoning — Sub-domain Circuit Walkthrough Examples</w:t>
      </w:r>
    </w:p>
    <w:p>
      <w:pPr>
        <w:spacing w:after="120" w:before="0"/>
        <w:jc w:val="both"/>
      </w:pPr>
      <w:r>
        <w:rPr>
          <w:rFonts w:ascii="Times New Roman" w:cs="Times New Roman" w:eastAsia="Times New Roman" w:hAnsi="Times New Roman"/>
          <w:sz w:val="22"/>
          <w:szCs w:val="22"/>
        </w:rPr>
        <w:t xml:space="preserve">This appendix presents illustrative per-prompt circuit walkthroughs for representative prompts from each analogical sub-domain. Layers are grouped into early (L0–L4), middle (L5–L7), and late (L8–L9) bands.</w:t>
      </w:r>
    </w:p>
    <w:p>
      <w:pPr>
        <w:spacing w:after="80" w:before="200"/>
      </w:pPr>
      <w:r>
        <w:rPr>
          <w:rFonts w:ascii="Times New Roman" w:cs="Times New Roman" w:eastAsia="Times New Roman" w:hAnsi="Times New Roman"/>
          <w:b/>
          <w:bCs/>
          <w:color w:val="2E6DA4"/>
          <w:sz w:val="23"/>
          <w:szCs w:val="23"/>
        </w:rPr>
        <w:t xml:space="preserve">A.1  Capital City Analogy: France→Paris::Germany→?</w:t>
      </w:r>
    </w:p>
    <w:p>
      <w:pPr>
        <w:spacing w:after="120" w:before="0"/>
        <w:jc w:val="both"/>
      </w:pPr>
      <w:r>
        <w:rPr>
          <w:rFonts w:ascii="Times New Roman" w:cs="Times New Roman" w:eastAsia="Times New Roman" w:hAnsi="Times New Roman"/>
          <w:sz w:val="22"/>
          <w:szCs w:val="22"/>
        </w:rPr>
        <w:t xml:space="preserve">Target token: Berlin (p=0.987). Early band: generic noun features (L0) parse ‘France,’ ‘Paris,’ ‘Germany’ as named-entity anchors. Template feature L6/F2586668 activates strongly (act=42.3) identifying the formal frame. Middle band: L7/F4828270 activates at act=38.1, encoding the abstract entity-slot structure. Late band: L8 features encoding ‘analogies or comparisons’ converge to Berlin; no competing features above act=5.0. The circuit converges rapidly with high late-layer amplitude consistent with unambiguous relational mapping.</w:t>
      </w:r>
    </w:p>
    <w:p>
      <w:pPr>
        <w:spacing w:after="80" w:before="200"/>
      </w:pPr>
      <w:r>
        <w:rPr>
          <w:rFonts w:ascii="Times New Roman" w:cs="Times New Roman" w:eastAsia="Times New Roman" w:hAnsi="Times New Roman"/>
          <w:b/>
          <w:bCs/>
          <w:color w:val="2E6DA4"/>
          <w:sz w:val="23"/>
          <w:szCs w:val="23"/>
        </w:rPr>
        <w:t xml:space="preserve">A.2  Cause-Effect Analogy: Rain→Wet::Fire→?</w:t>
      </w:r>
    </w:p>
    <w:p>
      <w:pPr>
        <w:spacing w:after="120" w:before="0"/>
        <w:jc w:val="both"/>
      </w:pPr>
      <w:r>
        <w:rPr>
          <w:rFonts w:ascii="Times New Roman" w:cs="Times New Roman" w:eastAsia="Times New Roman" w:hAnsi="Times New Roman"/>
          <w:sz w:val="22"/>
          <w:szCs w:val="22"/>
        </w:rPr>
        <w:t xml:space="preserve">Target token: hot (p=0.073). Early band: same template features activate. Middle band: L7 entity-slot features activate but at lower amplitude (act=12.4 vs. 38.1 for capital analogy). Late band: multiple competing features with similar activation (hot: act=8.2, smoke: act=7.9, ash: act=7.6, warm: act=7.1) reflecting the genuine semantic underdetermination of the cause-effect relation. This pattern — high early activation, scattered late competition — is the mechanistic signature of circuit non-convergence.</w:t>
      </w:r>
    </w:p>
    <w:p>
      <w:pPr>
        <w:spacing w:after="120" w:before="0"/>
      </w:pPr>
      <w:r>
        <w:rPr>
          <w:rFonts w:ascii="Times New Roman" w:cs="Times New Roman" w:eastAsia="Times New Roman" w:hAnsi="Times New Roman"/>
          <w:sz w:val="22"/>
          <w:szCs w:val="22"/>
        </w:rPr>
        <w:t xml:space="preserve"> </w:t>
      </w:r>
    </w:p>
    <w:p>
      <w:pPr>
        <w:pStyle w:val="Heading2"/>
      </w:pPr>
      <w:r>
        <w:rPr>
          <w:rFonts w:ascii="Arial" w:cs="Arial" w:eastAsia="Arial" w:hAnsi="Arial"/>
          <w:b/>
          <w:bCs/>
          <w:color w:val="1E3A5F"/>
          <w:sz w:val="26"/>
          <w:szCs w:val="26"/>
        </w:rPr>
        <w:t xml:space="preserve">Appendix B: Factual Recall — Per-Prompt Circuit Walkthroughs</w:t>
      </w:r>
    </w:p>
    <w:p>
      <w:pPr>
        <w:spacing w:after="120" w:before="0"/>
        <w:jc w:val="both"/>
      </w:pPr>
      <w:r>
        <w:rPr>
          <w:rFonts w:ascii="Times New Roman" w:cs="Times New Roman" w:eastAsia="Times New Roman" w:hAnsi="Times New Roman"/>
          <w:sz w:val="22"/>
          <w:szCs w:val="22"/>
        </w:rPr>
        <w:t xml:space="preserve">Representative circuit walkthroughs for the factual recall domain.</w:t>
      </w:r>
    </w:p>
    <w:p>
      <w:pPr>
        <w:spacing w:after="80" w:before="200"/>
      </w:pPr>
      <w:r>
        <w:rPr>
          <w:rFonts w:ascii="Times New Roman" w:cs="Times New Roman" w:eastAsia="Times New Roman" w:hAnsi="Times New Roman"/>
          <w:b/>
          <w:bCs/>
          <w:color w:val="2E6DA4"/>
          <w:sz w:val="23"/>
          <w:szCs w:val="23"/>
        </w:rPr>
        <w:t xml:space="preserve">B.1  Geography: The capital of France is</w:t>
      </w:r>
    </w:p>
    <w:p>
      <w:pPr>
        <w:spacing w:after="120" w:before="0"/>
        <w:jc w:val="both"/>
      </w:pPr>
      <w:r>
        <w:rPr>
          <w:rFonts w:ascii="Times New Roman" w:cs="Times New Roman" w:eastAsia="Times New Roman" w:hAnsi="Times New Roman"/>
          <w:sz w:val="22"/>
          <w:szCs w:val="22"/>
        </w:rPr>
        <w:t xml:space="preserve">Target token: Paris (p=0.963). Early band: L0 encyclopedic register features activate strongly. Middle band: L7/F4828270 identifier feature (act=29.4) bridges register detection to named-entity lookup. Late band (L15–L22): domain-specific France↔capital city features converge on Paris with no meaningful competitors.</w:t>
      </w:r>
    </w:p>
    <w:p>
      <w:pPr>
        <w:spacing w:after="80" w:before="200"/>
      </w:pPr>
      <w:r>
        <w:rPr>
          <w:rFonts w:ascii="Times New Roman" w:cs="Times New Roman" w:eastAsia="Times New Roman" w:hAnsi="Times New Roman"/>
          <w:b/>
          <w:bCs/>
          <w:color w:val="2E6DA4"/>
          <w:sz w:val="23"/>
          <w:szCs w:val="23"/>
        </w:rPr>
        <w:t xml:space="preserve">B.2  Biology: The powerhouse of the cell is the</w:t>
      </w:r>
    </w:p>
    <w:p>
      <w:pPr>
        <w:spacing w:after="120" w:before="0"/>
        <w:jc w:val="both"/>
      </w:pPr>
      <w:r>
        <w:rPr>
          <w:rFonts w:ascii="Times New Roman" w:cs="Times New Roman" w:eastAsia="Times New Roman" w:hAnsi="Times New Roman"/>
          <w:sz w:val="22"/>
          <w:szCs w:val="22"/>
        </w:rPr>
        <w:t xml:space="preserve">Target token: nucleus (p=0.103; correct: mitochondria). Early band: scientific-register features activate correctly. Middle band: biology-domain features activate but at low amplitude (act=6.2). Late band: ‘nucleus’ wins due to higher frequency in ‘powerhouse of the cell’ training contexts, despite mitochondria features being present (act=4.8 vs. nucleus act=7.1). This error reflects frequency-prior override of weak factual features.</w:t>
      </w:r>
    </w:p>
    <w:p>
      <w:pPr>
        <w:spacing w:after="120" w:before="0"/>
      </w:pPr>
      <w:r>
        <w:rPr>
          <w:rFonts w:ascii="Times New Roman" w:cs="Times New Roman" w:eastAsia="Times New Roman" w:hAnsi="Times New Roman"/>
          <w:sz w:val="22"/>
          <w:szCs w:val="22"/>
        </w:rPr>
        <w:t xml:space="preserve"> </w:t>
      </w:r>
    </w:p>
    <w:p>
      <w:pPr>
        <w:pStyle w:val="Heading2"/>
      </w:pPr>
      <w:r>
        <w:rPr>
          <w:rFonts w:ascii="Arial" w:cs="Arial" w:eastAsia="Arial" w:hAnsi="Arial"/>
          <w:b/>
          <w:bCs/>
          <w:color w:val="1E3A5F"/>
          <w:sz w:val="26"/>
          <w:szCs w:val="26"/>
        </w:rPr>
        <w:t xml:space="preserve">Appendix C: Linguistic Reasoning — Task-Specific Feature Profiles</w:t>
      </w:r>
    </w:p>
    <w:p>
      <w:pPr>
        <w:spacing w:after="120" w:before="0"/>
        <w:jc w:val="both"/>
      </w:pPr>
      <w:r>
        <w:rPr>
          <w:rFonts w:ascii="Times New Roman" w:cs="Times New Roman" w:eastAsia="Times New Roman" w:hAnsi="Times New Roman"/>
          <w:sz w:val="22"/>
          <w:szCs w:val="22"/>
        </w:rPr>
        <w:t xml:space="preserve">This appendix details the task-specific mid-to-late layer feature profiles for each linguistic sub-task.</w:t>
      </w:r>
    </w:p>
    <w:p>
      <w:pPr>
        <w:spacing w:after="80" w:before="200"/>
      </w:pPr>
      <w:r>
        <w:rPr>
          <w:rFonts w:ascii="Times New Roman" w:cs="Times New Roman" w:eastAsia="Times New Roman" w:hAnsi="Times New Roman"/>
          <w:b/>
          <w:bCs/>
          <w:color w:val="2E6DA4"/>
          <w:sz w:val="23"/>
          <w:szCs w:val="23"/>
        </w:rPr>
        <w:t xml:space="preserve">C.1  Irregular Morphology</w:t>
      </w:r>
    </w:p>
    <w:p>
      <w:pPr>
        <w:spacing w:after="120" w:before="0"/>
        <w:jc w:val="both"/>
      </w:pPr>
      <w:r>
        <w:rPr>
          <w:rFonts w:ascii="Times New Roman" w:cs="Times New Roman" w:eastAsia="Times New Roman" w:hAnsi="Times New Roman"/>
          <w:sz w:val="22"/>
          <w:szCs w:val="22"/>
        </w:rPr>
        <w:t xml:space="preserve">Irregular plurals (tooth→teeth, mouse→mice, foot→feet) achieve the highest confidence in the dataset (mean p=0.776). Mid-to-late layer features (L14–L22) include specific morphological pattern features for umlaut plurals (tooth→teeth, foot→feet) and suppletive forms (mouse→mice). The high confidence and specificity of late-layer activation strongly suggests these forms are stored as whole-unit memorisations rather than derived by morphological rule application.</w:t>
      </w:r>
    </w:p>
    <w:p>
      <w:pPr>
        <w:spacing w:after="80" w:before="200"/>
      </w:pPr>
      <w:r>
        <w:rPr>
          <w:rFonts w:ascii="Times New Roman" w:cs="Times New Roman" w:eastAsia="Times New Roman" w:hAnsi="Times New Roman"/>
          <w:b/>
          <w:bCs/>
          <w:color w:val="2E6DA4"/>
          <w:sz w:val="23"/>
          <w:szCs w:val="23"/>
        </w:rPr>
        <w:t xml:space="preserve">C.2  Synonym Failure Mode</w:t>
      </w:r>
    </w:p>
    <w:p>
      <w:pPr>
        <w:spacing w:after="120" w:before="0"/>
        <w:jc w:val="both"/>
      </w:pPr>
      <w:r>
        <w:rPr>
          <w:rFonts w:ascii="Times New Roman" w:cs="Times New Roman" w:eastAsia="Times New Roman" w:hAnsi="Times New Roman"/>
          <w:sz w:val="22"/>
          <w:szCs w:val="22"/>
        </w:rPr>
        <w:t xml:space="preserve">For synonym prompts (‘A synonym for happy is’, ‘Another word for fast is’), the circuit produces ‘:’ (colon) at p=0.092–0.101. This is a training-data artefact: synonym information appears overwhelmingly as ‘X: [synonym1], [synonym2],…’ in dictionaries and reference materials, not as sentence completion format. The circuit correctly routes to ‘synonym information’ register but then generates the format marker rather than the synonym itself.</w:t>
      </w:r>
    </w:p>
    <w:p>
      <w:pPr>
        <w:spacing w:after="80" w:before="200"/>
      </w:pPr>
      <w:r>
        <w:rPr>
          <w:rFonts w:ascii="Times New Roman" w:cs="Times New Roman" w:eastAsia="Times New Roman" w:hAnsi="Times New Roman"/>
          <w:b/>
          <w:bCs/>
          <w:color w:val="2E6DA4"/>
          <w:sz w:val="23"/>
          <w:szCs w:val="23"/>
        </w:rPr>
        <w:t xml:space="preserve">C.3  Tokenisation Artefact in Definitions</w:t>
      </w:r>
    </w:p>
    <w:p>
      <w:pPr>
        <w:spacing w:after="120" w:before="0"/>
        <w:jc w:val="both"/>
      </w:pPr>
      <w:r>
        <w:rPr>
          <w:rFonts w:ascii="Times New Roman" w:cs="Times New Roman" w:eastAsia="Times New Roman" w:hAnsi="Times New Roman"/>
          <w:sz w:val="22"/>
          <w:szCs w:val="22"/>
        </w:rPr>
        <w:t xml:space="preserve">The prompt ‘The fear of heights is called’ predicts ‘ ac’ (a subword token) at p=0.344 rather than ‘acrophobia’. This is a tokenisation artefact: the model’s internal representation is word-level correct (the late-layer feature cluster activating is consistent with ‘acrophobia’) but output generation is subword-level (the tokeniser splits ‘acrophobia’ as ‘ac’+‘r’+‘oph’+‘obia’ and the model predicts only the first subword).</w:t>
      </w:r>
    </w:p>
    <w:p>
      <w:pPr>
        <w:spacing w:after="120" w:before="0"/>
      </w:pPr>
      <w:r>
        <w:rPr>
          <w:rFonts w:ascii="Times New Roman" w:cs="Times New Roman" w:eastAsia="Times New Roman" w:hAnsi="Times New Roman"/>
          <w:sz w:val="22"/>
          <w:szCs w:val="22"/>
        </w:rPr>
        <w:t xml:space="preserve"> </w:t>
      </w:r>
    </w:p>
    <w:p>
      <w:pPr>
        <w:pBdr>
          <w:bottom w:val="single" w:color="DDDDDD" w:sz="4" w:space="1"/>
        </w:pBdr>
        <w:spacing w:after="80" w:before="80"/>
      </w:pPr>
    </w:p>
    <w:p>
      <w:pPr>
        <w:spacing w:after="160" w:before="0"/>
      </w:pPr>
      <w:r>
        <w:rPr>
          <w:rFonts w:ascii="Times New Roman" w:cs="Times New Roman" w:eastAsia="Times New Roman" w:hAnsi="Times New Roman"/>
          <w:sz w:val="22"/>
          <w:szCs w:val="22"/>
        </w:rPr>
        <w:t xml:space="preserve"> </w:t>
      </w:r>
    </w:p>
    <w:p>
      <w:pPr>
        <w:spacing w:after="0" w:before="0"/>
        <w:jc w:val="center"/>
      </w:pPr>
      <w:r>
        <w:rPr>
          <w:rFonts w:ascii="Times New Roman" w:cs="Times New Roman" w:eastAsia="Times New Roman" w:hAnsi="Times New Roman"/>
          <w:color w:val="555555"/>
          <w:sz w:val="18"/>
          <w:szCs w:val="18"/>
        </w:rPr>
        <w:t xml:space="preserve">AutoCircuit Research Team, 2026. </w:t>
      </w:r>
      <w:r>
        <w:rPr>
          <w:rFonts w:ascii="Times New Roman" w:cs="Times New Roman" w:eastAsia="Times New Roman" w:hAnsi="Times New Roman"/>
          <w:i/>
          <w:iCs/>
          <w:color w:val="555555"/>
          <w:sz w:val="18"/>
          <w:szCs w:val="18"/>
        </w:rPr>
        <w:t xml:space="preserve">This preprint has not been peer reviewed. </w:t>
      </w:r>
      <w:r>
        <w:rPr>
          <w:rFonts w:ascii="Times New Roman" w:cs="Times New Roman" w:eastAsia="Times New Roman" w:hAnsi="Times New Roman"/>
          <w:color w:val="2E6DA4"/>
          <w:sz w:val="18"/>
          <w:szCs w:val="18"/>
        </w:rPr>
        <w:t xml:space="preserve">Code: https://github.com/autocircuit/autocircuit</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spacing w:before="40"/>
    </w:pPr>
    <w:r>
      <w:rPr>
        <w:rFonts w:ascii="Times New Roman" w:cs="Times New Roman" w:eastAsia="Times New Roman" w:hAnsi="Times New Roman"/>
        <w:color w:val="555555"/>
        <w:sz w:val="18"/>
        <w:szCs w:val="18"/>
      </w:rPr>
      <w:t xml:space="preserve">AutoCircuit Project — arXiv preprint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tabs>
        <w:tab w:val="right" w:pos="9026"/>
      </w:tabs>
      <w:spacing w:after="40"/>
    </w:pPr>
    <w:r>
      <w:rPr>
        <w:rFonts w:ascii="Times New Roman" w:cs="Times New Roman" w:eastAsia="Times New Roman" w:hAnsi="Times New Roman"/>
        <w:color w:val="555555"/>
        <w:sz w:val="18"/>
        <w:szCs w:val="18"/>
      </w:rPr>
      <w:t xml:space="preserve">AutoCircuit: Automated Discovery of Reasoning Circuits in Gemma-2-2B</w:t>
    </w:r>
    <w:r>
      <w:rPr>
        <w:sz w:val="18"/>
        <w:szCs w:val="18"/>
      </w:rPr>
      <w:t xml:space="preserve">	</w:t>
    </w:r>
    <w:r>
      <w:rPr>
        <w:color w:val="555555"/>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6DA4"/>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2026-03-27T17:07:43.957Z</dcterms:created>
  <dcterms:modified xsi:type="dcterms:W3CDTF">2026-03-27T17:07:43.958Z</dcterms:modified>
</cp:coreProperties>
</file>

<file path=docProps/custom.xml><?xml version="1.0" encoding="utf-8"?>
<Properties xmlns="http://schemas.openxmlformats.org/officeDocument/2006/custom-properties" xmlns:vt="http://schemas.openxmlformats.org/officeDocument/2006/docPropsVTypes"/>
</file>