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0692E9">
      <w:pPr>
        <w:jc w:val="center"/>
        <w:rPr>
          <w:rFonts w:hint="default"/>
          <w:lang w:val="en-US"/>
        </w:rPr>
      </w:pPr>
      <w:r>
        <w:rPr>
          <w:rFonts w:hint="default"/>
          <w:b/>
          <w:bCs/>
          <w:sz w:val="32"/>
          <w:szCs w:val="32"/>
          <w:lang w:val="en-US"/>
        </w:rPr>
        <w:t xml:space="preserve">          REPORT OF ANALYSIS DONE</w:t>
      </w:r>
    </w:p>
    <w:p w14:paraId="7496B45D">
      <w:pPr>
        <w:rPr>
          <w:rFonts w:hint="default"/>
          <w:lang w:val="en-US"/>
        </w:rPr>
      </w:pPr>
    </w:p>
    <w:p w14:paraId="4F0AACB7">
      <w:pPr>
        <w:rPr>
          <w:rFonts w:hint="default"/>
          <w:lang w:val="en-US"/>
        </w:rPr>
      </w:pPr>
    </w:p>
    <w:p w14:paraId="53FF41E2">
      <w:r>
        <w:pict>
          <v:shape id="_x0000_i1025" o:spt="75" type="#_x0000_t75" style="height:347.9pt;width:467.35pt;" filled="f" stroked="f" coordsize="21600,21600">
            <v:path/>
            <v:fill on="f" focussize="0,0"/>
            <v:stroke on="f"/>
            <v:imagedata r:id="rId6" o:title=""/>
            <o:lock v:ext="edit" aspectratio="t"/>
            <w10:wrap type="none"/>
            <w10:anchorlock/>
          </v:shape>
        </w:pict>
      </w:r>
    </w:p>
    <w:p w14:paraId="6077DF24">
      <w:pPr>
        <w:ind w:left="2760" w:leftChars="1000" w:hanging="560" w:hangingChars="20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Figure 1: </w:t>
      </w:r>
      <w:r>
        <w:rPr>
          <w:rFonts w:hint="default" w:ascii="Times New Roman" w:hAnsi="Times New Roman" w:cs="Times New Roman"/>
          <w:sz w:val="28"/>
          <w:szCs w:val="28"/>
          <w:lang w:val="en-US" w:eastAsia="zh-CN"/>
        </w:rPr>
        <w:t>variance explained by each principal component</w:t>
      </w:r>
    </w:p>
    <w:p w14:paraId="7F0EF553">
      <w:pPr>
        <w:rPr>
          <w:rFonts w:hint="default"/>
          <w:lang w:val="en-US"/>
        </w:rPr>
      </w:pPr>
    </w:p>
    <w:p w14:paraId="6BB283A7">
      <w:r>
        <w:pict>
          <v:shape id="_x0000_i1026" o:spt="75" type="#_x0000_t75" style="height:373.45pt;width:468pt;" filled="f" stroked="f" coordsize="21600,21600">
            <v:path/>
            <v:fill on="f" focussize="0,0"/>
            <v:stroke on="f"/>
            <v:imagedata r:id="rId7" o:title=""/>
            <o:lock v:ext="edit" aspectratio="t"/>
            <w10:wrap type="none"/>
            <w10:anchorlock/>
          </v:shape>
        </w:pict>
      </w:r>
    </w:p>
    <w:p w14:paraId="2C17A8A5">
      <w:pPr>
        <w:ind w:firstLine="4200" w:firstLineChars="150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Figure 2: Spearson correlation report</w:t>
      </w:r>
    </w:p>
    <w:p w14:paraId="11831962">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correlation analysis reveals the direction and intensity of the correlations between the morphometric characteristics. While negative correlations imply conflicting patterns or trade-offs, positive correlations show features that tend to rise together. The use of PCA to reduce dimensionality and summarize the main variance in the data is supported by the significant correlations.</w:t>
      </w:r>
    </w:p>
    <w:p w14:paraId="7F1EC40E">
      <w:pPr>
        <w:rPr>
          <w:rFonts w:hint="default"/>
          <w:lang w:val="en-US"/>
        </w:rPr>
      </w:pPr>
    </w:p>
    <w:p w14:paraId="1135E694">
      <w:pPr>
        <w:ind w:firstLine="4200" w:firstLineChars="1500"/>
        <w:jc w:val="both"/>
        <w:rPr>
          <w:rFonts w:hint="default"/>
          <w:sz w:val="28"/>
          <w:szCs w:val="28"/>
          <w:lang w:val="en-US"/>
        </w:rPr>
      </w:pPr>
    </w:p>
    <w:p w14:paraId="260A7603">
      <w:r>
        <w:pict>
          <v:shape id="_x0000_i1027" o:spt="75" type="#_x0000_t75" style="height:281.3pt;width:467.8pt;" filled="f" stroked="f" coordsize="21600,21600">
            <v:path/>
            <v:fill on="f" focussize="0,0"/>
            <v:stroke on="f"/>
            <v:imagedata r:id="rId8" o:title=""/>
            <o:lock v:ext="edit" aspectratio="t"/>
            <w10:wrap type="none"/>
            <w10:anchorlock/>
          </v:shape>
        </w:pict>
      </w:r>
    </w:p>
    <w:p w14:paraId="3ABA7C07">
      <w:pPr>
        <w:ind w:left="2760" w:leftChars="1000" w:hanging="560" w:hangingChars="20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Figure 3: </w:t>
      </w:r>
      <w:r>
        <w:rPr>
          <w:rFonts w:hint="default" w:ascii="Times New Roman" w:hAnsi="Times New Roman" w:cs="Times New Roman"/>
          <w:sz w:val="28"/>
          <w:szCs w:val="28"/>
          <w:lang w:val="en-US" w:eastAsia="zh-CN"/>
        </w:rPr>
        <w:t>variance showing the principal component</w:t>
      </w:r>
    </w:p>
    <w:p w14:paraId="55BD50AA">
      <w:pPr>
        <w:pStyle w:val="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PCA showed that the first three principal components account for 78.5% of the total variance.</w:t>
      </w:r>
    </w:p>
    <w:p w14:paraId="750522A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b w:val="0"/>
          <w:bCs w:val="0"/>
          <w:sz w:val="28"/>
          <w:szCs w:val="28"/>
        </w:rPr>
      </w:pPr>
      <w:r>
        <w:rPr>
          <w:rStyle w:val="6"/>
          <w:rFonts w:hint="default" w:ascii="Times New Roman" w:hAnsi="Times New Roman" w:eastAsia="Segoe UI" w:cs="Times New Roman"/>
          <w:b w:val="0"/>
          <w:bCs w:val="0"/>
          <w:i w:val="0"/>
          <w:iCs w:val="0"/>
          <w:caps w:val="0"/>
          <w:color w:val="333333"/>
          <w:spacing w:val="0"/>
          <w:sz w:val="28"/>
          <w:szCs w:val="28"/>
        </w:rPr>
        <w:t>PC1</w:t>
      </w:r>
      <w:r>
        <w:rPr>
          <w:rFonts w:hint="default" w:ascii="Times New Roman" w:hAnsi="Times New Roman" w:eastAsia="Segoe UI" w:cs="Times New Roman"/>
          <w:b w:val="0"/>
          <w:bCs w:val="0"/>
          <w:i w:val="0"/>
          <w:iCs w:val="0"/>
          <w:caps w:val="0"/>
          <w:color w:val="333333"/>
          <w:spacing w:val="0"/>
          <w:sz w:val="28"/>
          <w:szCs w:val="28"/>
        </w:rPr>
        <w:t> explains 51% of variance</w:t>
      </w:r>
    </w:p>
    <w:p w14:paraId="0480F2E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b w:val="0"/>
          <w:bCs w:val="0"/>
          <w:sz w:val="28"/>
          <w:szCs w:val="28"/>
        </w:rPr>
      </w:pPr>
      <w:r>
        <w:rPr>
          <w:rStyle w:val="6"/>
          <w:rFonts w:hint="default" w:ascii="Times New Roman" w:hAnsi="Times New Roman" w:eastAsia="Segoe UI" w:cs="Times New Roman"/>
          <w:b w:val="0"/>
          <w:bCs w:val="0"/>
          <w:i w:val="0"/>
          <w:iCs w:val="0"/>
          <w:caps w:val="0"/>
          <w:color w:val="333333"/>
          <w:spacing w:val="0"/>
          <w:sz w:val="28"/>
          <w:szCs w:val="28"/>
        </w:rPr>
        <w:t>PC2</w:t>
      </w:r>
      <w:r>
        <w:rPr>
          <w:rFonts w:hint="default" w:ascii="Times New Roman" w:hAnsi="Times New Roman" w:eastAsia="Segoe UI" w:cs="Times New Roman"/>
          <w:b w:val="0"/>
          <w:bCs w:val="0"/>
          <w:i w:val="0"/>
          <w:iCs w:val="0"/>
          <w:caps w:val="0"/>
          <w:color w:val="333333"/>
          <w:spacing w:val="0"/>
          <w:sz w:val="28"/>
          <w:szCs w:val="28"/>
        </w:rPr>
        <w:t> explains 17.2% of variance</w:t>
      </w:r>
    </w:p>
    <w:p w14:paraId="17299B2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6"/>
          <w:rFonts w:hint="default" w:ascii="Times New Roman" w:hAnsi="Times New Roman" w:eastAsia="Segoe UI" w:cs="Times New Roman"/>
          <w:b w:val="0"/>
          <w:bCs w:val="0"/>
          <w:i w:val="0"/>
          <w:iCs w:val="0"/>
          <w:caps w:val="0"/>
          <w:color w:val="333333"/>
          <w:spacing w:val="0"/>
          <w:sz w:val="28"/>
          <w:szCs w:val="28"/>
        </w:rPr>
        <w:t>PC3</w:t>
      </w:r>
      <w:r>
        <w:rPr>
          <w:rFonts w:hint="default" w:ascii="Times New Roman" w:hAnsi="Times New Roman" w:eastAsia="Segoe UI" w:cs="Times New Roman"/>
          <w:i w:val="0"/>
          <w:iCs w:val="0"/>
          <w:caps w:val="0"/>
          <w:color w:val="333333"/>
          <w:spacing w:val="0"/>
          <w:sz w:val="28"/>
          <w:szCs w:val="28"/>
        </w:rPr>
        <w:t> explains 10.3% of variance</w:t>
      </w:r>
    </w:p>
    <w:p w14:paraId="2F0E4DA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sz w:val="28"/>
          <w:szCs w:val="28"/>
        </w:rPr>
      </w:pPr>
    </w:p>
    <w:p w14:paraId="59FDDFEF">
      <w:r>
        <w:pict>
          <v:shape id="_x0000_i1028" o:spt="75" type="#_x0000_t75" style="height:407.65pt;width:467.55pt;" filled="f" stroked="f" coordsize="21600,21600">
            <v:path/>
            <v:fill on="f" focussize="0,0"/>
            <v:stroke on="f"/>
            <v:imagedata r:id="rId9" o:title=""/>
            <o:lock v:ext="edit" aspectratio="t"/>
            <w10:wrap type="none"/>
            <w10:anchorlock/>
          </v:shape>
        </w:pict>
      </w:r>
    </w:p>
    <w:p w14:paraId="160D58BF">
      <w:pPr>
        <w:ind w:firstLine="2240" w:firstLineChars="80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Figure 4: PCA biplot without confidence ellipses</w:t>
      </w:r>
    </w:p>
    <w:p w14:paraId="224D169A">
      <w:r>
        <w:pict>
          <v:shape id="_x0000_i1029" o:spt="75" type="#_x0000_t75" style="height:306.65pt;width:467.95pt;" filled="f" o:preferrelative="t" stroked="f" coordsize="21600,21600">
            <v:path/>
            <v:fill on="f" focussize="0,0"/>
            <v:stroke on="f"/>
            <v:imagedata r:id="rId10" o:title=""/>
            <o:lock v:ext="edit" aspectratio="t"/>
            <w10:wrap type="none"/>
            <w10:anchorlock/>
          </v:shape>
        </w:pict>
      </w:r>
    </w:p>
    <w:p w14:paraId="64D191FF">
      <w:pPr>
        <w:ind w:firstLine="2200" w:firstLineChars="1000"/>
        <w:jc w:val="both"/>
        <w:rPr>
          <w:rFonts w:hint="default" w:ascii="Times New Roman" w:hAnsi="Times New Roman" w:cs="Times New Roman"/>
          <w:lang w:val="en-US"/>
        </w:rPr>
      </w:pPr>
      <w:r>
        <w:rPr>
          <w:rFonts w:hint="default" w:ascii="Times New Roman" w:hAnsi="Times New Roman" w:cs="Times New Roman"/>
        </w:rPr>
        <w:t>Figure 5:  95% confidence ellipses</w:t>
      </w:r>
      <w:r>
        <w:rPr>
          <w:rFonts w:hint="default" w:ascii="Times New Roman" w:hAnsi="Times New Roman" w:cs="Times New Roman"/>
          <w:lang w:val="en-US"/>
        </w:rPr>
        <w:t xml:space="preserve"> of the </w:t>
      </w:r>
      <w:r>
        <w:rPr>
          <w:rFonts w:hint="default" w:ascii="Times New Roman" w:hAnsi="Times New Roman" w:cs="Times New Roman"/>
        </w:rPr>
        <w:t>PCA biplot</w:t>
      </w:r>
    </w:p>
    <w:p w14:paraId="449B3D4B">
      <w:pPr>
        <w:jc w:val="both"/>
        <w:rPr>
          <w:rFonts w:hint="default"/>
          <w:lang w:val="en-US" w:eastAsia="zh-CN"/>
        </w:rPr>
      </w:pPr>
    </w:p>
    <w:p w14:paraId="4AEC6898">
      <w:pPr>
        <w:pStyle w:val="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PCA biplots with 95% confidence ellipses illustrate how distinctly the groups are separated.</w:t>
      </w:r>
    </w:p>
    <w:p w14:paraId="0D11CF2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6"/>
          <w:rFonts w:hint="default" w:ascii="Times New Roman" w:hAnsi="Times New Roman" w:eastAsia="Segoe UI" w:cs="Times New Roman"/>
          <w:i w:val="0"/>
          <w:iCs w:val="0"/>
          <w:caps w:val="0"/>
          <w:color w:val="333333"/>
          <w:spacing w:val="0"/>
          <w:sz w:val="28"/>
          <w:szCs w:val="28"/>
        </w:rPr>
        <w:t>Á vs Ã:</w:t>
      </w:r>
      <w:r>
        <w:rPr>
          <w:rFonts w:hint="default" w:ascii="Times New Roman" w:hAnsi="Times New Roman" w:eastAsia="Segoe UI" w:cs="Times New Roman"/>
          <w:i w:val="0"/>
          <w:iCs w:val="0"/>
          <w:caps w:val="0"/>
          <w:color w:val="333333"/>
          <w:spacing w:val="0"/>
          <w:sz w:val="28"/>
          <w:szCs w:val="28"/>
        </w:rPr>
        <w:t> Overlapping (distance = 0.39 units)</w:t>
      </w:r>
    </w:p>
    <w:p w14:paraId="67F0FC5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6"/>
          <w:rFonts w:hint="default" w:ascii="Times New Roman" w:hAnsi="Times New Roman" w:eastAsia="Segoe UI" w:cs="Times New Roman"/>
          <w:i w:val="0"/>
          <w:iCs w:val="0"/>
          <w:caps w:val="0"/>
          <w:color w:val="333333"/>
          <w:spacing w:val="0"/>
          <w:sz w:val="28"/>
          <w:szCs w:val="28"/>
        </w:rPr>
        <w:t>Á vs È:</w:t>
      </w:r>
      <w:r>
        <w:rPr>
          <w:rFonts w:hint="default" w:ascii="Times New Roman" w:hAnsi="Times New Roman" w:eastAsia="Segoe UI" w:cs="Times New Roman"/>
          <w:i w:val="0"/>
          <w:iCs w:val="0"/>
          <w:caps w:val="0"/>
          <w:color w:val="333333"/>
          <w:spacing w:val="0"/>
          <w:sz w:val="28"/>
          <w:szCs w:val="28"/>
        </w:rPr>
        <w:t> Overlapping (distance = 0.33 units)</w:t>
      </w:r>
    </w:p>
    <w:p w14:paraId="37B4242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6"/>
          <w:rFonts w:hint="default" w:ascii="Times New Roman" w:hAnsi="Times New Roman" w:eastAsia="Segoe UI" w:cs="Times New Roman"/>
          <w:i w:val="0"/>
          <w:iCs w:val="0"/>
          <w:caps w:val="0"/>
          <w:color w:val="333333"/>
          <w:spacing w:val="0"/>
          <w:sz w:val="28"/>
          <w:szCs w:val="28"/>
        </w:rPr>
        <w:t>Á vs Ë:</w:t>
      </w:r>
      <w:r>
        <w:rPr>
          <w:rFonts w:hint="default" w:ascii="Times New Roman" w:hAnsi="Times New Roman" w:eastAsia="Segoe UI" w:cs="Times New Roman"/>
          <w:i w:val="0"/>
          <w:iCs w:val="0"/>
          <w:caps w:val="0"/>
          <w:color w:val="333333"/>
          <w:spacing w:val="0"/>
          <w:sz w:val="28"/>
          <w:szCs w:val="28"/>
        </w:rPr>
        <w:t> Overlapping (distance = 0.21 units)</w:t>
      </w:r>
    </w:p>
    <w:p w14:paraId="0DFC97F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6"/>
          <w:rFonts w:hint="default" w:ascii="Times New Roman" w:hAnsi="Times New Roman" w:eastAsia="Segoe UI" w:cs="Times New Roman"/>
          <w:i w:val="0"/>
          <w:iCs w:val="0"/>
          <w:caps w:val="0"/>
          <w:color w:val="333333"/>
          <w:spacing w:val="0"/>
          <w:sz w:val="28"/>
          <w:szCs w:val="28"/>
        </w:rPr>
        <w:t>Á vs Î:</w:t>
      </w:r>
      <w:r>
        <w:rPr>
          <w:rFonts w:hint="default" w:ascii="Times New Roman" w:hAnsi="Times New Roman" w:eastAsia="Segoe UI" w:cs="Times New Roman"/>
          <w:i w:val="0"/>
          <w:iCs w:val="0"/>
          <w:caps w:val="0"/>
          <w:color w:val="333333"/>
          <w:spacing w:val="0"/>
          <w:sz w:val="28"/>
          <w:szCs w:val="28"/>
        </w:rPr>
        <w:t> Overlapping (distance = 0.29 units)</w:t>
      </w:r>
    </w:p>
    <w:p w14:paraId="4F22428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6"/>
          <w:rFonts w:hint="default" w:ascii="Times New Roman" w:hAnsi="Times New Roman" w:eastAsia="Segoe UI" w:cs="Times New Roman"/>
          <w:i w:val="0"/>
          <w:iCs w:val="0"/>
          <w:caps w:val="0"/>
          <w:color w:val="333333"/>
          <w:spacing w:val="0"/>
          <w:sz w:val="28"/>
          <w:szCs w:val="28"/>
        </w:rPr>
        <w:t>Á vs Õ:</w:t>
      </w:r>
      <w:r>
        <w:rPr>
          <w:rFonts w:hint="default" w:ascii="Times New Roman" w:hAnsi="Times New Roman" w:eastAsia="Segoe UI" w:cs="Times New Roman"/>
          <w:i w:val="0"/>
          <w:iCs w:val="0"/>
          <w:caps w:val="0"/>
          <w:color w:val="333333"/>
          <w:spacing w:val="0"/>
          <w:sz w:val="28"/>
          <w:szCs w:val="28"/>
        </w:rPr>
        <w:t> Overlapping (distance = 0.38 units)</w:t>
      </w:r>
    </w:p>
    <w:p w14:paraId="6EDB6BC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6"/>
          <w:rFonts w:hint="default" w:ascii="Times New Roman" w:hAnsi="Times New Roman" w:eastAsia="Segoe UI" w:cs="Times New Roman"/>
          <w:i w:val="0"/>
          <w:iCs w:val="0"/>
          <w:caps w:val="0"/>
          <w:color w:val="333333"/>
          <w:spacing w:val="0"/>
          <w:sz w:val="28"/>
          <w:szCs w:val="28"/>
        </w:rPr>
        <w:t>Ã vs È:</w:t>
      </w:r>
      <w:r>
        <w:rPr>
          <w:rFonts w:hint="default" w:ascii="Times New Roman" w:hAnsi="Times New Roman" w:eastAsia="Segoe UI" w:cs="Times New Roman"/>
          <w:i w:val="0"/>
          <w:iCs w:val="0"/>
          <w:caps w:val="0"/>
          <w:color w:val="333333"/>
          <w:spacing w:val="0"/>
          <w:sz w:val="28"/>
          <w:szCs w:val="28"/>
        </w:rPr>
        <w:t> Overlapping (distance = 0.72 units)</w:t>
      </w:r>
    </w:p>
    <w:p w14:paraId="288338F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6"/>
          <w:rFonts w:hint="default" w:ascii="Times New Roman" w:hAnsi="Times New Roman" w:eastAsia="Segoe UI" w:cs="Times New Roman"/>
          <w:i w:val="0"/>
          <w:iCs w:val="0"/>
          <w:caps w:val="0"/>
          <w:color w:val="333333"/>
          <w:spacing w:val="0"/>
          <w:sz w:val="28"/>
          <w:szCs w:val="28"/>
        </w:rPr>
        <w:t>Ã vs Ë:</w:t>
      </w:r>
      <w:r>
        <w:rPr>
          <w:rFonts w:hint="default" w:ascii="Times New Roman" w:hAnsi="Times New Roman" w:eastAsia="Segoe UI" w:cs="Times New Roman"/>
          <w:i w:val="0"/>
          <w:iCs w:val="0"/>
          <w:caps w:val="0"/>
          <w:color w:val="333333"/>
          <w:spacing w:val="0"/>
          <w:sz w:val="28"/>
          <w:szCs w:val="28"/>
        </w:rPr>
        <w:t> Overlapping (distance = 0.56 units)</w:t>
      </w:r>
    </w:p>
    <w:p w14:paraId="0866E50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6"/>
          <w:rFonts w:hint="default" w:ascii="Times New Roman" w:hAnsi="Times New Roman" w:eastAsia="Segoe UI" w:cs="Times New Roman"/>
          <w:i w:val="0"/>
          <w:iCs w:val="0"/>
          <w:caps w:val="0"/>
          <w:color w:val="333333"/>
          <w:spacing w:val="0"/>
          <w:sz w:val="28"/>
          <w:szCs w:val="28"/>
        </w:rPr>
        <w:t>Ã vs Î:</w:t>
      </w:r>
      <w:r>
        <w:rPr>
          <w:rFonts w:hint="default" w:ascii="Times New Roman" w:hAnsi="Times New Roman" w:eastAsia="Segoe UI" w:cs="Times New Roman"/>
          <w:i w:val="0"/>
          <w:iCs w:val="0"/>
          <w:caps w:val="0"/>
          <w:color w:val="333333"/>
          <w:spacing w:val="0"/>
          <w:sz w:val="28"/>
          <w:szCs w:val="28"/>
        </w:rPr>
        <w:t> Overlapping (distance = 0.11 units)</w:t>
      </w:r>
    </w:p>
    <w:p w14:paraId="20AF58D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6"/>
          <w:rFonts w:hint="default" w:ascii="Times New Roman" w:hAnsi="Times New Roman" w:eastAsia="Segoe UI" w:cs="Times New Roman"/>
          <w:i w:val="0"/>
          <w:iCs w:val="0"/>
          <w:caps w:val="0"/>
          <w:color w:val="333333"/>
          <w:spacing w:val="0"/>
          <w:sz w:val="28"/>
          <w:szCs w:val="28"/>
        </w:rPr>
        <w:t>Ã vs Õ:</w:t>
      </w:r>
      <w:r>
        <w:rPr>
          <w:rFonts w:hint="default" w:ascii="Times New Roman" w:hAnsi="Times New Roman" w:eastAsia="Segoe UI" w:cs="Times New Roman"/>
          <w:i w:val="0"/>
          <w:iCs w:val="0"/>
          <w:caps w:val="0"/>
          <w:color w:val="333333"/>
          <w:spacing w:val="0"/>
          <w:sz w:val="28"/>
          <w:szCs w:val="28"/>
        </w:rPr>
        <w:t> Overlapping (distance = 0.45 units)</w:t>
      </w:r>
    </w:p>
    <w:p w14:paraId="367B941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sz w:val="28"/>
          <w:szCs w:val="28"/>
        </w:rPr>
      </w:pPr>
    </w:p>
    <w:p w14:paraId="566A2A36">
      <w:pPr>
        <w:pStyle w:val="5"/>
        <w:keepNext w:val="0"/>
        <w:keepLines w:val="0"/>
        <w:widowControl/>
        <w:suppressLineNumbers w:val="0"/>
        <w:spacing w:before="0" w:beforeAutospacing="1" w:after="0" w:afterAutospacing="1"/>
        <w:ind w:left="0" w:right="0"/>
      </w:pPr>
      <w:r>
        <w:pict>
          <v:shape id="_x0000_i1031" o:spt="75" type="#_x0000_t75" style="height:372.35pt;width:467.8pt;" filled="f" stroked="f" coordsize="21600,21600">
            <v:path/>
            <v:fill on="f" focussize="0,0"/>
            <v:stroke on="f"/>
            <v:imagedata r:id="rId11" o:title=""/>
            <o:lock v:ext="edit" aspectratio="t"/>
            <w10:wrap type="none"/>
            <w10:anchorlock/>
          </v:shape>
        </w:pict>
      </w:r>
    </w:p>
    <w:p w14:paraId="1A9E2DEC">
      <w:pPr>
        <w:pStyle w:val="5"/>
        <w:keepNext w:val="0"/>
        <w:keepLines w:val="0"/>
        <w:widowControl/>
        <w:suppressLineNumbers w:val="0"/>
        <w:spacing w:before="0" w:beforeAutospacing="1" w:after="0" w:afterAutospacing="1"/>
        <w:ind w:right="0" w:firstLine="2760" w:firstLineChars="1150"/>
        <w:rPr>
          <w:rFonts w:hint="default" w:ascii="Times New Roman" w:hAnsi="Times New Roman" w:cs="Times New Roman"/>
          <w:lang w:val="en-US"/>
        </w:rPr>
      </w:pPr>
      <w:bookmarkStart w:id="0" w:name="_GoBack"/>
      <w:bookmarkEnd w:id="0"/>
      <w:r>
        <w:rPr>
          <w:rFonts w:hint="default" w:ascii="Times New Roman" w:hAnsi="Times New Roman" w:cs="Times New Roman"/>
        </w:rPr>
        <w:t xml:space="preserve">Figure </w:t>
      </w:r>
      <w:r>
        <w:rPr>
          <w:rFonts w:hint="default" w:ascii="Times New Roman" w:hAnsi="Times New Roman" w:cs="Times New Roman"/>
          <w:lang w:val="en-US"/>
        </w:rPr>
        <w:t>6</w:t>
      </w:r>
      <w:r>
        <w:rPr>
          <w:rFonts w:hint="default" w:ascii="Times New Roman" w:hAnsi="Times New Roman" w:cs="Times New Roman"/>
        </w:rPr>
        <w:t>:</w:t>
      </w:r>
      <w:r>
        <w:rPr>
          <w:rFonts w:hint="default" w:ascii="Times New Roman" w:hAnsi="Times New Roman" w:cs="Times New Roman"/>
          <w:lang w:val="en-US"/>
        </w:rPr>
        <w:t xml:space="preserve">  Interaction of the data through 3D visualization</w:t>
      </w:r>
    </w:p>
    <w:p w14:paraId="32D618DB">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shape variation across the sample is displayed here, with PC1 accounting for 51%, PC2 for 17.2%, and PC3 for 10.3% of the overall variance, which together account for about 80% of the morphological variation. The variable vectors (x1–x9) show how each feature contributes to the separation; x2 and x4 primarily shape the PC1/PC2 pattern, x6, x7, and x8 point in the opposite direction, and x9 contributes significantly along PC3. The samples cluster close to the center. In the analysis, these characteristics seem to be the primary forces behind morphological difference.</w:t>
      </w:r>
    </w:p>
    <w:p w14:paraId="679A31BC">
      <w:pPr>
        <w:pStyle w:val="5"/>
        <w:keepNext w:val="0"/>
        <w:keepLines w:val="0"/>
        <w:widowControl/>
        <w:suppressLineNumbers w:val="0"/>
        <w:spacing w:before="0" w:beforeAutospacing="1" w:after="0" w:afterAutospacing="1"/>
        <w:ind w:right="0" w:firstLine="980" w:firstLineChars="350"/>
        <w:jc w:val="both"/>
        <w:rPr>
          <w:rFonts w:hint="default" w:ascii="Times New Roman" w:hAnsi="Times New Roman" w:cs="Times New Roman"/>
          <w:sz w:val="28"/>
          <w:szCs w:val="28"/>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627078"/>
    <w:multiLevelType w:val="multilevel"/>
    <w:tmpl w:val="856270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3FAA5394"/>
    <w:multiLevelType w:val="multilevel"/>
    <w:tmpl w:val="3FAA53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NotTrackMoves/>
  <w:documentProtection w:enforcement="0"/>
  <w:defaultTabStop w:val="720"/>
  <w:displayHorizontalDrawingGridEvery w:val="1"/>
  <w:displayVerticalDrawingGridEvery w:val="1"/>
  <w:doNotShadeFormData w:val="1"/>
  <w:noPunctuationKerning w:val="1"/>
  <w:characterSpacingControl w:val="doNotCompress"/>
  <w:doNotValidateAgainstSchema/>
  <w:doNotDemarcateInvalidXml/>
  <w:footnotePr>
    <w:footnote w:id="0"/>
    <w:footnote w:id="1"/>
  </w:footnotePr>
  <w:endnotePr>
    <w:endnote w:id="0"/>
    <w:endnote w:id="1"/>
  </w:endnotePr>
  <w:compat>
    <w:doNotExpandShiftReturn/>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74531B4"/>
    <w:rsid w:val="08E47FB5"/>
    <w:rsid w:val="0C041C1F"/>
    <w:rsid w:val="0CF92397"/>
    <w:rsid w:val="104B5DF8"/>
    <w:rsid w:val="11550E7F"/>
    <w:rsid w:val="137837D5"/>
    <w:rsid w:val="196C36C2"/>
    <w:rsid w:val="1AF776D6"/>
    <w:rsid w:val="1BFD6255"/>
    <w:rsid w:val="1CA468C8"/>
    <w:rsid w:val="2256530D"/>
    <w:rsid w:val="27A30CF4"/>
    <w:rsid w:val="28894890"/>
    <w:rsid w:val="29E277A3"/>
    <w:rsid w:val="2B3866F7"/>
    <w:rsid w:val="30674FDD"/>
    <w:rsid w:val="30A24F7C"/>
    <w:rsid w:val="33F702E4"/>
    <w:rsid w:val="3A553CC1"/>
    <w:rsid w:val="3ABF58EF"/>
    <w:rsid w:val="3BA932EE"/>
    <w:rsid w:val="3C90587B"/>
    <w:rsid w:val="44405732"/>
    <w:rsid w:val="44D51F86"/>
    <w:rsid w:val="47043A90"/>
    <w:rsid w:val="4B4D5AAB"/>
    <w:rsid w:val="4BA0691E"/>
    <w:rsid w:val="4BFC6736"/>
    <w:rsid w:val="4DBA1C40"/>
    <w:rsid w:val="4E543413"/>
    <w:rsid w:val="4FDB21F7"/>
    <w:rsid w:val="51B12E15"/>
    <w:rsid w:val="52445A58"/>
    <w:rsid w:val="55396B5E"/>
    <w:rsid w:val="56707656"/>
    <w:rsid w:val="5A0B3BFA"/>
    <w:rsid w:val="5AC41908"/>
    <w:rsid w:val="5C071895"/>
    <w:rsid w:val="60317A81"/>
    <w:rsid w:val="63AA400F"/>
    <w:rsid w:val="640E7909"/>
    <w:rsid w:val="64654742"/>
    <w:rsid w:val="64852A79"/>
    <w:rsid w:val="65642AD5"/>
    <w:rsid w:val="683556D3"/>
    <w:rsid w:val="6BE2620E"/>
    <w:rsid w:val="721323DA"/>
    <w:rsid w:val="731C016A"/>
    <w:rsid w:val="75306550"/>
    <w:rsid w:val="77D15C90"/>
    <w:rsid w:val="792F6DE0"/>
    <w:rsid w:val="7B025A43"/>
    <w:rsid w:val="7FF83E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character" w:default="1" w:styleId="2">
    <w:name w:val="Default Paragraph Font"/>
    <w:qFormat/>
    <w:uiPriority w:val="0"/>
    <w:rPr>
      <w:rFonts w:ascii="Calibri" w:hAnsi="Calibri" w:eastAsia="SimSun" w:cs="Times New Roman"/>
    </w:rPr>
  </w:style>
  <w:style w:type="table" w:default="1" w:styleId="3">
    <w:name w:val="Normal Table"/>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paragraph" w:styleId="5">
    <w:name w:val="Normal (Web)"/>
    <w:basedOn w:val="1"/>
    <w:qFormat/>
    <w:uiPriority w:val="0"/>
    <w:rPr>
      <w:sz w:val="24"/>
      <w:szCs w:val="24"/>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310</Words>
  <Characters>1666</Characters>
  <Paragraphs>27</Paragraphs>
  <TotalTime>2</TotalTime>
  <ScaleCrop>false</ScaleCrop>
  <LinksUpToDate>false</LinksUpToDate>
  <CharactersWithSpaces>1965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2026-04-30T05:40:00Z</dcterms:created>
  <dc:creator>Infinix X6525</dc:creator>
  <cp:lastModifiedBy>Nwaoke Stanley</cp:lastModifiedBy>
  <dcterms:modified xsi:type="dcterms:W3CDTF">2026-06-14T20:52:43Z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442065fc016a41769c21ee911778a263</vt:lpwstr>
  </property>
  <property fmtid="{D5CDD505-2E9C-101B-9397-08002B2CF9AE}" pid="3" name="KSOTemplateDocerSaveRecord">
    <vt:lpwstr>eyJoZGlkIjoiNjc2ZDdiZTNhZTE3MGM4N2VmYmU3MDM4ODEwNDM3YTQiLCJ1c2VySWQiOiIzNzI4NTgyNTgwMjgyIn0=</vt:lpwstr>
  </property>
  <property fmtid="{D5CDD505-2E9C-101B-9397-08002B2CF9AE}" pid="4" name="KSOProductBuildVer">
    <vt:lpwstr>1033-12.1.0.26880</vt:lpwstr>
  </property>
</Properties>
</file>