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BE68" w14:textId="77777777" w:rsidR="002557FF" w:rsidRPr="002557FF" w:rsidRDefault="002557FF" w:rsidP="002557FF">
      <w:pPr>
        <w:rPr>
          <w:b/>
          <w:bCs/>
        </w:rPr>
      </w:pPr>
      <w:r w:rsidRPr="002557FF">
        <w:rPr>
          <w:b/>
          <w:bCs/>
        </w:rPr>
        <w:t>Tokenisation, Fintech, and Digital Inclusion: Shaping the Future of Financial Infrastructure in Africa</w:t>
      </w:r>
    </w:p>
    <w:p w14:paraId="23D1868E" w14:textId="7A5509BF" w:rsidR="002557FF" w:rsidRPr="002557FF" w:rsidRDefault="002557FF" w:rsidP="002557FF">
      <w:r w:rsidRPr="002557FF">
        <w:rPr>
          <w:b/>
          <w:bCs/>
        </w:rPr>
        <w:t>Published:</w:t>
      </w:r>
      <w:r>
        <w:t xml:space="preserve"> FEB</w:t>
      </w:r>
      <w:r w:rsidRPr="002557FF">
        <w:t xml:space="preserve"> 2026</w:t>
      </w:r>
    </w:p>
    <w:p w14:paraId="3823C935" w14:textId="77777777" w:rsidR="002557FF" w:rsidRPr="002557FF" w:rsidRDefault="002557FF" w:rsidP="002557FF">
      <w:r w:rsidRPr="002557FF">
        <w:rPr>
          <w:b/>
          <w:bCs/>
        </w:rPr>
        <w:t>Location:</w:t>
      </w:r>
      <w:r w:rsidRPr="002557FF">
        <w:t xml:space="preserve"> Lagos, Nigeria</w:t>
      </w:r>
    </w:p>
    <w:p w14:paraId="4FEAC501" w14:textId="77777777" w:rsidR="002557FF" w:rsidRPr="002557FF" w:rsidRDefault="002557FF" w:rsidP="002557FF">
      <w:r w:rsidRPr="002557FF">
        <w:t>True innovation across financial systems is not merely about adopting the latest technological trends. Instead, it is about designing practical solutions that expand market access, improve systemic resilience, and create tangible economic value.</w:t>
      </w:r>
    </w:p>
    <w:p w14:paraId="7C948D87" w14:textId="77777777" w:rsidR="002557FF" w:rsidRPr="002557FF" w:rsidRDefault="002557FF" w:rsidP="002557FF">
      <w:r w:rsidRPr="002557FF">
        <w:t>LANI Consulting is driven by strong individuals who power the organisation's strategy and vision. This commitment to tech leadership was recently highlighted when our Chief Technology Officer (CTO) represented LANI Consulting at the prestigious Wealth Secular Forum, hosted by Stanbic IBTC. The event provided a vital platform to engage in a thoughtful, high-level conversation alongside industry peers, regulators, and market participants regarding the rapid evolution of digital assets, fintech, and digital inclusion.</w:t>
      </w:r>
    </w:p>
    <w:p w14:paraId="6A066FE6" w14:textId="77777777" w:rsidR="002557FF" w:rsidRPr="002557FF" w:rsidRDefault="002557FF" w:rsidP="002557FF">
      <w:pPr>
        <w:rPr>
          <w:b/>
          <w:bCs/>
        </w:rPr>
      </w:pPr>
      <w:r w:rsidRPr="002557FF">
        <w:rPr>
          <w:b/>
          <w:bCs/>
        </w:rPr>
        <w:t>Innovation Aligned with Outcomes</w:t>
      </w:r>
    </w:p>
    <w:p w14:paraId="13FFAE23" w14:textId="77777777" w:rsidR="002557FF" w:rsidRPr="002557FF" w:rsidRDefault="002557FF" w:rsidP="002557FF">
      <w:r w:rsidRPr="002557FF">
        <w:t>During the forum, a central thesis emerged: innovation delivers true value only when it is strictly aligned with clear outcomes. Within emerging markets, the deployment of new financial technologies must achieve more than just novelty. It must focus on:</w:t>
      </w:r>
    </w:p>
    <w:p w14:paraId="52C8378D" w14:textId="77777777" w:rsidR="002557FF" w:rsidRPr="002557FF" w:rsidRDefault="002557FF" w:rsidP="002557FF">
      <w:pPr>
        <w:numPr>
          <w:ilvl w:val="0"/>
          <w:numId w:val="1"/>
        </w:numPr>
      </w:pPr>
      <w:r w:rsidRPr="002557FF">
        <w:t>Strengthening the core resilience of financial networks.</w:t>
      </w:r>
    </w:p>
    <w:p w14:paraId="6607F6F5" w14:textId="77777777" w:rsidR="002557FF" w:rsidRPr="002557FF" w:rsidRDefault="002557FF" w:rsidP="002557FF">
      <w:pPr>
        <w:numPr>
          <w:ilvl w:val="0"/>
          <w:numId w:val="1"/>
        </w:numPr>
      </w:pPr>
      <w:r w:rsidRPr="002557FF">
        <w:t>Broadening market participation for previously underserved segments of the population.</w:t>
      </w:r>
    </w:p>
    <w:p w14:paraId="5A9A13EE" w14:textId="77777777" w:rsidR="002557FF" w:rsidRPr="002557FF" w:rsidRDefault="002557FF" w:rsidP="002557FF">
      <w:pPr>
        <w:numPr>
          <w:ilvl w:val="0"/>
          <w:numId w:val="1"/>
        </w:numPr>
      </w:pPr>
      <w:r w:rsidRPr="002557FF">
        <w:t>Supporting long-term, stable performance across the wider financial system.</w:t>
      </w:r>
    </w:p>
    <w:p w14:paraId="63FB861F" w14:textId="77777777" w:rsidR="002557FF" w:rsidRPr="002557FF" w:rsidRDefault="002557FF" w:rsidP="002557FF">
      <w:r w:rsidRPr="002557FF">
        <w:t>As financial technologies continue to mature, the industry must pivot away from speculative features and focus squarely on functional infrastructure that solves real-world operational inefficiencies.</w:t>
      </w:r>
    </w:p>
    <w:p w14:paraId="43554C59" w14:textId="77777777" w:rsidR="002557FF" w:rsidRPr="002557FF" w:rsidRDefault="002557FF" w:rsidP="002557FF">
      <w:pPr>
        <w:rPr>
          <w:b/>
          <w:bCs/>
        </w:rPr>
      </w:pPr>
      <w:r w:rsidRPr="002557FF">
        <w:rPr>
          <w:b/>
          <w:bCs/>
        </w:rPr>
        <w:t>Tokenisation and AI-Driven Digital Assets: 2026 and Beyond</w:t>
      </w:r>
    </w:p>
    <w:p w14:paraId="3A5EBA30" w14:textId="77777777" w:rsidR="002557FF" w:rsidRPr="002557FF" w:rsidRDefault="002557FF" w:rsidP="002557FF">
      <w:r w:rsidRPr="002557FF">
        <w:t>A major focal point of the CTO's session was tokenisation, which stands as a foundational pillar of the strategic work LANI Consulting is driving forward into 2026 and beyond.</w:t>
      </w:r>
    </w:p>
    <w:p w14:paraId="5F19A4B1" w14:textId="77777777" w:rsidR="002557FF" w:rsidRPr="002557FF" w:rsidRDefault="002557FF" w:rsidP="002557FF">
      <w:r w:rsidRPr="002557FF">
        <w:t xml:space="preserve">Tokenisation, coupled with artificial intelligence (AI), is completely redefining the architecture of asset management. By converting physical or financial assets into AI-driven digital assets, institutions can unlock unprecedented liquidity, reduce settlement times, and lower transactional barriers. The integration of intelligent automation ensures that these digital assets are not only highly secure but are also capable of dynamic, automated compliance and risk assessment. The insightful session reinforced </w:t>
      </w:r>
      <w:r w:rsidRPr="002557FF">
        <w:lastRenderedPageBreak/>
        <w:t>just how critical these combined technologies will be in shaping the future of global commerce.</w:t>
      </w:r>
    </w:p>
    <w:p w14:paraId="75D011A9" w14:textId="77777777" w:rsidR="002557FF" w:rsidRPr="002557FF" w:rsidRDefault="002557FF" w:rsidP="002557FF">
      <w:pPr>
        <w:rPr>
          <w:b/>
          <w:bCs/>
        </w:rPr>
      </w:pPr>
      <w:r w:rsidRPr="002557FF">
        <w:rPr>
          <w:b/>
          <w:bCs/>
        </w:rPr>
        <w:t>Building Fit-for-Scale Infrastructure for Emerging Markets</w:t>
      </w:r>
    </w:p>
    <w:p w14:paraId="4A4267CC" w14:textId="77777777" w:rsidR="002557FF" w:rsidRPr="002557FF" w:rsidRDefault="002557FF" w:rsidP="002557FF">
      <w:r w:rsidRPr="002557FF">
        <w:t>The discussion at the Wealth Secular Forum highlighted a unique imperative for African financial markets and other emerging economies. Copying and pasting financial frameworks designed for western economies rarely works. As these markets evolve, the collective focus of tech innovators and financial institutions must remain on building infrastructure and products that are inclusive, practical, and explicitly fit-for-scale.</w:t>
      </w:r>
    </w:p>
    <w:p w14:paraId="7094CA0F" w14:textId="77777777" w:rsidR="002557FF" w:rsidRPr="002557FF" w:rsidRDefault="002557FF" w:rsidP="002557FF">
      <w:r w:rsidRPr="002557FF">
        <w:t>For LANI Consulting, this means pioneering applied thought leadership, robust corporate strategy, and scalable technology frameworks that drive meaningful outcomes for institutions, regional markets, and local economies. By focusing on digital inclusion, the next generation of fintech products can bridge existing structural gaps, ensuring that capital flows more freely and securely to the areas that need it most.</w:t>
      </w:r>
    </w:p>
    <w:p w14:paraId="17189032" w14:textId="77777777" w:rsidR="002557FF" w:rsidRPr="002557FF" w:rsidRDefault="002557FF" w:rsidP="002557FF">
      <w:pPr>
        <w:rPr>
          <w:b/>
          <w:bCs/>
        </w:rPr>
      </w:pPr>
      <w:r w:rsidRPr="002557FF">
        <w:rPr>
          <w:b/>
          <w:bCs/>
        </w:rPr>
        <w:t>Moving Forward</w:t>
      </w:r>
    </w:p>
    <w:p w14:paraId="246093A0" w14:textId="77777777" w:rsidR="002557FF" w:rsidRPr="002557FF" w:rsidRDefault="002557FF" w:rsidP="002557FF">
      <w:r w:rsidRPr="002557FF">
        <w:t>We extend our sincere thanks to Stanbic IBTC for the invitation to speak, as well as to the organisers, participants, and fellow speakers for the immense depth of insight exchanged during the forum.</w:t>
      </w:r>
    </w:p>
    <w:p w14:paraId="280C2337" w14:textId="77777777" w:rsidR="002557FF" w:rsidRPr="002557FF" w:rsidRDefault="002557FF" w:rsidP="002557FF">
      <w:r w:rsidRPr="002557FF">
        <w:t>These high-impact conversations are central to the continuous work we do at LANI Consulting. We look forward to continuing these strategic discussions and building deep, collaborative partnerships in the period ahead as we collectively shape a more inclusive financial landscape.</w:t>
      </w:r>
    </w:p>
    <w:p w14:paraId="1B9BD432" w14:textId="6BE88B86" w:rsidR="00F147BB" w:rsidRDefault="002557FF">
      <w:pPr>
        <w:rPr>
          <w:noProof/>
        </w:rPr>
      </w:pPr>
      <w:r>
        <w:rPr>
          <w:noProof/>
        </w:rPr>
        <w:lastRenderedPageBreak/>
        <w:drawing>
          <wp:inline distT="0" distB="0" distL="0" distR="0" wp14:anchorId="280FE5AD" wp14:editId="29CDB48F">
            <wp:extent cx="5731510" cy="7637145"/>
            <wp:effectExtent l="0" t="0" r="2540" b="1905"/>
            <wp:docPr id="311661355" name="Picture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37145"/>
                    </a:xfrm>
                    <a:prstGeom prst="rect">
                      <a:avLst/>
                    </a:prstGeom>
                    <a:noFill/>
                    <a:ln>
                      <a:noFill/>
                    </a:ln>
                  </pic:spPr>
                </pic:pic>
              </a:graphicData>
            </a:graphic>
          </wp:inline>
        </w:drawing>
      </w:r>
    </w:p>
    <w:p w14:paraId="2F42E943" w14:textId="77777777" w:rsidR="002557FF" w:rsidRDefault="002557FF" w:rsidP="002557FF">
      <w:pPr>
        <w:rPr>
          <w:noProof/>
        </w:rPr>
      </w:pPr>
    </w:p>
    <w:p w14:paraId="308E1E1A" w14:textId="76803075" w:rsidR="002557FF" w:rsidRPr="002557FF" w:rsidRDefault="002557FF" w:rsidP="002557FF">
      <w:pPr>
        <w:ind w:firstLine="720"/>
      </w:pPr>
      <w:r>
        <w:rPr>
          <w:noProof/>
        </w:rPr>
        <w:lastRenderedPageBreak/>
        <w:drawing>
          <wp:inline distT="0" distB="0" distL="0" distR="0" wp14:anchorId="32404556" wp14:editId="71230352">
            <wp:extent cx="5731510" cy="7635240"/>
            <wp:effectExtent l="0" t="0" r="2540" b="3810"/>
            <wp:docPr id="1317670087" name="Picture 2"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alternative text description for this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35240"/>
                    </a:xfrm>
                    <a:prstGeom prst="rect">
                      <a:avLst/>
                    </a:prstGeom>
                    <a:noFill/>
                    <a:ln>
                      <a:noFill/>
                    </a:ln>
                  </pic:spPr>
                </pic:pic>
              </a:graphicData>
            </a:graphic>
          </wp:inline>
        </w:drawing>
      </w:r>
    </w:p>
    <w:sectPr w:rsidR="002557FF" w:rsidRPr="00255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E22B9"/>
    <w:multiLevelType w:val="multilevel"/>
    <w:tmpl w:val="8BD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076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7FF"/>
    <w:rsid w:val="002322C9"/>
    <w:rsid w:val="002557FF"/>
    <w:rsid w:val="007A2D52"/>
    <w:rsid w:val="00F147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AC4FB"/>
  <w15:chartTrackingRefBased/>
  <w15:docId w15:val="{D8068C83-37D5-440D-AB5B-118BD87C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7FF"/>
    <w:rPr>
      <w:rFonts w:eastAsiaTheme="majorEastAsia" w:cstheme="majorBidi"/>
      <w:color w:val="272727" w:themeColor="text1" w:themeTint="D8"/>
    </w:rPr>
  </w:style>
  <w:style w:type="paragraph" w:styleId="Title">
    <w:name w:val="Title"/>
    <w:basedOn w:val="Normal"/>
    <w:next w:val="Normal"/>
    <w:link w:val="TitleChar"/>
    <w:uiPriority w:val="10"/>
    <w:qFormat/>
    <w:rsid w:val="00255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7FF"/>
    <w:pPr>
      <w:spacing w:before="160"/>
      <w:jc w:val="center"/>
    </w:pPr>
    <w:rPr>
      <w:i/>
      <w:iCs/>
      <w:color w:val="404040" w:themeColor="text1" w:themeTint="BF"/>
    </w:rPr>
  </w:style>
  <w:style w:type="character" w:customStyle="1" w:styleId="QuoteChar">
    <w:name w:val="Quote Char"/>
    <w:basedOn w:val="DefaultParagraphFont"/>
    <w:link w:val="Quote"/>
    <w:uiPriority w:val="29"/>
    <w:rsid w:val="002557FF"/>
    <w:rPr>
      <w:i/>
      <w:iCs/>
      <w:color w:val="404040" w:themeColor="text1" w:themeTint="BF"/>
    </w:rPr>
  </w:style>
  <w:style w:type="paragraph" w:styleId="ListParagraph">
    <w:name w:val="List Paragraph"/>
    <w:basedOn w:val="Normal"/>
    <w:uiPriority w:val="34"/>
    <w:qFormat/>
    <w:rsid w:val="002557FF"/>
    <w:pPr>
      <w:ind w:left="720"/>
      <w:contextualSpacing/>
    </w:pPr>
  </w:style>
  <w:style w:type="character" w:styleId="IntenseEmphasis">
    <w:name w:val="Intense Emphasis"/>
    <w:basedOn w:val="DefaultParagraphFont"/>
    <w:uiPriority w:val="21"/>
    <w:qFormat/>
    <w:rsid w:val="002557FF"/>
    <w:rPr>
      <w:i/>
      <w:iCs/>
      <w:color w:val="0F4761" w:themeColor="accent1" w:themeShade="BF"/>
    </w:rPr>
  </w:style>
  <w:style w:type="paragraph" w:styleId="IntenseQuote">
    <w:name w:val="Intense Quote"/>
    <w:basedOn w:val="Normal"/>
    <w:next w:val="Normal"/>
    <w:link w:val="IntenseQuoteChar"/>
    <w:uiPriority w:val="30"/>
    <w:qFormat/>
    <w:rsid w:val="00255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7FF"/>
    <w:rPr>
      <w:i/>
      <w:iCs/>
      <w:color w:val="0F4761" w:themeColor="accent1" w:themeShade="BF"/>
    </w:rPr>
  </w:style>
  <w:style w:type="character" w:styleId="IntenseReference">
    <w:name w:val="Intense Reference"/>
    <w:basedOn w:val="DefaultParagraphFont"/>
    <w:uiPriority w:val="32"/>
    <w:qFormat/>
    <w:rsid w:val="00255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Timothy</dc:creator>
  <cp:keywords/>
  <dc:description/>
  <cp:lastModifiedBy>Faith Timothy</cp:lastModifiedBy>
  <cp:revision>1</cp:revision>
  <dcterms:created xsi:type="dcterms:W3CDTF">2026-06-05T12:33:00Z</dcterms:created>
  <dcterms:modified xsi:type="dcterms:W3CDTF">2026-06-05T12:35:00Z</dcterms:modified>
</cp:coreProperties>
</file>