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CF3" w:rsidRPr="00425543" w:rsidRDefault="009F0DF6">
      <w:pPr>
        <w:spacing w:after="40"/>
        <w:jc w:val="center"/>
        <w:rPr>
          <w:rFonts w:ascii="Segoe UI" w:hAnsi="Segoe UI" w:cs="Segoe UI"/>
        </w:rPr>
      </w:pPr>
      <w:r w:rsidRPr="00425543">
        <w:rPr>
          <w:rFonts w:ascii="Segoe UI" w:hAnsi="Segoe UI" w:cs="Segoe UI"/>
          <w:b/>
          <w:bCs/>
          <w:sz w:val="40"/>
          <w:szCs w:val="40"/>
        </w:rPr>
        <w:t>AAP</w:t>
      </w:r>
      <w:bookmarkStart w:id="0" w:name="_GoBack"/>
      <w:bookmarkEnd w:id="0"/>
      <w:r w:rsidRPr="00425543">
        <w:rPr>
          <w:rFonts w:ascii="Segoe UI" w:hAnsi="Segoe UI" w:cs="Segoe UI"/>
          <w:b/>
          <w:bCs/>
          <w:sz w:val="40"/>
          <w:szCs w:val="40"/>
        </w:rPr>
        <w:t>L Stock Market Analysis</w:t>
      </w:r>
    </w:p>
    <w:p w:rsidR="005F0CF3" w:rsidRPr="00425543" w:rsidRDefault="00425543">
      <w:pPr>
        <w:spacing w:after="200"/>
        <w:jc w:val="center"/>
        <w:rPr>
          <w:rFonts w:ascii="Segoe UI" w:hAnsi="Segoe UI" w:cs="Segoe UI"/>
        </w:rPr>
      </w:pPr>
      <w:r>
        <w:rPr>
          <w:rFonts w:ascii="Segoe UI" w:hAnsi="Segoe UI" w:cs="Segoe UI"/>
          <w:i/>
          <w:iCs/>
          <w:sz w:val="22"/>
          <w:szCs w:val="22"/>
        </w:rPr>
        <w:t xml:space="preserve">Insight Summary Report - </w:t>
      </w:r>
      <w:r w:rsidR="009F0DF6" w:rsidRPr="00425543">
        <w:rPr>
          <w:rFonts w:ascii="Segoe UI" w:hAnsi="Segoe UI" w:cs="Segoe UI"/>
          <w:i/>
          <w:iCs/>
          <w:sz w:val="22"/>
          <w:szCs w:val="22"/>
        </w:rPr>
        <w:t>Week 6: Advanced Python for Data Analysis</w:t>
      </w:r>
    </w:p>
    <w:p w:rsidR="005F0CF3" w:rsidRPr="00425543" w:rsidRDefault="009F0DF6">
      <w:pPr>
        <w:pStyle w:val="Heading1"/>
        <w:spacing w:before="240" w:after="120"/>
        <w:rPr>
          <w:rFonts w:ascii="Segoe UI" w:hAnsi="Segoe UI" w:cs="Segoe UI"/>
          <w:color w:val="auto"/>
        </w:rPr>
      </w:pPr>
      <w:r w:rsidRPr="00425543">
        <w:rPr>
          <w:rFonts w:ascii="Segoe UI" w:hAnsi="Segoe UI" w:cs="Segoe UI"/>
          <w:b/>
          <w:bCs/>
          <w:color w:val="auto"/>
          <w:sz w:val="28"/>
          <w:szCs w:val="28"/>
        </w:rPr>
        <w:t>Dataset Overview</w:t>
      </w:r>
    </w:p>
    <w:p w:rsidR="005F0CF3" w:rsidRPr="00425543" w:rsidRDefault="009F0DF6">
      <w:pPr>
        <w:spacing w:after="16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 xml:space="preserve">The dataset consists of 5 years of daily historical trading data for Apple Inc. (AAPL), retrieved directly from Yahoo Finance using the </w:t>
      </w:r>
      <w:proofErr w:type="spellStart"/>
      <w:r w:rsidRPr="00425543">
        <w:rPr>
          <w:rFonts w:ascii="Segoe UI" w:hAnsi="Segoe UI" w:cs="Segoe UI"/>
          <w:sz w:val="22"/>
          <w:szCs w:val="22"/>
        </w:rPr>
        <w:t>yfinance</w:t>
      </w:r>
      <w:proofErr w:type="spellEnd"/>
      <w:r w:rsidRPr="00425543">
        <w:rPr>
          <w:rFonts w:ascii="Segoe UI" w:hAnsi="Segoe UI" w:cs="Segoe UI"/>
          <w:sz w:val="22"/>
          <w:szCs w:val="22"/>
        </w:rPr>
        <w:t xml:space="preserve"> Python library. It contains 1,255 trading day records with seven fields: Date, Open, High, Low, Close, Adjusted</w:t>
      </w:r>
      <w:r w:rsidRPr="00425543">
        <w:rPr>
          <w:rFonts w:ascii="Segoe UI" w:hAnsi="Segoe UI" w:cs="Segoe UI"/>
          <w:sz w:val="22"/>
          <w:szCs w:val="22"/>
        </w:rPr>
        <w:t xml:space="preserve"> Close, and Volume.</w:t>
      </w:r>
    </w:p>
    <w:p w:rsidR="005F0CF3" w:rsidRPr="00425543" w:rsidRDefault="009F0DF6">
      <w:pPr>
        <w:spacing w:after="16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The dataset required minimal cleaning: no missing values, no duplicate rows, and no invalid or negative price entries were found. All price columns were confirmed as numeric (float64) and the Da</w:t>
      </w:r>
      <w:r w:rsidR="00425543" w:rsidRPr="00425543">
        <w:rPr>
          <w:rFonts w:ascii="Segoe UI" w:hAnsi="Segoe UI" w:cs="Segoe UI"/>
          <w:sz w:val="22"/>
          <w:szCs w:val="22"/>
        </w:rPr>
        <w:t>te column was correctly recogniz</w:t>
      </w:r>
      <w:r w:rsidRPr="00425543">
        <w:rPr>
          <w:rFonts w:ascii="Segoe UI" w:hAnsi="Segoe UI" w:cs="Segoe UI"/>
          <w:sz w:val="22"/>
          <w:szCs w:val="22"/>
        </w:rPr>
        <w:t xml:space="preserve">ed as a </w:t>
      </w:r>
      <w:proofErr w:type="spellStart"/>
      <w:r w:rsidRPr="00425543">
        <w:rPr>
          <w:rFonts w:ascii="Segoe UI" w:hAnsi="Segoe UI" w:cs="Segoe UI"/>
          <w:sz w:val="22"/>
          <w:szCs w:val="22"/>
        </w:rPr>
        <w:t>da</w:t>
      </w:r>
      <w:r w:rsidRPr="00425543">
        <w:rPr>
          <w:rFonts w:ascii="Segoe UI" w:hAnsi="Segoe UI" w:cs="Segoe UI"/>
          <w:sz w:val="22"/>
          <w:szCs w:val="22"/>
        </w:rPr>
        <w:t>tetime</w:t>
      </w:r>
      <w:proofErr w:type="spellEnd"/>
      <w:r w:rsidRPr="00425543">
        <w:rPr>
          <w:rFonts w:ascii="Segoe UI" w:hAnsi="Segoe UI" w:cs="Segoe UI"/>
          <w:sz w:val="22"/>
          <w:szCs w:val="22"/>
        </w:rPr>
        <w:t xml:space="preserve"> type, making it suitable for time-series analysis without extensive preprocessing.</w:t>
      </w:r>
    </w:p>
    <w:p w:rsidR="005F0CF3" w:rsidRPr="00425543" w:rsidRDefault="009F0DF6" w:rsidP="00425543">
      <w:pPr>
        <w:pStyle w:val="Heading1"/>
        <w:spacing w:before="240" w:after="120"/>
        <w:ind w:left="100"/>
        <w:rPr>
          <w:color w:val="auto"/>
        </w:rPr>
      </w:pPr>
      <w:r w:rsidRPr="00425543">
        <w:rPr>
          <w:b/>
          <w:bCs/>
          <w:color w:val="auto"/>
          <w:sz w:val="28"/>
          <w:szCs w:val="28"/>
        </w:rPr>
        <w:t>Data Transformation Techniques Applied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 xml:space="preserve">Sorted records chronologically and set Date as the </w:t>
      </w:r>
      <w:proofErr w:type="spellStart"/>
      <w:r w:rsidRPr="00425543">
        <w:rPr>
          <w:rFonts w:ascii="Segoe UI" w:hAnsi="Segoe UI" w:cs="Segoe UI"/>
          <w:sz w:val="22"/>
          <w:szCs w:val="22"/>
        </w:rPr>
        <w:t>DataFrame</w:t>
      </w:r>
      <w:proofErr w:type="spellEnd"/>
      <w:r w:rsidRPr="00425543">
        <w:rPr>
          <w:rFonts w:ascii="Segoe UI" w:hAnsi="Segoe UI" w:cs="Segoe UI"/>
          <w:sz w:val="22"/>
          <w:szCs w:val="22"/>
        </w:rPr>
        <w:t xml:space="preserve"> index to enable time-series operations.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Verified data types, ch</w:t>
      </w:r>
      <w:r w:rsidRPr="00425543">
        <w:rPr>
          <w:rFonts w:ascii="Segoe UI" w:hAnsi="Segoe UI" w:cs="Segoe UI"/>
          <w:sz w:val="22"/>
          <w:szCs w:val="22"/>
        </w:rPr>
        <w:t>ecked for missing values and duplicates, and validated price ranges for consistency.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Created calculated columns (daily change, percentage change, moving averages, volatility, trading range).</w:t>
      </w:r>
    </w:p>
    <w:p w:rsidR="005F0CF3" w:rsidRPr="00425543" w:rsidRDefault="00425543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>
        <w:rPr>
          <w:rFonts w:ascii="Segoe UI" w:hAnsi="Segoe UI" w:cs="Segoe UI"/>
          <w:sz w:val="22"/>
          <w:szCs w:val="22"/>
        </w:rPr>
        <w:t>Aggregated</w:t>
      </w:r>
      <w:r w:rsidR="009F0DF6" w:rsidRPr="00425543">
        <w:rPr>
          <w:rFonts w:ascii="Segoe UI" w:hAnsi="Segoe UI" w:cs="Segoe UI"/>
          <w:sz w:val="22"/>
          <w:szCs w:val="22"/>
        </w:rPr>
        <w:t xml:space="preserve"> daily prices into month-end val</w:t>
      </w:r>
      <w:r w:rsidR="009F0DF6" w:rsidRPr="00425543">
        <w:rPr>
          <w:rFonts w:ascii="Segoe UI" w:hAnsi="Segoe UI" w:cs="Segoe UI"/>
          <w:sz w:val="22"/>
          <w:szCs w:val="22"/>
        </w:rPr>
        <w:t>ues for monthly return analysis.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Applied .</w:t>
      </w:r>
      <w:proofErr w:type="gramStart"/>
      <w:r w:rsidRPr="00425543">
        <w:rPr>
          <w:rFonts w:ascii="Segoe UI" w:hAnsi="Segoe UI" w:cs="Segoe UI"/>
          <w:sz w:val="22"/>
          <w:szCs w:val="22"/>
        </w:rPr>
        <w:t>rolling(</w:t>
      </w:r>
      <w:proofErr w:type="gramEnd"/>
      <w:r w:rsidRPr="00425543">
        <w:rPr>
          <w:rFonts w:ascii="Segoe UI" w:hAnsi="Segoe UI" w:cs="Segoe UI"/>
          <w:sz w:val="22"/>
          <w:szCs w:val="22"/>
        </w:rPr>
        <w:t>) windows for 7-day and 30-day moving averages and 30-day rolling volatility.</w:t>
      </w:r>
    </w:p>
    <w:p w:rsidR="005F0CF3" w:rsidRPr="00425543" w:rsidRDefault="009F0DF6">
      <w:pPr>
        <w:pStyle w:val="Heading1"/>
        <w:spacing w:before="240" w:after="120"/>
        <w:rPr>
          <w:rFonts w:ascii="Segoe UI" w:hAnsi="Segoe UI" w:cs="Segoe UI"/>
          <w:color w:val="auto"/>
        </w:rPr>
      </w:pPr>
      <w:r w:rsidRPr="00425543">
        <w:rPr>
          <w:rFonts w:ascii="Segoe UI" w:hAnsi="Segoe UI" w:cs="Segoe UI"/>
          <w:b/>
          <w:bCs/>
          <w:color w:val="auto"/>
          <w:sz w:val="28"/>
          <w:szCs w:val="28"/>
        </w:rPr>
        <w:t>Time-Series Trends Identified</w:t>
      </w:r>
    </w:p>
    <w:p w:rsidR="005F0CF3" w:rsidRPr="00425543" w:rsidRDefault="009F0DF6">
      <w:pPr>
        <w:spacing w:after="16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Apple's stock price roughly doubled over the five-year period, rising from a low of approximate</w:t>
      </w:r>
      <w:r w:rsidRPr="00425543">
        <w:rPr>
          <w:rFonts w:ascii="Segoe UI" w:hAnsi="Segoe UI" w:cs="Segoe UI"/>
          <w:sz w:val="22"/>
          <w:szCs w:val="22"/>
        </w:rPr>
        <w:t>ly $123 to a high of approximately $315. The price series shows two distinct multi-year growth phases (2023–2024 and 2025–2026), separated by a sharp correction in early-to-mid 2025 during which the stock fell into the $140s range.</w:t>
      </w:r>
    </w:p>
    <w:p w:rsidR="005F0CF3" w:rsidRPr="00425543" w:rsidRDefault="009F0DF6">
      <w:pPr>
        <w:spacing w:after="16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Trading volume was gener</w:t>
      </w:r>
      <w:r w:rsidRPr="00425543">
        <w:rPr>
          <w:rFonts w:ascii="Segoe UI" w:hAnsi="Segoe UI" w:cs="Segoe UI"/>
          <w:sz w:val="22"/>
          <w:szCs w:val="22"/>
        </w:rPr>
        <w:t>ally higher and more volatile between 2021 and 2023, settling into a calmer baseline through 2024, before picking up again into 2026. A single-day volume spike exceeding 300 million shares (mid-2024) stands out as the largest in the dataset.</w:t>
      </w:r>
    </w:p>
    <w:p w:rsidR="005F0CF3" w:rsidRPr="00425543" w:rsidRDefault="009F0DF6">
      <w:pPr>
        <w:spacing w:after="16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The 30-day rol</w:t>
      </w:r>
      <w:r w:rsidRPr="00425543">
        <w:rPr>
          <w:rFonts w:ascii="Segoe UI" w:hAnsi="Segoe UI" w:cs="Segoe UI"/>
          <w:sz w:val="22"/>
          <w:szCs w:val="22"/>
        </w:rPr>
        <w:t xml:space="preserve">ling volatility measure confirms the same early-to-mid 2025 period as the most turbulent stretch in the five years, with volatility more than doubling its typical baseline — directly coinciding with the price correction and a rise in trading volume during </w:t>
      </w:r>
      <w:r w:rsidRPr="00425543">
        <w:rPr>
          <w:rFonts w:ascii="Segoe UI" w:hAnsi="Segoe UI" w:cs="Segoe UI"/>
          <w:sz w:val="22"/>
          <w:szCs w:val="22"/>
        </w:rPr>
        <w:t>the same window.</w:t>
      </w:r>
    </w:p>
    <w:p w:rsidR="005F0CF3" w:rsidRPr="00425543" w:rsidRDefault="009F0DF6">
      <w:pPr>
        <w:pStyle w:val="Heading1"/>
        <w:spacing w:before="240" w:after="120"/>
        <w:rPr>
          <w:rFonts w:ascii="Segoe UI" w:hAnsi="Segoe UI" w:cs="Segoe UI"/>
          <w:color w:val="auto"/>
        </w:rPr>
      </w:pPr>
      <w:r w:rsidRPr="00425543">
        <w:rPr>
          <w:rFonts w:ascii="Segoe UI" w:hAnsi="Segoe UI" w:cs="Segoe UI"/>
          <w:b/>
          <w:bCs/>
          <w:color w:val="auto"/>
          <w:sz w:val="28"/>
          <w:szCs w:val="28"/>
        </w:rPr>
        <w:t>Features Created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 xml:space="preserve">Daily Price Change — absolute dollar movement between the </w:t>
      </w:r>
      <w:proofErr w:type="gramStart"/>
      <w:r w:rsidRPr="00425543">
        <w:rPr>
          <w:rFonts w:ascii="Segoe UI" w:hAnsi="Segoe UI" w:cs="Segoe UI"/>
          <w:sz w:val="22"/>
          <w:szCs w:val="22"/>
        </w:rPr>
        <w:t>day's</w:t>
      </w:r>
      <w:proofErr w:type="gramEnd"/>
      <w:r w:rsidRPr="00425543">
        <w:rPr>
          <w:rFonts w:ascii="Segoe UI" w:hAnsi="Segoe UI" w:cs="Segoe UI"/>
          <w:sz w:val="22"/>
          <w:szCs w:val="22"/>
        </w:rPr>
        <w:t xml:space="preserve"> open and close.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Daily Percentage Change — day-over-day return, used to study short-term volatility and distribution of returns.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7-Day and 30-Day Moving Averages — smoothed price trends used to distinguish short-term noise from underlying direction.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lastRenderedPageBreak/>
        <w:t>30-Day Rolling Volatility — standard deviation of daily returns over a rolling 30-day window, used as a risk indicator.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Daily Trading R</w:t>
      </w:r>
      <w:r w:rsidRPr="00425543">
        <w:rPr>
          <w:rFonts w:ascii="Segoe UI" w:hAnsi="Segoe UI" w:cs="Segoe UI"/>
          <w:sz w:val="22"/>
          <w:szCs w:val="22"/>
        </w:rPr>
        <w:t xml:space="preserve">ange — difference between the </w:t>
      </w:r>
      <w:proofErr w:type="gramStart"/>
      <w:r w:rsidRPr="00425543">
        <w:rPr>
          <w:rFonts w:ascii="Segoe UI" w:hAnsi="Segoe UI" w:cs="Segoe UI"/>
          <w:sz w:val="22"/>
          <w:szCs w:val="22"/>
        </w:rPr>
        <w:t>day's</w:t>
      </w:r>
      <w:proofErr w:type="gramEnd"/>
      <w:r w:rsidRPr="00425543">
        <w:rPr>
          <w:rFonts w:ascii="Segoe UI" w:hAnsi="Segoe UI" w:cs="Segoe UI"/>
          <w:sz w:val="22"/>
          <w:szCs w:val="22"/>
        </w:rPr>
        <w:t xml:space="preserve"> high and low, reflecting intraday price swings.</w:t>
      </w:r>
    </w:p>
    <w:p w:rsidR="005F0CF3" w:rsidRDefault="009F0DF6"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>Monthly Returns — percentage change in month-end closing price, used to assess longer-term performance patterns.</w:t>
      </w:r>
    </w:p>
    <w:p w:rsidR="005F0CF3" w:rsidRPr="00425543" w:rsidRDefault="009F0DF6">
      <w:pPr>
        <w:pStyle w:val="Heading1"/>
        <w:spacing w:before="240" w:after="120"/>
        <w:rPr>
          <w:rFonts w:ascii="Segoe UI" w:hAnsi="Segoe UI" w:cs="Segoe UI"/>
          <w:color w:val="auto"/>
        </w:rPr>
      </w:pPr>
      <w:r w:rsidRPr="00425543">
        <w:rPr>
          <w:rFonts w:ascii="Segoe UI" w:hAnsi="Segoe UI" w:cs="Segoe UI"/>
          <w:b/>
          <w:bCs/>
          <w:color w:val="auto"/>
          <w:sz w:val="28"/>
          <w:szCs w:val="28"/>
        </w:rPr>
        <w:t>Key Insights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 xml:space="preserve">Apple's stock exhibited a strong long-term </w:t>
      </w:r>
      <w:r w:rsidRPr="00425543">
        <w:rPr>
          <w:rFonts w:ascii="Segoe UI" w:hAnsi="Segoe UI" w:cs="Segoe UI"/>
          <w:sz w:val="22"/>
          <w:szCs w:val="22"/>
        </w:rPr>
        <w:t>uptrend over the five-year period, despite a notable correction in early-to-mid 2025.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Daily returns cluster tightly around 0%, indicating that Apple is relatively low-risk on a day-to-day basis for most of the year.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The stock occasionally experiences sharp</w:t>
      </w:r>
      <w:r w:rsidRPr="00425543">
        <w:rPr>
          <w:rFonts w:ascii="Segoe UI" w:hAnsi="Segoe UI" w:cs="Segoe UI"/>
          <w:sz w:val="22"/>
          <w:szCs w:val="22"/>
        </w:rPr>
        <w:t xml:space="preserve"> single-day moves (as high as +15%), most likely tied to earnings announcements or major company news.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Price, trading volume, and volatility spikes consistently align around the same early-to-mid 2025 period — a strong signal that a significant market even</w:t>
      </w:r>
      <w:r w:rsidRPr="00425543">
        <w:rPr>
          <w:rFonts w:ascii="Segoe UI" w:hAnsi="Segoe UI" w:cs="Segoe UI"/>
          <w:sz w:val="22"/>
          <w:szCs w:val="22"/>
        </w:rPr>
        <w:t>t occurred, warranting further investigation against Apple's earnings calendar or news archives.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Monthly returns were positive more often than negative across the period, consistent with the overall upward trajectory shown in the moving averages.</w:t>
      </w:r>
    </w:p>
    <w:p w:rsidR="005F0CF3" w:rsidRPr="00425543" w:rsidRDefault="009F0DF6">
      <w:pPr>
        <w:pStyle w:val="Heading1"/>
        <w:spacing w:before="240" w:after="120"/>
        <w:rPr>
          <w:rFonts w:ascii="Segoe UI" w:hAnsi="Segoe UI" w:cs="Segoe UI"/>
          <w:color w:val="auto"/>
        </w:rPr>
      </w:pPr>
      <w:r w:rsidRPr="00425543">
        <w:rPr>
          <w:rFonts w:ascii="Segoe UI" w:hAnsi="Segoe UI" w:cs="Segoe UI"/>
          <w:b/>
          <w:bCs/>
          <w:color w:val="auto"/>
          <w:sz w:val="28"/>
          <w:szCs w:val="28"/>
        </w:rPr>
        <w:t>Recomm</w:t>
      </w:r>
      <w:r w:rsidRPr="00425543">
        <w:rPr>
          <w:rFonts w:ascii="Segoe UI" w:hAnsi="Segoe UI" w:cs="Segoe UI"/>
          <w:b/>
          <w:bCs/>
          <w:color w:val="auto"/>
          <w:sz w:val="28"/>
          <w:szCs w:val="28"/>
        </w:rPr>
        <w:t>endations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Investors seeking relative stability may find Apple's low day-to-day volatility appealing, but should stay aware of periodic sharp corrections such as the one observed in early-to-mid 2025.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Further investigation into the early-to-mid 2025 volatility and volume spike — for example, cross-referencing Apple's earnings calendar or major news events from that period — would strengthen the analysis and explain the anomaly.</w:t>
      </w:r>
    </w:p>
    <w:p w:rsidR="005F0CF3" w:rsidRPr="00425543" w:rsidRDefault="009F0DF6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 xml:space="preserve">The consistent alignment </w:t>
      </w:r>
      <w:r w:rsidRPr="00425543">
        <w:rPr>
          <w:rFonts w:ascii="Segoe UI" w:hAnsi="Segoe UI" w:cs="Segoe UI"/>
          <w:sz w:val="22"/>
          <w:szCs w:val="22"/>
        </w:rPr>
        <w:t>between price, volume, and volatility trends supports using rolling volatility as an early indicator of upcoming price corrections in future analyses.</w:t>
      </w:r>
    </w:p>
    <w:p w:rsidR="005F0CF3" w:rsidRPr="00425543" w:rsidRDefault="009F0DF6" w:rsidP="00425543">
      <w:pPr>
        <w:pStyle w:val="ListParagraph"/>
        <w:numPr>
          <w:ilvl w:val="0"/>
          <w:numId w:val="2"/>
        </w:numPr>
        <w:spacing w:after="120"/>
        <w:rPr>
          <w:rFonts w:ascii="Segoe UI" w:hAnsi="Segoe UI" w:cs="Segoe UI"/>
        </w:rPr>
      </w:pPr>
      <w:r w:rsidRPr="00425543">
        <w:rPr>
          <w:rFonts w:ascii="Segoe UI" w:hAnsi="Segoe UI" w:cs="Segoe UI"/>
          <w:sz w:val="22"/>
          <w:szCs w:val="22"/>
        </w:rPr>
        <w:t>Extending this analysis with additional features (e.g. Relative Strength Index, Bollinger Bands, or compa</w:t>
      </w:r>
      <w:r w:rsidRPr="00425543">
        <w:rPr>
          <w:rFonts w:ascii="Segoe UI" w:hAnsi="Segoe UI" w:cs="Segoe UI"/>
          <w:sz w:val="22"/>
          <w:szCs w:val="22"/>
        </w:rPr>
        <w:t>rison against a benchmark index such as the S&amp;P 500) would provide deeper context for investment decision-making.</w:t>
      </w:r>
    </w:p>
    <w:sectPr w:rsidR="005F0CF3" w:rsidRPr="0042554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526CF2"/>
    <w:multiLevelType w:val="hybridMultilevel"/>
    <w:tmpl w:val="BB3C77CC"/>
    <w:lvl w:ilvl="0" w:tplc="66925DA6">
      <w:start w:val="1"/>
      <w:numFmt w:val="bullet"/>
      <w:lvlText w:val="●"/>
      <w:lvlJc w:val="left"/>
      <w:pPr>
        <w:ind w:left="720" w:hanging="360"/>
      </w:pPr>
    </w:lvl>
    <w:lvl w:ilvl="1" w:tplc="0666B5B6">
      <w:start w:val="1"/>
      <w:numFmt w:val="bullet"/>
      <w:lvlText w:val="○"/>
      <w:lvlJc w:val="left"/>
      <w:pPr>
        <w:ind w:left="1440" w:hanging="360"/>
      </w:pPr>
    </w:lvl>
    <w:lvl w:ilvl="2" w:tplc="91D05AFE">
      <w:start w:val="1"/>
      <w:numFmt w:val="bullet"/>
      <w:lvlText w:val="■"/>
      <w:lvlJc w:val="left"/>
      <w:pPr>
        <w:ind w:left="2160" w:hanging="360"/>
      </w:pPr>
    </w:lvl>
    <w:lvl w:ilvl="3" w:tplc="34785BA4">
      <w:start w:val="1"/>
      <w:numFmt w:val="bullet"/>
      <w:lvlText w:val="●"/>
      <w:lvlJc w:val="left"/>
      <w:pPr>
        <w:ind w:left="2880" w:hanging="360"/>
      </w:pPr>
    </w:lvl>
    <w:lvl w:ilvl="4" w:tplc="F9EC748A">
      <w:start w:val="1"/>
      <w:numFmt w:val="bullet"/>
      <w:lvlText w:val="○"/>
      <w:lvlJc w:val="left"/>
      <w:pPr>
        <w:ind w:left="3600" w:hanging="360"/>
      </w:pPr>
    </w:lvl>
    <w:lvl w:ilvl="5" w:tplc="34B8066A">
      <w:start w:val="1"/>
      <w:numFmt w:val="bullet"/>
      <w:lvlText w:val="■"/>
      <w:lvlJc w:val="left"/>
      <w:pPr>
        <w:ind w:left="4320" w:hanging="360"/>
      </w:pPr>
    </w:lvl>
    <w:lvl w:ilvl="6" w:tplc="82AA265A">
      <w:start w:val="1"/>
      <w:numFmt w:val="bullet"/>
      <w:lvlText w:val="●"/>
      <w:lvlJc w:val="left"/>
      <w:pPr>
        <w:ind w:left="5040" w:hanging="360"/>
      </w:pPr>
    </w:lvl>
    <w:lvl w:ilvl="7" w:tplc="95F8DEC2">
      <w:start w:val="1"/>
      <w:numFmt w:val="bullet"/>
      <w:lvlText w:val="●"/>
      <w:lvlJc w:val="left"/>
      <w:pPr>
        <w:ind w:left="5760" w:hanging="360"/>
      </w:pPr>
    </w:lvl>
    <w:lvl w:ilvl="8" w:tplc="498CCCB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EC506DD"/>
    <w:multiLevelType w:val="hybridMultilevel"/>
    <w:tmpl w:val="B2F28822"/>
    <w:lvl w:ilvl="0" w:tplc="ABF45FEC">
      <w:start w:val="1"/>
      <w:numFmt w:val="bullet"/>
      <w:lvlText w:val="•"/>
      <w:lvlJc w:val="left"/>
      <w:pPr>
        <w:ind w:left="360" w:hanging="260"/>
      </w:pPr>
    </w:lvl>
    <w:lvl w:ilvl="1" w:tplc="616E1CA2">
      <w:numFmt w:val="decimal"/>
      <w:lvlText w:val=""/>
      <w:lvlJc w:val="left"/>
    </w:lvl>
    <w:lvl w:ilvl="2" w:tplc="EEB66A1C">
      <w:numFmt w:val="decimal"/>
      <w:lvlText w:val=""/>
      <w:lvlJc w:val="left"/>
    </w:lvl>
    <w:lvl w:ilvl="3" w:tplc="54084228">
      <w:numFmt w:val="decimal"/>
      <w:lvlText w:val=""/>
      <w:lvlJc w:val="left"/>
    </w:lvl>
    <w:lvl w:ilvl="4" w:tplc="4D3A00E8">
      <w:numFmt w:val="decimal"/>
      <w:lvlText w:val=""/>
      <w:lvlJc w:val="left"/>
    </w:lvl>
    <w:lvl w:ilvl="5" w:tplc="0444F546">
      <w:numFmt w:val="decimal"/>
      <w:lvlText w:val=""/>
      <w:lvlJc w:val="left"/>
    </w:lvl>
    <w:lvl w:ilvl="6" w:tplc="31D404E0">
      <w:numFmt w:val="decimal"/>
      <w:lvlText w:val=""/>
      <w:lvlJc w:val="left"/>
    </w:lvl>
    <w:lvl w:ilvl="7" w:tplc="71A2B65E">
      <w:numFmt w:val="decimal"/>
      <w:lvlText w:val=""/>
      <w:lvlJc w:val="left"/>
    </w:lvl>
    <w:lvl w:ilvl="8" w:tplc="AE765ED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CF3"/>
    <w:rsid w:val="00425543"/>
    <w:rsid w:val="005F0CF3"/>
    <w:rsid w:val="009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956AA8-F785-42AD-8A31-7AE403B9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2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AJAKAIYE KEHINDE S</cp:lastModifiedBy>
  <cp:revision>2</cp:revision>
  <dcterms:created xsi:type="dcterms:W3CDTF">2026-07-03T16:00:00Z</dcterms:created>
  <dcterms:modified xsi:type="dcterms:W3CDTF">2026-07-04T05:10:00Z</dcterms:modified>
</cp:coreProperties>
</file>