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CF4C5" w14:textId="77777777" w:rsidR="0094421F" w:rsidRDefault="00BF6A94">
      <w:pPr>
        <w:shd w:val="clear" w:color="auto" w:fill="1A5276"/>
        <w:jc w:val="center"/>
      </w:pPr>
      <w:r>
        <w:rPr>
          <w:b/>
          <w:bCs/>
          <w:color w:val="FFFFFF"/>
          <w:sz w:val="30"/>
          <w:szCs w:val="30"/>
        </w:rPr>
        <w:t>HOSPITAL PATIENT FLOW &amp; RESOURCE ANALYSIS</w:t>
      </w:r>
    </w:p>
    <w:p w14:paraId="65372A11" w14:textId="77777777" w:rsidR="0094421F" w:rsidRDefault="00BF6A94">
      <w:pPr>
        <w:shd w:val="clear" w:color="auto" w:fill="1A5276"/>
        <w:spacing w:after="240"/>
        <w:jc w:val="center"/>
      </w:pPr>
      <w:r>
        <w:rPr>
          <w:color w:val="FFFFFF"/>
        </w:rPr>
        <w:t>Data Analysis Report</w:t>
      </w:r>
    </w:p>
    <w:p w14:paraId="1055BBCD" w14:textId="77777777" w:rsidR="0094421F" w:rsidRDefault="00BF6A94">
      <w:pPr>
        <w:spacing w:before="240" w:after="120"/>
        <w:jc w:val="center"/>
      </w:pPr>
      <w:r>
        <w:rPr>
          <w:b/>
          <w:bCs/>
          <w:color w:val="1A5276"/>
          <w:sz w:val="36"/>
          <w:szCs w:val="36"/>
        </w:rPr>
        <w:t>Hospital Patient Flow &amp; Resource Analysis</w:t>
      </w:r>
    </w:p>
    <w:p w14:paraId="441250FC" w14:textId="77777777" w:rsidR="0094421F" w:rsidRDefault="00BF6A94">
      <w:pPr>
        <w:spacing w:after="80"/>
        <w:jc w:val="center"/>
      </w:pPr>
      <w:r>
        <w:rPr>
          <w:color w:val="2471A3"/>
          <w:sz w:val="24"/>
          <w:szCs w:val="24"/>
        </w:rPr>
        <w:t>Lagos General Hospital  |  2021 – 2023</w:t>
      </w:r>
    </w:p>
    <w:p w14:paraId="0DB99F27" w14:textId="77777777" w:rsidR="0094421F" w:rsidRDefault="0094421F">
      <w:pPr>
        <w:pBdr>
          <w:bottom w:val="single" w:sz="6" w:space="1" w:color="1A5276"/>
        </w:pBdr>
      </w:pPr>
    </w:p>
    <w:p w14:paraId="251B5936" w14:textId="77777777" w:rsidR="0094421F" w:rsidRDefault="009442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421F" w14:paraId="442DD96A"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53A2F61" w14:textId="77777777" w:rsidR="0094421F" w:rsidRDefault="00BF6A94">
            <w:pPr>
              <w:jc w:val="center"/>
            </w:pPr>
            <w:r>
              <w:rPr>
                <w:b/>
                <w:bCs/>
                <w:color w:val="FFFFFF"/>
                <w:sz w:val="20"/>
                <w:szCs w:val="20"/>
              </w:rPr>
              <w:t>Analyst Name</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4387002" w14:textId="77777777" w:rsidR="0094421F" w:rsidRDefault="00BF6A94">
            <w:pPr>
              <w:jc w:val="center"/>
            </w:pPr>
            <w:r>
              <w:rPr>
                <w:b/>
                <w:bCs/>
                <w:color w:val="FFFFFF"/>
                <w:sz w:val="20"/>
                <w:szCs w:val="20"/>
              </w:rPr>
              <w:t>Domain</w:t>
            </w:r>
          </w:p>
        </w:tc>
      </w:tr>
      <w:tr w:rsidR="0094421F" w14:paraId="1D8A9C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A856F" w14:textId="77777777" w:rsidR="0094421F" w:rsidRDefault="00BF6A94">
            <w:r>
              <w:rPr>
                <w:sz w:val="20"/>
                <w:szCs w:val="20"/>
              </w:rPr>
              <w:t>Olaoye Abosede Esther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C990" w14:textId="77777777" w:rsidR="0094421F" w:rsidRDefault="00BF6A94">
            <w:r>
              <w:rPr>
                <w:sz w:val="20"/>
                <w:szCs w:val="20"/>
              </w:rPr>
              <w:t>Healthcare Analytics</w:t>
            </w:r>
          </w:p>
        </w:tc>
      </w:tr>
      <w:tr w:rsidR="0094421F" w14:paraId="3999260F"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994CA3F" w14:textId="77777777" w:rsidR="0094421F" w:rsidRDefault="00BF6A94">
            <w:pPr>
              <w:jc w:val="center"/>
            </w:pPr>
            <w:r>
              <w:rPr>
                <w:b/>
                <w:bCs/>
                <w:color w:val="FFFFFF"/>
                <w:sz w:val="20"/>
                <w:szCs w:val="20"/>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C1FC36F" w14:textId="77777777" w:rsidR="0094421F" w:rsidRDefault="00BF6A94">
            <w:pPr>
              <w:jc w:val="center"/>
            </w:pPr>
            <w:r>
              <w:rPr>
                <w:b/>
                <w:bCs/>
                <w:color w:val="FFFFFF"/>
                <w:sz w:val="20"/>
                <w:szCs w:val="20"/>
              </w:rPr>
              <w:t>Analysis Period</w:t>
            </w:r>
          </w:p>
        </w:tc>
      </w:tr>
      <w:tr w:rsidR="0094421F" w14:paraId="014E115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55D1C9" w14:textId="77777777" w:rsidR="0094421F" w:rsidRDefault="00BF6A94">
            <w:r>
              <w:rPr>
                <w:sz w:val="20"/>
                <w:szCs w:val="20"/>
              </w:rPr>
              <w:t>hospital_patient_flow.csv  |  59,950 rows</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5DD8AC" w14:textId="77777777" w:rsidR="0094421F" w:rsidRDefault="00BF6A94">
            <w:r>
              <w:rPr>
                <w:sz w:val="20"/>
                <w:szCs w:val="20"/>
              </w:rPr>
              <w:t>January 2021 – December 2023</w:t>
            </w:r>
          </w:p>
        </w:tc>
      </w:tr>
      <w:tr w:rsidR="0094421F" w14:paraId="1D6475DE"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AFCA5DA" w14:textId="77777777" w:rsidR="0094421F" w:rsidRDefault="00BF6A94">
            <w:pPr>
              <w:jc w:val="center"/>
            </w:pPr>
            <w:r>
              <w:rPr>
                <w:b/>
                <w:bCs/>
                <w:color w:val="FFFFFF"/>
                <w:sz w:val="20"/>
                <w:szCs w:val="20"/>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9737536" w14:textId="77777777" w:rsidR="0094421F" w:rsidRDefault="00BF6A94">
            <w:pPr>
              <w:jc w:val="center"/>
            </w:pPr>
            <w:r>
              <w:rPr>
                <w:b/>
                <w:bCs/>
                <w:color w:val="FFFFFF"/>
                <w:sz w:val="20"/>
                <w:szCs w:val="20"/>
              </w:rPr>
              <w:t>Contact</w:t>
            </w:r>
          </w:p>
        </w:tc>
      </w:tr>
      <w:tr w:rsidR="0094421F" w14:paraId="423156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A8E54" w14:textId="77777777" w:rsidR="0094421F" w:rsidRDefault="00BF6A94">
            <w:r>
              <w:rPr>
                <w:sz w:val="20"/>
                <w:szCs w:val="20"/>
              </w:rPr>
              <w:t>Python  |  MySQL  |  Excel  |  Power BI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30DB2" w14:textId="77777777" w:rsidR="0094421F" w:rsidRDefault="00BF6A94">
            <w:r>
              <w:rPr>
                <w:sz w:val="20"/>
                <w:szCs w:val="20"/>
              </w:rPr>
              <w:t>esthobossy@gmail.com</w:t>
            </w:r>
          </w:p>
        </w:tc>
      </w:tr>
    </w:tbl>
    <w:p w14:paraId="79BF429B" w14:textId="77777777" w:rsidR="0094421F" w:rsidRDefault="0094421F">
      <w:pPr>
        <w:spacing w:after="80"/>
      </w:pPr>
    </w:p>
    <w:p w14:paraId="396B2740" w14:textId="77777777" w:rsidR="0094421F" w:rsidRDefault="0094421F">
      <w:pPr>
        <w:spacing w:after="80"/>
      </w:pPr>
    </w:p>
    <w:p w14:paraId="5ECD8E4D" w14:textId="77777777" w:rsidR="0094421F" w:rsidRDefault="00BF6A94">
      <w:pPr>
        <w:pStyle w:val="Heading1"/>
        <w:pBdr>
          <w:bottom w:val="single" w:sz="6" w:space="1" w:color="1A5276"/>
        </w:pBdr>
        <w:spacing w:before="280"/>
      </w:pPr>
      <w:r>
        <w:rPr>
          <w:color w:val="1A5276"/>
        </w:rPr>
        <w:t>1. Business Background</w:t>
      </w:r>
    </w:p>
    <w:p w14:paraId="0ED907D4" w14:textId="71916B74" w:rsidR="0094421F" w:rsidRDefault="00BF6A94">
      <w:pPr>
        <w:spacing w:before="80" w:after="80"/>
      </w:pPr>
      <w:r>
        <w:t xml:space="preserve">Lagos General Hospital is a busy tertiary care facility serving patients from across Lagos and </w:t>
      </w:r>
      <w:r w:rsidR="00C81D59">
        <w:t>neighboring</w:t>
      </w:r>
      <w:r>
        <w:t xml:space="preserve"> states. Hospital management raised concerns about long patient waiting times, high readmission rates, and revenue collection gaps. This analysis was commissioned to understand patient flow patterns, identify high-demand periods, and generate insights to guide resource allocation, staffing improvements, and billing efficiency.</w:t>
      </w:r>
    </w:p>
    <w:p w14:paraId="370DFA0D" w14:textId="77777777" w:rsidR="0094421F" w:rsidRDefault="0094421F">
      <w:pPr>
        <w:spacing w:after="80"/>
      </w:pPr>
    </w:p>
    <w:p w14:paraId="2E3E9ABE" w14:textId="2EB46388" w:rsidR="0094421F" w:rsidRDefault="00BF6A94">
      <w:pPr>
        <w:spacing w:before="80" w:after="80"/>
      </w:pPr>
      <w:r>
        <w:t>The dataset contained 60,000 rows covering 2021–202</w:t>
      </w:r>
      <w:r w:rsidR="006F7CEA">
        <w:t>4</w:t>
      </w:r>
      <w:r>
        <w:t>. After cleaning, 59,950 valid records were retained following removal of 50 erroneous 2024 entries. Additionally, 12,122 missing insurance type values were replaced with ‘Unknown’ to preserve data integrity.</w:t>
      </w:r>
    </w:p>
    <w:p w14:paraId="32C33295" w14:textId="77777777" w:rsidR="0094421F" w:rsidRDefault="0094421F">
      <w:pPr>
        <w:spacing w:after="80"/>
      </w:pPr>
    </w:p>
    <w:p w14:paraId="05784384" w14:textId="77777777" w:rsidR="0094421F" w:rsidRDefault="00BF6A94">
      <w:pPr>
        <w:pStyle w:val="Heading1"/>
        <w:pBdr>
          <w:bottom w:val="single" w:sz="6" w:space="1" w:color="1A5276"/>
        </w:pBdr>
        <w:spacing w:before="280"/>
      </w:pPr>
      <w:r>
        <w:rPr>
          <w:color w:val="1A5276"/>
        </w:rPr>
        <w:t>2.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421F" w14:paraId="13472C17" w14:textId="77777777">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C2DA12" w14:textId="77777777" w:rsidR="0094421F" w:rsidRDefault="00BF6A94">
            <w:pPr>
              <w:jc w:val="center"/>
            </w:pPr>
            <w:r>
              <w:rPr>
                <w:b/>
                <w:bCs/>
                <w:color w:val="FFFFFF"/>
                <w:sz w:val="20"/>
                <w:szCs w:val="20"/>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B34CA71" w14:textId="77777777" w:rsidR="0094421F" w:rsidRDefault="00BF6A94">
            <w:pPr>
              <w:jc w:val="center"/>
            </w:pPr>
            <w:r>
              <w:rPr>
                <w:b/>
                <w:bCs/>
                <w:color w:val="FFFFFF"/>
                <w:sz w:val="20"/>
                <w:szCs w:val="20"/>
              </w:rPr>
              <w:t>Value</w:t>
            </w:r>
          </w:p>
        </w:tc>
      </w:tr>
      <w:tr w:rsidR="0094421F" w14:paraId="0EC4354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33C6F" w14:textId="77777777" w:rsidR="0094421F" w:rsidRDefault="00BF6A94">
            <w:r>
              <w:rPr>
                <w:sz w:val="20"/>
                <w:szCs w:val="20"/>
              </w:rPr>
              <w:t>Total Admissions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22C24" w14:textId="77777777" w:rsidR="0094421F" w:rsidRDefault="00BF6A94">
            <w:r>
              <w:rPr>
                <w:sz w:val="20"/>
                <w:szCs w:val="20"/>
              </w:rPr>
              <w:t>59,950</w:t>
            </w:r>
          </w:p>
        </w:tc>
      </w:tr>
      <w:tr w:rsidR="0094421F" w14:paraId="0A5F7AF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3D84BF" w14:textId="77777777" w:rsidR="0094421F" w:rsidRDefault="00BF6A94">
            <w:r>
              <w:rPr>
                <w:sz w:val="20"/>
                <w:szCs w:val="20"/>
              </w:rPr>
              <w:t>Average Length of Stay</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1A4897" w14:textId="77777777" w:rsidR="0094421F" w:rsidRDefault="00BF6A94">
            <w:r>
              <w:rPr>
                <w:sz w:val="20"/>
                <w:szCs w:val="20"/>
              </w:rPr>
              <w:t>~15 days</w:t>
            </w:r>
          </w:p>
        </w:tc>
      </w:tr>
      <w:tr w:rsidR="0094421F" w14:paraId="5DDE6D9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DDCE2" w14:textId="77777777" w:rsidR="0094421F" w:rsidRDefault="00BF6A94">
            <w:r>
              <w:rPr>
                <w:sz w:val="20"/>
                <w:szCs w:val="20"/>
              </w:rPr>
              <w:t>Overall Readmission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F7A95" w14:textId="77777777" w:rsidR="0094421F" w:rsidRDefault="00BF6A94">
            <w:r>
              <w:rPr>
                <w:sz w:val="20"/>
                <w:szCs w:val="20"/>
              </w:rPr>
              <w:t>~20%</w:t>
            </w:r>
          </w:p>
        </w:tc>
      </w:tr>
      <w:tr w:rsidR="0094421F" w14:paraId="70DEB9C3"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1FDE74" w14:textId="77777777" w:rsidR="0094421F" w:rsidRDefault="00BF6A94">
            <w:r>
              <w:rPr>
                <w:sz w:val="20"/>
                <w:szCs w:val="20"/>
              </w:rPr>
              <w:t>Collection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A5C762" w14:textId="77777777" w:rsidR="0094421F" w:rsidRDefault="00BF6A94">
            <w:r>
              <w:rPr>
                <w:sz w:val="20"/>
                <w:szCs w:val="20"/>
              </w:rPr>
              <w:t>~74.9%</w:t>
            </w:r>
          </w:p>
        </w:tc>
      </w:tr>
      <w:tr w:rsidR="0094421F" w14:paraId="6F88E1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72C4" w14:textId="77777777" w:rsidR="0094421F" w:rsidRDefault="00BF6A94">
            <w:r>
              <w:rPr>
                <w:sz w:val="20"/>
                <w:szCs w:val="20"/>
              </w:rPr>
              <w:t>Total Bill Gap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85AB" w14:textId="77777777" w:rsidR="0094421F" w:rsidRDefault="00BF6A94">
            <w:r>
              <w:rPr>
                <w:sz w:val="20"/>
                <w:szCs w:val="20"/>
              </w:rPr>
              <w:t>₦6,074,943,600</w:t>
            </w:r>
          </w:p>
        </w:tc>
      </w:tr>
      <w:tr w:rsidR="0094421F" w14:paraId="0D4FEEFB"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3A8A5E" w14:textId="77777777" w:rsidR="0094421F" w:rsidRDefault="00BF6A94">
            <w:r>
              <w:rPr>
                <w:sz w:val="20"/>
                <w:szCs w:val="20"/>
              </w:rPr>
              <w:t>Busiest Department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DB3367" w14:textId="77777777" w:rsidR="0094421F" w:rsidRDefault="00BF6A94">
            <w:r>
              <w:rPr>
                <w:sz w:val="20"/>
                <w:szCs w:val="20"/>
              </w:rPr>
              <w:t>Pediatrics (7,641 admissions)</w:t>
            </w:r>
          </w:p>
        </w:tc>
      </w:tr>
      <w:tr w:rsidR="0094421F" w14:paraId="6854B9E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FD0B3" w14:textId="77777777" w:rsidR="0094421F" w:rsidRDefault="00BF6A94">
            <w:r>
              <w:rPr>
                <w:sz w:val="20"/>
                <w:szCs w:val="20"/>
              </w:rPr>
              <w:t>Top Diagnosis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41BC" w14:textId="77777777" w:rsidR="0094421F" w:rsidRDefault="00BF6A94">
            <w:r>
              <w:rPr>
                <w:sz w:val="20"/>
                <w:szCs w:val="20"/>
              </w:rPr>
              <w:t>COVID-19 (6.37%)</w:t>
            </w:r>
          </w:p>
        </w:tc>
      </w:tr>
      <w:tr w:rsidR="0094421F" w14:paraId="72066AD0"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6D2026" w14:textId="77777777" w:rsidR="0094421F" w:rsidRDefault="00BF6A94">
            <w:r>
              <w:rPr>
                <w:sz w:val="20"/>
                <w:szCs w:val="20"/>
              </w:rPr>
              <w:lastRenderedPageBreak/>
              <w:t>Peak Admission Hour</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7718FD" w14:textId="77777777" w:rsidR="0094421F" w:rsidRDefault="00BF6A94">
            <w:r>
              <w:rPr>
                <w:sz w:val="20"/>
                <w:szCs w:val="20"/>
              </w:rPr>
              <w:t>17:00 (5PM — Friday)</w:t>
            </w:r>
          </w:p>
        </w:tc>
      </w:tr>
      <w:tr w:rsidR="0094421F" w14:paraId="36DCD89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CA3A5" w14:textId="77777777" w:rsidR="0094421F" w:rsidRDefault="00BF6A94">
            <w:r>
              <w:rPr>
                <w:sz w:val="20"/>
                <w:szCs w:val="20"/>
              </w:rPr>
              <w:t>Highest Mortality Dept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FB55" w14:textId="77777777" w:rsidR="0094421F" w:rsidRDefault="00BF6A94">
            <w:r>
              <w:rPr>
                <w:sz w:val="20"/>
                <w:szCs w:val="20"/>
              </w:rPr>
              <w:t>Oncology</w:t>
            </w:r>
          </w:p>
        </w:tc>
      </w:tr>
      <w:tr w:rsidR="0094421F" w14:paraId="38BBCB4B"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6E54ED" w14:textId="77777777" w:rsidR="0094421F" w:rsidRDefault="00BF6A94">
            <w:r>
              <w:rPr>
                <w:sz w:val="20"/>
                <w:szCs w:val="20"/>
              </w:rPr>
              <w:t>Most Overloaded Ward</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BCDECB" w14:textId="77777777" w:rsidR="0094421F" w:rsidRDefault="00BF6A94">
            <w:r>
              <w:rPr>
                <w:sz w:val="20"/>
                <w:szCs w:val="20"/>
              </w:rPr>
              <w:t>Ward 16 (all 3 years)</w:t>
            </w:r>
          </w:p>
        </w:tc>
      </w:tr>
    </w:tbl>
    <w:p w14:paraId="1772C2E8" w14:textId="77777777" w:rsidR="0094421F" w:rsidRDefault="0094421F">
      <w:pPr>
        <w:spacing w:after="80"/>
      </w:pPr>
    </w:p>
    <w:p w14:paraId="28ABFCC6" w14:textId="77777777" w:rsidR="0094421F" w:rsidRDefault="0094421F">
      <w:pPr>
        <w:spacing w:after="80"/>
      </w:pPr>
    </w:p>
    <w:p w14:paraId="690CFE23" w14:textId="77777777" w:rsidR="0094421F" w:rsidRDefault="00BF6A94">
      <w:pPr>
        <w:pStyle w:val="Heading1"/>
        <w:pBdr>
          <w:bottom w:val="single" w:sz="6" w:space="1" w:color="1A5276"/>
        </w:pBdr>
        <w:spacing w:before="280"/>
      </w:pPr>
      <w:r>
        <w:rPr>
          <w:color w:val="1A5276"/>
        </w:rPr>
        <w:t>3. Key Findings &amp; Insights</w:t>
      </w:r>
    </w:p>
    <w:p w14:paraId="327E661F" w14:textId="77777777" w:rsidR="0094421F" w:rsidRDefault="00BF6A94">
      <w:pPr>
        <w:pStyle w:val="Heading2"/>
        <w:spacing w:before="200"/>
      </w:pPr>
      <w:r>
        <w:rPr>
          <w:color w:val="2471A3"/>
        </w:rPr>
        <w:t>3.1 Department Performance</w:t>
      </w:r>
    </w:p>
    <w:p w14:paraId="36209232" w14:textId="77777777" w:rsidR="0094421F" w:rsidRDefault="00BF6A94">
      <w:pPr>
        <w:spacing w:before="80" w:after="80"/>
      </w:pPr>
      <w:r>
        <w:t>Pediatrics emerged as the busiest department with 7,641 admissions, the highest readmission rate, and the second-highest mortality rate. Paradoxically, it also recorded the lowest average bill per patient despite consuming the most resources. This combination of high demand, poor outcomes, and low billing suggests significant underpricing of pediatric services relative to resource consumption and warrants urgent management review.</w:t>
      </w:r>
    </w:p>
    <w:p w14:paraId="1A956753" w14:textId="77777777" w:rsidR="0094421F" w:rsidRDefault="0094421F">
      <w:pPr>
        <w:spacing w:after="80"/>
      </w:pPr>
    </w:p>
    <w:p w14:paraId="70A9A8DA" w14:textId="77777777" w:rsidR="0094421F" w:rsidRDefault="00BF6A94">
      <w:pPr>
        <w:pStyle w:val="Heading2"/>
        <w:spacing w:before="200"/>
      </w:pPr>
      <w:r>
        <w:rPr>
          <w:color w:val="2471A3"/>
        </w:rPr>
        <w:t>3.2 Peak Admission Periods</w:t>
      </w:r>
    </w:p>
    <w:p w14:paraId="37BF9AE6" w14:textId="2817A5EC" w:rsidR="0094421F" w:rsidRDefault="00BF6A94">
      <w:pPr>
        <w:spacing w:before="80" w:after="80"/>
      </w:pPr>
      <w:r>
        <w:t xml:space="preserve">The heatmap analysis of admissions by hour and day of week revealed two distinct peak periods, both recording 401 admissions: Friday at 17:00 (5PM) and Saturday at 01:00 (1AM). The Friday evening peak reflects post-work healthcare seeking </w:t>
      </w:r>
      <w:r w:rsidR="004A724D">
        <w:t>behavior</w:t>
      </w:r>
      <w:r>
        <w:t>, while the Saturday midnight peak suggests late-night emergency admissions. Maximum staffing must be deployed at both these time windows to manage patient flow effectively.</w:t>
      </w:r>
    </w:p>
    <w:p w14:paraId="4CA62C04" w14:textId="77777777" w:rsidR="0094421F" w:rsidRDefault="0094421F">
      <w:pPr>
        <w:spacing w:after="80"/>
      </w:pPr>
    </w:p>
    <w:p w14:paraId="1DF373B7" w14:textId="77777777" w:rsidR="0094421F" w:rsidRDefault="00BF6A94">
      <w:pPr>
        <w:pStyle w:val="Heading2"/>
        <w:spacing w:before="200"/>
      </w:pPr>
      <w:r>
        <w:rPr>
          <w:color w:val="2471A3"/>
        </w:rPr>
        <w:t>3.3 Revenue Collection Gap</w:t>
      </w:r>
    </w:p>
    <w:p w14:paraId="1FAAFA4A" w14:textId="5E53665B" w:rsidR="0094421F" w:rsidRDefault="00BF6A94">
      <w:pPr>
        <w:spacing w:before="80" w:after="80"/>
      </w:pPr>
      <w:r>
        <w:t>A total bill gap of ₦6,074,943,600 was identified across the analysis period. All five insurance types — NHIS, HMO, Corporate, Out-of-Pocket, and Unknown</w:t>
      </w:r>
      <w:r w:rsidR="006F7CEA">
        <w:t xml:space="preserve">, </w:t>
      </w:r>
      <w:r>
        <w:t>showed remarkably similar collection rates of approximately 75%, confirming that the billing gap is a systemic hospital-wide issue rather than one specific to any insurance type. Every patient category pays only three-quarters of their billed amount on average.</w:t>
      </w:r>
    </w:p>
    <w:p w14:paraId="7D50B54E" w14:textId="77777777" w:rsidR="0094421F" w:rsidRDefault="0094421F">
      <w:pPr>
        <w:spacing w:after="80"/>
      </w:pPr>
    </w:p>
    <w:p w14:paraId="1C487C08" w14:textId="77777777" w:rsidR="0094421F" w:rsidRDefault="00BF6A94">
      <w:pPr>
        <w:pStyle w:val="Heading2"/>
        <w:spacing w:before="200"/>
      </w:pPr>
      <w:r>
        <w:rPr>
          <w:color w:val="2471A3"/>
        </w:rPr>
        <w:t>3.4 Length of Stay Analysis</w:t>
      </w:r>
    </w:p>
    <w:p w14:paraId="23CAFAC7" w14:textId="77777777" w:rsidR="0094421F" w:rsidRDefault="00BF6A94">
      <w:pPr>
        <w:spacing w:before="80" w:after="80"/>
      </w:pPr>
      <w:r>
        <w:t>The box plot analysis revealed that Emergency had the shortest length of stay at 1–3 days, consistent with acute care management. All other departments averaged 10–25 days. Critically, 27,032 patients (45% of all admissions) stayed longer than 14 days, indicating high resource consumption and bed occupancy. Pediatrics and Neurology led in long-stay patients, consistent with their complex care requirements.</w:t>
      </w:r>
    </w:p>
    <w:p w14:paraId="3D035CCA" w14:textId="77777777" w:rsidR="0094421F" w:rsidRDefault="0094421F">
      <w:pPr>
        <w:spacing w:after="80"/>
      </w:pPr>
    </w:p>
    <w:p w14:paraId="450B8993" w14:textId="77777777" w:rsidR="0094421F" w:rsidRDefault="00BF6A94">
      <w:pPr>
        <w:pStyle w:val="Heading2"/>
        <w:spacing w:before="200"/>
      </w:pPr>
      <w:r>
        <w:rPr>
          <w:color w:val="2471A3"/>
        </w:rPr>
        <w:t>3.5 Mortality Analysis</w:t>
      </w:r>
    </w:p>
    <w:p w14:paraId="66A99E39" w14:textId="77777777" w:rsidR="0094421F" w:rsidRDefault="00BF6A94">
      <w:pPr>
        <w:spacing w:before="80" w:after="80"/>
      </w:pPr>
      <w:r>
        <w:t>Oncology recorded the highest overall mortality rate, which is clinically expected given the severity of cancer diagnoses. However, Pediatrics ranked second highest in mortality, which is clinically alarming since children generally have better survival prospects than oncology patients. The 2022 Pediatrics mortality spike from 3.0% to 3.74% before returning to 3.0% in 2023 warrants specific investigation into what changed in 2022.</w:t>
      </w:r>
    </w:p>
    <w:p w14:paraId="1427D809" w14:textId="77777777" w:rsidR="0094421F" w:rsidRDefault="0094421F">
      <w:pPr>
        <w:spacing w:after="80"/>
      </w:pPr>
    </w:p>
    <w:p w14:paraId="57979740" w14:textId="77777777" w:rsidR="0094421F" w:rsidRDefault="00BF6A94">
      <w:pPr>
        <w:pStyle w:val="Heading2"/>
        <w:spacing w:before="200"/>
      </w:pPr>
      <w:r>
        <w:rPr>
          <w:color w:val="2471A3"/>
        </w:rPr>
        <w:t>3.6 Ward Overload</w:t>
      </w:r>
    </w:p>
    <w:p w14:paraId="6D92651D" w14:textId="77777777" w:rsidR="0094421F" w:rsidRDefault="00BF6A94">
      <w:pPr>
        <w:spacing w:before="80" w:after="80"/>
      </w:pPr>
      <w:r>
        <w:t>Ward 16 appeared in the top 5 busiest wards across all three years, making it the most chronically overloaded ward in the hospital. Ward 20 also consistently ranked 2nd and 3rd across different years. Both wards require permanent additional bed capacity and nursing staff to manage their consistent patient load.</w:t>
      </w:r>
    </w:p>
    <w:p w14:paraId="243DF4D6" w14:textId="77777777" w:rsidR="0094421F" w:rsidRDefault="0094421F">
      <w:pPr>
        <w:spacing w:after="80"/>
      </w:pPr>
    </w:p>
    <w:p w14:paraId="77E66D69" w14:textId="77777777" w:rsidR="0094421F" w:rsidRDefault="00BF6A94">
      <w:pPr>
        <w:pStyle w:val="Heading1"/>
        <w:pBdr>
          <w:bottom w:val="single" w:sz="6" w:space="1" w:color="1A5276"/>
        </w:pBdr>
        <w:spacing w:before="280"/>
      </w:pPr>
      <w:r>
        <w:rPr>
          <w:color w:val="1A5276"/>
        </w:rPr>
        <w:t>4. Recommendations</w:t>
      </w:r>
    </w:p>
    <w:p w14:paraId="5E0053C6" w14:textId="77777777" w:rsidR="0094421F" w:rsidRDefault="00BF6A94">
      <w:pPr>
        <w:spacing w:before="60" w:after="60"/>
        <w:ind w:left="720" w:hanging="360"/>
      </w:pPr>
      <w:r>
        <w:rPr>
          <w:color w:val="1A5276"/>
        </w:rPr>
        <w:t xml:space="preserve">•  </w:t>
      </w:r>
      <w:r>
        <w:t>Urgently investigate Pediatrics mortality rates and readmission patterns, particularly the 2022 mortality spike, to identify and address systemic care quality issues.</w:t>
      </w:r>
    </w:p>
    <w:p w14:paraId="4D9AABDE" w14:textId="77777777" w:rsidR="0094421F" w:rsidRDefault="00BF6A94">
      <w:pPr>
        <w:spacing w:before="60" w:after="60"/>
        <w:ind w:left="720" w:hanging="360"/>
      </w:pPr>
      <w:r>
        <w:rPr>
          <w:color w:val="1A5276"/>
        </w:rPr>
        <w:t xml:space="preserve">•  </w:t>
      </w:r>
      <w:r>
        <w:t>Implement a hospital-wide payment enforcement policy to address the systemic 25% collection gap, including stricter insurance verification at admission and follow-up billing processes.</w:t>
      </w:r>
    </w:p>
    <w:p w14:paraId="41C054CA" w14:textId="77777777" w:rsidR="0094421F" w:rsidRDefault="00BF6A94">
      <w:pPr>
        <w:spacing w:before="60" w:after="60"/>
        <w:ind w:left="720" w:hanging="360"/>
      </w:pPr>
      <w:r>
        <w:rPr>
          <w:color w:val="1A5276"/>
        </w:rPr>
        <w:t xml:space="preserve">•  </w:t>
      </w:r>
      <w:r>
        <w:t>Deploy maximum nursing and medical staff on Friday evenings and Saturday overnight shifts to manage the two identified peak admission periods.</w:t>
      </w:r>
    </w:p>
    <w:p w14:paraId="0A81ADDE" w14:textId="77777777" w:rsidR="0094421F" w:rsidRDefault="00BF6A94">
      <w:pPr>
        <w:spacing w:before="60" w:after="60"/>
        <w:ind w:left="720" w:hanging="360"/>
      </w:pPr>
      <w:r>
        <w:rPr>
          <w:color w:val="1A5276"/>
        </w:rPr>
        <w:t xml:space="preserve">•  </w:t>
      </w:r>
      <w:r>
        <w:t>Expand capacity in Ward 16 and Ward 20 through additional beds, equipment, and dedicated nursing staff to relieve chronic overload.</w:t>
      </w:r>
    </w:p>
    <w:p w14:paraId="2BF7C104" w14:textId="77777777" w:rsidR="0094421F" w:rsidRDefault="00BF6A94">
      <w:pPr>
        <w:spacing w:before="60" w:after="60"/>
        <w:ind w:left="720" w:hanging="360"/>
      </w:pPr>
      <w:r>
        <w:rPr>
          <w:color w:val="1A5276"/>
        </w:rPr>
        <w:t xml:space="preserve">•  </w:t>
      </w:r>
      <w:r>
        <w:t>Review and increase pricing for Pediatric services to reflect actual resource consumption, as the current low billing is unsustainable given the high admission and readmission rates.</w:t>
      </w:r>
    </w:p>
    <w:p w14:paraId="5AB4861A" w14:textId="77777777" w:rsidR="0094421F" w:rsidRDefault="00BF6A94">
      <w:pPr>
        <w:spacing w:before="60" w:after="60"/>
        <w:ind w:left="720" w:hanging="360"/>
      </w:pPr>
      <w:r>
        <w:rPr>
          <w:color w:val="1A5276"/>
        </w:rPr>
        <w:t xml:space="preserve">•  </w:t>
      </w:r>
      <w:r>
        <w:t>Improve insurance data collection at admission to reduce the 20% Unknown insurance category and enable more accurate revenue planning.</w:t>
      </w:r>
    </w:p>
    <w:p w14:paraId="5A897081" w14:textId="77777777" w:rsidR="0094421F" w:rsidRDefault="0094421F">
      <w:pPr>
        <w:spacing w:after="80"/>
      </w:pPr>
    </w:p>
    <w:p w14:paraId="65ADF5A1" w14:textId="77777777" w:rsidR="0094421F" w:rsidRDefault="00BF6A94">
      <w:pPr>
        <w:pStyle w:val="Heading1"/>
        <w:pBdr>
          <w:bottom w:val="single" w:sz="6" w:space="1" w:color="1A5276"/>
        </w:pBdr>
        <w:spacing w:before="280"/>
      </w:pPr>
      <w:r>
        <w:rPr>
          <w:color w:val="1A5276"/>
        </w:rPr>
        <w:t>5. Conclusion</w:t>
      </w:r>
    </w:p>
    <w:p w14:paraId="5DB5097D" w14:textId="77777777" w:rsidR="0094421F" w:rsidRDefault="00BF6A94">
      <w:pPr>
        <w:spacing w:before="80" w:after="80"/>
      </w:pPr>
      <w:r>
        <w:t>This analysis of Lagos General Hospital patient flow data across 2021–2023 has uncovered critical operational challenges requiring immediate management attention. The systemic 25% revenue collection gap, chronic Pediatrics overload, and two identified peak admission hours represent the most pressing priorities. Findings are consistent across Python, SQL, Excel, and Power BI analyses, providing high confidence in their accuracy. Implementation of the recommendations above will improve patient outcomes, staff efficiency, and financial sustainability for the hospital.</w:t>
      </w:r>
    </w:p>
    <w:p w14:paraId="0539DEC0" w14:textId="77777777" w:rsidR="0094421F" w:rsidRDefault="0094421F">
      <w:pPr>
        <w:spacing w:after="80"/>
      </w:pPr>
    </w:p>
    <w:p w14:paraId="1823132A" w14:textId="77777777" w:rsidR="0094421F" w:rsidRDefault="0094421F">
      <w:pPr>
        <w:pBdr>
          <w:bottom w:val="single" w:sz="6" w:space="1" w:color="1A5276"/>
        </w:pBdr>
      </w:pPr>
    </w:p>
    <w:p w14:paraId="14A2FA91" w14:textId="77777777" w:rsidR="0094421F" w:rsidRDefault="00BF6A94">
      <w:pPr>
        <w:spacing w:before="120"/>
        <w:jc w:val="center"/>
      </w:pPr>
      <w:r>
        <w:rPr>
          <w:i/>
          <w:iCs/>
          <w:color w:val="888888"/>
          <w:sz w:val="18"/>
          <w:szCs w:val="18"/>
        </w:rPr>
        <w:t>Olaoye Abosede Esther  |  Healthcare Data Analyst  |  2026</w:t>
      </w:r>
    </w:p>
    <w:sectPr w:rsidR="009442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C409A"/>
    <w:multiLevelType w:val="hybridMultilevel"/>
    <w:tmpl w:val="2E6C6320"/>
    <w:lvl w:ilvl="0" w:tplc="4586A5C0">
      <w:start w:val="1"/>
      <w:numFmt w:val="bullet"/>
      <w:lvlText w:val="●"/>
      <w:lvlJc w:val="left"/>
      <w:pPr>
        <w:ind w:left="720" w:hanging="360"/>
      </w:pPr>
    </w:lvl>
    <w:lvl w:ilvl="1" w:tplc="4FCEFACE">
      <w:start w:val="1"/>
      <w:numFmt w:val="bullet"/>
      <w:lvlText w:val="○"/>
      <w:lvlJc w:val="left"/>
      <w:pPr>
        <w:ind w:left="1440" w:hanging="360"/>
      </w:pPr>
    </w:lvl>
    <w:lvl w:ilvl="2" w:tplc="64823204">
      <w:start w:val="1"/>
      <w:numFmt w:val="bullet"/>
      <w:lvlText w:val="■"/>
      <w:lvlJc w:val="left"/>
      <w:pPr>
        <w:ind w:left="2160" w:hanging="360"/>
      </w:pPr>
    </w:lvl>
    <w:lvl w:ilvl="3" w:tplc="4ADC3D56">
      <w:start w:val="1"/>
      <w:numFmt w:val="bullet"/>
      <w:lvlText w:val="●"/>
      <w:lvlJc w:val="left"/>
      <w:pPr>
        <w:ind w:left="2880" w:hanging="360"/>
      </w:pPr>
    </w:lvl>
    <w:lvl w:ilvl="4" w:tplc="583A0D06">
      <w:start w:val="1"/>
      <w:numFmt w:val="bullet"/>
      <w:lvlText w:val="○"/>
      <w:lvlJc w:val="left"/>
      <w:pPr>
        <w:ind w:left="3600" w:hanging="360"/>
      </w:pPr>
    </w:lvl>
    <w:lvl w:ilvl="5" w:tplc="1DAA41EA">
      <w:start w:val="1"/>
      <w:numFmt w:val="bullet"/>
      <w:lvlText w:val="■"/>
      <w:lvlJc w:val="left"/>
      <w:pPr>
        <w:ind w:left="4320" w:hanging="360"/>
      </w:pPr>
    </w:lvl>
    <w:lvl w:ilvl="6" w:tplc="18DAD2A8">
      <w:start w:val="1"/>
      <w:numFmt w:val="bullet"/>
      <w:lvlText w:val="●"/>
      <w:lvlJc w:val="left"/>
      <w:pPr>
        <w:ind w:left="5040" w:hanging="360"/>
      </w:pPr>
    </w:lvl>
    <w:lvl w:ilvl="7" w:tplc="2072FF8C">
      <w:start w:val="1"/>
      <w:numFmt w:val="bullet"/>
      <w:lvlText w:val="●"/>
      <w:lvlJc w:val="left"/>
      <w:pPr>
        <w:ind w:left="5760" w:hanging="360"/>
      </w:pPr>
    </w:lvl>
    <w:lvl w:ilvl="8" w:tplc="4E6CEDA8">
      <w:start w:val="1"/>
      <w:numFmt w:val="bullet"/>
      <w:lvlText w:val="●"/>
      <w:lvlJc w:val="left"/>
      <w:pPr>
        <w:ind w:left="6480" w:hanging="360"/>
      </w:pPr>
    </w:lvl>
  </w:abstractNum>
  <w:num w:numId="1" w16cid:durableId="1538736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21F"/>
    <w:rsid w:val="00353EC4"/>
    <w:rsid w:val="00460C42"/>
    <w:rsid w:val="004A724D"/>
    <w:rsid w:val="006F7CEA"/>
    <w:rsid w:val="0094421F"/>
    <w:rsid w:val="00AE2318"/>
    <w:rsid w:val="00BF6A94"/>
    <w:rsid w:val="00C8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B0A4"/>
  <w15:docId w15:val="{839CF038-EEE2-4130-AA3B-1A95F18B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Abosede Olaoye</cp:lastModifiedBy>
  <cp:revision>4</cp:revision>
  <dcterms:created xsi:type="dcterms:W3CDTF">2026-08-06T20:14:00Z</dcterms:created>
  <dcterms:modified xsi:type="dcterms:W3CDTF">2026-08-06T20:45:00Z</dcterms:modified>
</cp:coreProperties>
</file>