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61C52"/>
        </w:rPr>
        <w:t>UI Alumni Halls Fund</w:t>
      </w:r>
    </w:p>
    <w:p>
      <w:r>
        <w:rPr>
          <w:b/>
          <w:color w:val="8C6813"/>
          <w:sz w:val="30"/>
        </w:rPr>
        <w:t>Cost to Go Live — Full Breakdown</w:t>
      </w:r>
    </w:p>
    <w:p>
      <w:r>
        <w:rPr>
          <w:i/>
          <w:color w:val="5B5F72"/>
          <w:sz w:val="19"/>
        </w:rPr>
        <w:t>Prepared August 2026. Every price below was checked directly against each provider's current pricing page at time of writing — please re-verify before finalizing a budget, as pricing can change.</w:t>
      </w:r>
    </w:p>
    <w:p/>
    <w:p>
      <w:pPr>
        <w:pStyle w:val="Heading1"/>
      </w:pPr>
      <w:r>
        <w:rPr>
          <w:color w:val="161C52"/>
        </w:rPr>
        <w:t>Bottom line</w:t>
      </w:r>
    </w:p>
    <w:p>
      <w:r>
        <w:rPr>
          <w:b/>
        </w:rPr>
        <w:t xml:space="preserve">$0 fixed cost to launch a fully working version. </w:t>
      </w:r>
      <w:r>
        <w:t>The realistic recommended setup for an official university fundraising platform — with proper hosting instead of a free personal-use tier — comes to roughly $20-65 per month, plus a small percentage automatically deducted from each donation (standard for any online payment processor, not specific to this platform).</w:t>
      </w:r>
    </w:p>
    <w:p>
      <w:r>
        <w:t>There are two ways to read the numbers below: the absolute minimum to have everything technically working, and what's recommended for a platform officially representing the university.</w:t>
      </w:r>
    </w:p>
    <w:p>
      <w:pPr>
        <w:pStyle w:val="Heading1"/>
      </w:pPr>
      <w:r>
        <w:rPr>
          <w:color w:val="161C52"/>
        </w:rPr>
        <w:t>One-time costs</w:t>
      </w:r>
    </w:p>
    <w:tbl>
      <w:tblPr>
        <w:tblStyle w:val="TableGrid"/>
        <w:tblW w:type="auto" w:w="0"/>
        <w:jc w:val="left"/>
        <w:tblLook w:firstColumn="1" w:firstRow="1" w:lastColumn="0" w:lastRow="0" w:noHBand="0" w:noVBand="1" w:val="04A0"/>
      </w:tblPr>
      <w:tblGrid>
        <w:gridCol w:w="3216"/>
        <w:gridCol w:w="3216"/>
        <w:gridCol w:w="3216"/>
      </w:tblGrid>
      <w:tr>
        <w:tc>
          <w:tcPr>
            <w:tcW w:type="dxa" w:w="2448"/>
            <w:shd w:val="clear" w:color="auto" w:fill="161C52"/>
          </w:tcPr>
          <w:p>
            <w:r/>
            <w:r>
              <w:rPr>
                <w:b/>
                <w:color w:val="FFFFFF"/>
                <w:sz w:val="21"/>
              </w:rPr>
              <w:t>Item</w:t>
            </w:r>
          </w:p>
        </w:tc>
        <w:tc>
          <w:tcPr>
            <w:tcW w:type="dxa" w:w="1440"/>
            <w:shd w:val="clear" w:color="auto" w:fill="161C52"/>
          </w:tcPr>
          <w:p>
            <w:r/>
            <w:r>
              <w:rPr>
                <w:b/>
                <w:color w:val="FFFFFF"/>
                <w:sz w:val="21"/>
              </w:rPr>
              <w:t>Cost</w:t>
            </w:r>
          </w:p>
        </w:tc>
        <w:tc>
          <w:tcPr>
            <w:tcW w:type="dxa" w:w="5184"/>
            <w:shd w:val="clear" w:color="auto" w:fill="161C52"/>
          </w:tcPr>
          <w:p>
            <w:r/>
            <w:r>
              <w:rPr>
                <w:b/>
                <w:color w:val="FFFFFF"/>
                <w:sz w:val="21"/>
              </w:rPr>
              <w:t>Notes</w:t>
            </w:r>
          </w:p>
        </w:tc>
      </w:tr>
      <w:tr>
        <w:tc>
          <w:tcPr>
            <w:tcW w:type="dxa" w:w="2448"/>
          </w:tcPr>
          <w:p>
            <w:r/>
            <w:r>
              <w:rPr>
                <w:b w:val="0"/>
                <w:sz w:val="21"/>
              </w:rPr>
              <w:t>Domain name</w:t>
            </w:r>
          </w:p>
        </w:tc>
        <w:tc>
          <w:tcPr>
            <w:tcW w:type="dxa" w:w="1440"/>
          </w:tcPr>
          <w:p>
            <w:r/>
            <w:r>
              <w:rPr>
                <w:b w:val="0"/>
                <w:sz w:val="21"/>
              </w:rPr>
              <w:t>$10-15/year</w:t>
            </w:r>
          </w:p>
        </w:tc>
        <w:tc>
          <w:tcPr>
            <w:tcW w:type="dxa" w:w="5184"/>
          </w:tcPr>
          <w:p>
            <w:r/>
            <w:r>
              <w:rPr>
                <w:b w:val="0"/>
                <w:sz w:val="21"/>
              </w:rPr>
              <w:t>e.g. a .org domain. Free alternative: ask UI's IT/webmaster for a subdomain of the university's own domain (e.g. give.ui.edu.ng) — more official-looking and costs nothing beyond an internal request.</w:t>
            </w:r>
          </w:p>
        </w:tc>
      </w:tr>
      <w:tr>
        <w:tc>
          <w:tcPr>
            <w:tcW w:type="dxa" w:w="2448"/>
          </w:tcPr>
          <w:p>
            <w:r/>
            <w:r>
              <w:rPr>
                <w:b w:val="0"/>
                <w:sz w:val="21"/>
              </w:rPr>
              <w:t>Everything else (dev, setup, deployment)</w:t>
            </w:r>
          </w:p>
        </w:tc>
        <w:tc>
          <w:tcPr>
            <w:tcW w:type="dxa" w:w="1440"/>
          </w:tcPr>
          <w:p>
            <w:r/>
            <w:r>
              <w:rPr>
                <w:b w:val="0"/>
                <w:sz w:val="21"/>
              </w:rPr>
              <w:t>$0</w:t>
            </w:r>
          </w:p>
        </w:tc>
        <w:tc>
          <w:tcPr>
            <w:tcW w:type="dxa" w:w="5184"/>
          </w:tcPr>
          <w:p>
            <w:r/>
            <w:r>
              <w:rPr>
                <w:b w:val="0"/>
                <w:sz w:val="21"/>
              </w:rPr>
              <w:t>No setup fees on any service used.</w:t>
            </w:r>
          </w:p>
        </w:tc>
      </w:tr>
    </w:tbl>
    <w:p/>
    <w:p>
      <w:pPr>
        <w:pStyle w:val="Heading1"/>
      </w:pPr>
      <w:r>
        <w:rPr>
          <w:color w:val="161C52"/>
        </w:rPr>
        <w:t>Monthly recurring costs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1728"/>
            <w:shd w:val="clear" w:color="auto" w:fill="161C52"/>
          </w:tcPr>
          <w:p>
            <w:r/>
            <w:r>
              <w:rPr>
                <w:b/>
                <w:color w:val="FFFFFF"/>
                <w:sz w:val="21"/>
              </w:rPr>
              <w:t>Service</w:t>
            </w:r>
          </w:p>
        </w:tc>
        <w:tc>
          <w:tcPr>
            <w:tcW w:type="dxa" w:w="2160"/>
            <w:shd w:val="clear" w:color="auto" w:fill="161C52"/>
          </w:tcPr>
          <w:p>
            <w:r/>
            <w:r>
              <w:rPr>
                <w:b/>
                <w:color w:val="FFFFFF"/>
                <w:sz w:val="21"/>
              </w:rPr>
              <w:t>What it's for</w:t>
            </w:r>
          </w:p>
        </w:tc>
        <w:tc>
          <w:tcPr>
            <w:tcW w:type="dxa" w:w="3024"/>
            <w:shd w:val="clear" w:color="auto" w:fill="161C52"/>
          </w:tcPr>
          <w:p>
            <w:r/>
            <w:r>
              <w:rPr>
                <w:b/>
                <w:color w:val="FFFFFF"/>
                <w:sz w:val="21"/>
              </w:rPr>
              <w:t>Free tier</w:t>
            </w:r>
          </w:p>
        </w:tc>
        <w:tc>
          <w:tcPr>
            <w:tcW w:type="dxa" w:w="2160"/>
            <w:shd w:val="clear" w:color="auto" w:fill="161C52"/>
          </w:tcPr>
          <w:p>
            <w:r/>
            <w:r>
              <w:rPr>
                <w:b/>
                <w:color w:val="FFFFFF"/>
                <w:sz w:val="21"/>
              </w:rPr>
              <w:t>Recommended paid tier</w:t>
            </w:r>
          </w:p>
        </w:tc>
      </w:tr>
      <w:tr>
        <w:tc>
          <w:tcPr>
            <w:tcW w:type="dxa" w:w="1728"/>
          </w:tcPr>
          <w:p>
            <w:r/>
            <w:r>
              <w:rPr>
                <w:b w:val="0"/>
                <w:sz w:val="21"/>
              </w:rPr>
              <w:t>Hosting (Vercel)</w:t>
            </w:r>
          </w:p>
        </w:tc>
        <w:tc>
          <w:tcPr>
            <w:tcW w:type="dxa" w:w="2160"/>
          </w:tcPr>
          <w:p>
            <w:r/>
            <w:r>
              <w:rPr>
                <w:b w:val="0"/>
                <w:sz w:val="21"/>
              </w:rPr>
              <w:t>Serves the website</w:t>
            </w:r>
          </w:p>
        </w:tc>
        <w:tc>
          <w:tcPr>
            <w:tcW w:type="dxa" w:w="3024"/>
          </w:tcPr>
          <w:p>
            <w:r/>
            <w:r>
              <w:rPr>
                <w:b w:val="0"/>
                <w:sz w:val="21"/>
              </w:rPr>
              <w:t>Free — but Vercel's free “Hobby” tier is licensed for personal, non-commercial use only per their terms</w:t>
            </w:r>
          </w:p>
        </w:tc>
        <w:tc>
          <w:tcPr>
            <w:tcW w:type="dxa" w:w="2160"/>
          </w:tcPr>
          <w:p>
            <w:r/>
            <w:r>
              <w:rPr>
                <w:b w:val="0"/>
                <w:sz w:val="21"/>
              </w:rPr>
              <w:t>$20/month (Pro plan, per team member) — the correct tier for an institutional site like this</w:t>
            </w:r>
          </w:p>
        </w:tc>
      </w:tr>
      <w:tr>
        <w:tc>
          <w:tcPr>
            <w:tcW w:type="dxa" w:w="1728"/>
          </w:tcPr>
          <w:p>
            <w:r/>
            <w:r>
              <w:rPr>
                <w:b w:val="0"/>
                <w:sz w:val="21"/>
              </w:rPr>
              <w:t>Supabase</w:t>
            </w:r>
          </w:p>
        </w:tc>
        <w:tc>
          <w:tcPr>
            <w:tcW w:type="dxa" w:w="2160"/>
          </w:tcPr>
          <w:p>
            <w:r/>
            <w:r>
              <w:rPr>
                <w:b w:val="0"/>
                <w:sz w:val="21"/>
              </w:rPr>
              <w:t>Database, logins, live totals</w:t>
            </w:r>
          </w:p>
        </w:tc>
        <w:tc>
          <w:tcPr>
            <w:tcW w:type="dxa" w:w="3024"/>
          </w:tcPr>
          <w:p>
            <w:r/>
            <w:r>
              <w:rPr>
                <w:b w:val="0"/>
                <w:sz w:val="21"/>
              </w:rPr>
              <w:t>Free: 500MB database, 50,000 monthly logins, 5GB bandwidth — comfortably enough for this project for a long time</w:t>
            </w:r>
          </w:p>
        </w:tc>
        <w:tc>
          <w:tcPr>
            <w:tcW w:type="dxa" w:w="2160"/>
          </w:tcPr>
          <w:p>
            <w:r/>
            <w:r>
              <w:rPr>
                <w:b w:val="0"/>
                <w:sz w:val="21"/>
              </w:rPr>
              <w:t>$25/month (Pro) — only needed if it outgrows the free tier</w:t>
            </w:r>
          </w:p>
        </w:tc>
      </w:tr>
      <w:tr>
        <w:tc>
          <w:tcPr>
            <w:tcW w:type="dxa" w:w="1728"/>
          </w:tcPr>
          <w:p>
            <w:r/>
            <w:r>
              <w:rPr>
                <w:b w:val="0"/>
                <w:sz w:val="21"/>
              </w:rPr>
              <w:t>Resend</w:t>
            </w:r>
          </w:p>
        </w:tc>
        <w:tc>
          <w:tcPr>
            <w:tcW w:type="dxa" w:w="2160"/>
          </w:tcPr>
          <w:p>
            <w:r/>
            <w:r>
              <w:rPr>
                <w:b w:val="0"/>
                <w:sz w:val="21"/>
              </w:rPr>
              <w:t>Sends receipt emails</w:t>
            </w:r>
          </w:p>
        </w:tc>
        <w:tc>
          <w:tcPr>
            <w:tcW w:type="dxa" w:w="3024"/>
          </w:tcPr>
          <w:p>
            <w:r/>
            <w:r>
              <w:rPr>
                <w:b w:val="0"/>
                <w:sz w:val="21"/>
              </w:rPr>
              <w:t>Free: 3,000 emails/month (100/day)</w:t>
            </w:r>
          </w:p>
        </w:tc>
        <w:tc>
          <w:tcPr>
            <w:tcW w:type="dxa" w:w="2160"/>
          </w:tcPr>
          <w:p>
            <w:r/>
            <w:r>
              <w:rPr>
                <w:b w:val="0"/>
                <w:sz w:val="21"/>
              </w:rPr>
              <w:t>$20/month (covers 50,000/month) — only needed at higher donation volume</w:t>
            </w:r>
          </w:p>
        </w:tc>
      </w:tr>
      <w:tr>
        <w:tc>
          <w:tcPr>
            <w:tcW w:type="dxa" w:w="1728"/>
          </w:tcPr>
          <w:p>
            <w:r/>
            <w:r>
              <w:rPr>
                <w:b w:val="0"/>
                <w:sz w:val="21"/>
              </w:rPr>
              <w:t>Cloudflare Turnstile</w:t>
            </w:r>
          </w:p>
        </w:tc>
        <w:tc>
          <w:tcPr>
            <w:tcW w:type="dxa" w:w="2160"/>
          </w:tcPr>
          <w:p>
            <w:r/>
            <w:r>
              <w:rPr>
                <w:b w:val="0"/>
                <w:sz w:val="21"/>
              </w:rPr>
              <w:t>Bot protection on the donation form</w:t>
            </w:r>
          </w:p>
        </w:tc>
        <w:tc>
          <w:tcPr>
            <w:tcW w:type="dxa" w:w="3024"/>
          </w:tcPr>
          <w:p>
            <w:r/>
            <w:r>
              <w:rPr>
                <w:b w:val="0"/>
                <w:sz w:val="21"/>
              </w:rPr>
              <w:t>Free, no limits</w:t>
            </w:r>
          </w:p>
        </w:tc>
        <w:tc>
          <w:tcPr>
            <w:tcW w:type="dxa" w:w="2160"/>
          </w:tcPr>
          <w:p>
            <w:r/>
            <w:r>
              <w:rPr>
                <w:b w:val="0"/>
                <w:sz w:val="21"/>
              </w:rPr>
              <w:t>—</w:t>
            </w:r>
          </w:p>
        </w:tc>
      </w:tr>
      <w:tr>
        <w:tc>
          <w:tcPr>
            <w:tcW w:type="dxa" w:w="1728"/>
          </w:tcPr>
          <w:p>
            <w:r/>
            <w:r>
              <w:rPr>
                <w:b w:val="0"/>
                <w:sz w:val="21"/>
              </w:rPr>
              <w:t>FX rate lookup</w:t>
            </w:r>
          </w:p>
        </w:tc>
        <w:tc>
          <w:tcPr>
            <w:tcW w:type="dxa" w:w="2160"/>
          </w:tcPr>
          <w:p>
            <w:r/>
            <w:r>
              <w:rPr>
                <w:b w:val="0"/>
                <w:sz w:val="21"/>
              </w:rPr>
              <w:t>Powers the live ₦/$ combined total</w:t>
            </w:r>
          </w:p>
        </w:tc>
        <w:tc>
          <w:tcPr>
            <w:tcW w:type="dxa" w:w="3024"/>
          </w:tcPr>
          <w:p>
            <w:r/>
            <w:r>
              <w:rPr>
                <w:b w:val="0"/>
                <w:sz w:val="21"/>
              </w:rPr>
              <w:t>Free, no key required, no realistic way to exceed the free limit at this traffic</w:t>
            </w:r>
          </w:p>
        </w:tc>
        <w:tc>
          <w:tcPr>
            <w:tcW w:type="dxa" w:w="2160"/>
          </w:tcPr>
          <w:p>
            <w:r/>
            <w:r>
              <w:rPr>
                <w:b w:val="0"/>
                <w:sz w:val="21"/>
              </w:rPr>
              <w:t>—</w:t>
            </w:r>
          </w:p>
        </w:tc>
      </w:tr>
    </w:tbl>
    <w:p/>
    <w:p>
      <w:r>
        <w:rPr>
          <w:b/>
        </w:rPr>
        <w:t>Minimum realistic monthly cost: $20/month</w:t>
      </w:r>
      <w:r>
        <w:t xml:space="preserve"> (just Vercel Pro — the other free tiers are genuinely sufficient at this scale).</w:t>
      </w:r>
    </w:p>
    <w:p>
      <w:r>
        <w:rPr>
          <w:b/>
        </w:rPr>
        <w:t>If it outgrows the free tiers: up to ~$65/month</w:t>
      </w:r>
      <w:r>
        <w:t xml:space="preserve"> (Vercel Pro + Supabase Pro + Resend Pro).</w:t>
      </w:r>
    </w:p>
    <w:p>
      <w:pPr>
        <w:pStyle w:val="Heading1"/>
      </w:pPr>
      <w:r>
        <w:rPr>
          <w:color w:val="161C52"/>
        </w:rPr>
        <w:t>Variable costs — a percentage of each donation</w:t>
      </w:r>
    </w:p>
    <w:p>
      <w:r>
        <w:t>This isn't a bill the university pays; it's deducted automatically from each donation by the payment processor, same as it would be anywhere else donations are accepted by card.</w:t>
      </w:r>
    </w:p>
    <w:tbl>
      <w:tblPr>
        <w:tblStyle w:val="TableGrid"/>
        <w:tblW w:type="auto" w:w="0"/>
        <w:jc w:val="left"/>
        <w:tblLook w:firstColumn="1" w:firstRow="1" w:lastColumn="0" w:lastRow="0" w:noHBand="0" w:noVBand="1" w:val="04A0"/>
      </w:tblPr>
      <w:tblGrid>
        <w:gridCol w:w="4824"/>
        <w:gridCol w:w="4824"/>
      </w:tblGrid>
      <w:tr>
        <w:tc>
          <w:tcPr>
            <w:tcW w:type="dxa" w:w="3312"/>
            <w:shd w:val="clear" w:color="auto" w:fill="161C52"/>
          </w:tcPr>
          <w:p>
            <w:r/>
            <w:r>
              <w:rPr>
                <w:b/>
                <w:color w:val="FFFFFF"/>
                <w:sz w:val="21"/>
              </w:rPr>
              <w:t>Provider</w:t>
            </w:r>
          </w:p>
        </w:tc>
        <w:tc>
          <w:tcPr>
            <w:tcW w:type="dxa" w:w="5760"/>
            <w:shd w:val="clear" w:color="auto" w:fill="161C52"/>
          </w:tcPr>
          <w:p>
            <w:r/>
            <w:r>
              <w:rPr>
                <w:b/>
                <w:color w:val="FFFFFF"/>
                <w:sz w:val="21"/>
              </w:rPr>
              <w:t>Fee</w:t>
            </w:r>
          </w:p>
        </w:tc>
      </w:tr>
      <w:tr>
        <w:tc>
          <w:tcPr>
            <w:tcW w:type="dxa" w:w="3312"/>
          </w:tcPr>
          <w:p>
            <w:r/>
            <w:r>
              <w:rPr>
                <w:b w:val="0"/>
                <w:sz w:val="21"/>
              </w:rPr>
              <w:t>Paystack (Naira donations)</w:t>
            </w:r>
          </w:p>
        </w:tc>
        <w:tc>
          <w:tcPr>
            <w:tcW w:type="dxa" w:w="5760"/>
          </w:tcPr>
          <w:p>
            <w:r/>
            <w:r>
              <w:rPr>
                <w:b w:val="0"/>
                <w:sz w:val="21"/>
              </w:rPr>
              <w:t>1.5% + ₦100 per transaction (₦100 waived under ₦2,500; capped at ₦2,000 max), plus 7.5% VAT on the fee</w:t>
            </w:r>
          </w:p>
        </w:tc>
      </w:tr>
      <w:tr>
        <w:tc>
          <w:tcPr>
            <w:tcW w:type="dxa" w:w="3312"/>
          </w:tcPr>
          <w:p>
            <w:r/>
            <w:r>
              <w:rPr>
                <w:b w:val="0"/>
                <w:sz w:val="21"/>
              </w:rPr>
              <w:t>Stripe (Dollar donations)</w:t>
            </w:r>
          </w:p>
        </w:tc>
        <w:tc>
          <w:tcPr>
            <w:tcW w:type="dxa" w:w="5760"/>
          </w:tcPr>
          <w:p>
            <w:r/>
            <w:r>
              <w:rPr>
                <w:b w:val="0"/>
                <w:sz w:val="21"/>
              </w:rPr>
              <w:t>2.9% + $0.30 per transaction</w:t>
            </w:r>
          </w:p>
        </w:tc>
      </w:tr>
    </w:tbl>
    <w:p/>
    <w:p>
      <w:r>
        <w:rPr>
          <w:i/>
          <w:color w:val="5B5F72"/>
          <w:sz w:val="19"/>
        </w:rPr>
        <w:t>Example: a ₦25,000 Naira donation costs about ₦486 in fees (≈1.9%) — the hall's recorded total reflects the full ₦25,000 given; the fee is between Paystack and the university's settlement account, same as any card payment.</w:t>
      </w:r>
    </w:p>
    <w:p/>
    <w:p>
      <w:pPr>
        <w:pStyle w:val="Heading1"/>
      </w:pPr>
      <w:r>
        <w:rPr>
          <w:color w:val="161C52"/>
        </w:rPr>
        <w:t>Blockchain (confirmation stamp)</w:t>
      </w:r>
    </w:p>
    <w:tbl>
      <w:tblPr>
        <w:tblStyle w:val="TableGrid"/>
        <w:tblW w:type="auto" w:w="0"/>
        <w:jc w:val="left"/>
        <w:tblLook w:firstColumn="1" w:firstRow="1" w:lastColumn="0" w:lastRow="0" w:noHBand="0" w:noVBand="1" w:val="04A0"/>
      </w:tblPr>
      <w:tblGrid>
        <w:gridCol w:w="4824"/>
        <w:gridCol w:w="4824"/>
      </w:tblGrid>
      <w:tr>
        <w:tc>
          <w:tcPr>
            <w:tcW w:type="dxa" w:w="4752"/>
            <w:shd w:val="clear" w:color="auto" w:fill="161C52"/>
          </w:tcPr>
          <w:p>
            <w:r/>
            <w:r>
              <w:rPr>
                <w:b/>
                <w:color w:val="FFFFFF"/>
                <w:sz w:val="21"/>
              </w:rPr>
              <w:t>Item</w:t>
            </w:r>
          </w:p>
        </w:tc>
        <w:tc>
          <w:tcPr>
            <w:tcW w:type="dxa" w:w="4320"/>
            <w:shd w:val="clear" w:color="auto" w:fill="161C52"/>
          </w:tcPr>
          <w:p>
            <w:r/>
            <w:r>
              <w:rPr>
                <w:b/>
                <w:color w:val="FFFFFF"/>
                <w:sz w:val="21"/>
              </w:rPr>
              <w:t>Cost</w:t>
            </w:r>
          </w:p>
        </w:tc>
      </w:tr>
      <w:tr>
        <w:tc>
          <w:tcPr>
            <w:tcW w:type="dxa" w:w="4752"/>
          </w:tcPr>
          <w:p>
            <w:r/>
            <w:r>
              <w:rPr>
                <w:b w:val="0"/>
                <w:sz w:val="21"/>
              </w:rPr>
              <w:t>Testnet (current demo setup)</w:t>
            </w:r>
          </w:p>
        </w:tc>
        <w:tc>
          <w:tcPr>
            <w:tcW w:type="dxa" w:w="4320"/>
          </w:tcPr>
          <w:p>
            <w:r/>
            <w:r>
              <w:rPr>
                <w:b w:val="0"/>
                <w:sz w:val="21"/>
              </w:rPr>
              <w:t>Free forever</w:t>
            </w:r>
          </w:p>
        </w:tc>
      </w:tr>
      <w:tr>
        <w:tc>
          <w:tcPr>
            <w:tcW w:type="dxa" w:w="4752"/>
          </w:tcPr>
          <w:p>
            <w:r/>
            <w:r>
              <w:rPr>
                <w:b w:val="0"/>
                <w:sz w:val="21"/>
              </w:rPr>
              <w:t>Real mainnet deployment (recommended before public launch)</w:t>
            </w:r>
          </w:p>
        </w:tc>
        <w:tc>
          <w:tcPr>
            <w:tcW w:type="dxa" w:w="4320"/>
          </w:tcPr>
          <w:p>
            <w:r/>
            <w:r>
              <w:rPr>
                <w:b w:val="0"/>
                <w:sz w:val="21"/>
              </w:rPr>
              <w:t>One-time: a few dollars of MATIC/POL for gas. Ongoing: well under $5 total for the entire campaign's lifetime — Polygon is extremely cheap per transaction</w:t>
            </w:r>
          </w:p>
        </w:tc>
      </w:tr>
    </w:tbl>
    <w:p/>
    <w:p>
      <w:r>
        <w:rPr>
          <w:i/>
          <w:color w:val="5B5F72"/>
          <w:sz w:val="19"/>
        </w:rPr>
        <w:t>Note: the demo currently uses Polygon's free test network, which is fine for evaluation but would show “testnet” to anyone who clicks “verify this total.” Worth switching to the real network before this goes out to alumni, at near-zero added cost.</w:t>
      </w:r>
    </w:p>
    <w:p/>
    <w:p>
      <w:pPr>
        <w:pStyle w:val="Heading1"/>
      </w:pPr>
      <w:r>
        <w:rPr>
          <w:color w:val="161C52"/>
        </w:rPr>
        <w:t>Two ways to launch</w:t>
      </w:r>
    </w:p>
    <w:tbl>
      <w:tblPr>
        <w:tblStyle w:val="TableGrid"/>
        <w:tblW w:type="auto" w:w="0"/>
        <w:jc w:val="left"/>
        <w:tblLook w:firstColumn="1" w:firstRow="1" w:lastColumn="0" w:lastRow="0" w:noHBand="0" w:noVBand="1" w:val="04A0"/>
      </w:tblPr>
      <w:tblGrid>
        <w:gridCol w:w="3216"/>
        <w:gridCol w:w="3216"/>
        <w:gridCol w:w="3216"/>
      </w:tblGrid>
      <w:tr>
        <w:tc>
          <w:tcPr>
            <w:tcW w:type="dxa" w:w="1872"/>
            <w:shd w:val="clear" w:color="auto" w:fill="161C52"/>
          </w:tcPr>
          <w:p>
            <w:r/>
            <w:r>
              <w:rPr>
                <w:b/>
                <w:color w:val="FFFFFF"/>
                <w:sz w:val="21"/>
              </w:rPr>
            </w:r>
          </w:p>
        </w:tc>
        <w:tc>
          <w:tcPr>
            <w:tcW w:type="dxa" w:w="3888"/>
            <w:shd w:val="clear" w:color="auto" w:fill="161C52"/>
          </w:tcPr>
          <w:p>
            <w:r/>
            <w:r>
              <w:rPr>
                <w:b/>
                <w:color w:val="FFFFFF"/>
                <w:sz w:val="21"/>
              </w:rPr>
              <w:t>Bare minimum</w:t>
            </w:r>
          </w:p>
        </w:tc>
        <w:tc>
          <w:tcPr>
            <w:tcW w:type="dxa" w:w="3312"/>
            <w:shd w:val="clear" w:color="auto" w:fill="161C52"/>
          </w:tcPr>
          <w:p>
            <w:r/>
            <w:r>
              <w:rPr>
                <w:b/>
                <w:color w:val="FFFFFF"/>
                <w:sz w:val="21"/>
              </w:rPr>
              <w:t>Recommended</w:t>
            </w:r>
          </w:p>
        </w:tc>
      </w:tr>
      <w:tr>
        <w:tc>
          <w:tcPr>
            <w:tcW w:type="dxa" w:w="1872"/>
          </w:tcPr>
          <w:p>
            <w:r/>
            <w:r>
              <w:rPr>
                <w:b w:val="0"/>
                <w:sz w:val="21"/>
              </w:rPr>
              <w:t>Hosting</w:t>
            </w:r>
          </w:p>
        </w:tc>
        <w:tc>
          <w:tcPr>
            <w:tcW w:type="dxa" w:w="3888"/>
          </w:tcPr>
          <w:p>
            <w:r/>
            <w:r>
              <w:rPr>
                <w:b w:val="0"/>
                <w:sz w:val="21"/>
              </w:rPr>
              <w:t>Vercel Hobby (free, but against their terms for institutional use)</w:t>
            </w:r>
          </w:p>
        </w:tc>
        <w:tc>
          <w:tcPr>
            <w:tcW w:type="dxa" w:w="3312"/>
          </w:tcPr>
          <w:p>
            <w:r/>
            <w:r>
              <w:rPr>
                <w:b w:val="0"/>
                <w:sz w:val="21"/>
              </w:rPr>
              <w:t>Vercel Pro — $20/mo</w:t>
            </w:r>
          </w:p>
        </w:tc>
      </w:tr>
      <w:tr>
        <w:tc>
          <w:tcPr>
            <w:tcW w:type="dxa" w:w="1872"/>
          </w:tcPr>
          <w:p>
            <w:r/>
            <w:r>
              <w:rPr>
                <w:b w:val="0"/>
                <w:sz w:val="21"/>
              </w:rPr>
              <w:t>Database/Auth</w:t>
            </w:r>
          </w:p>
        </w:tc>
        <w:tc>
          <w:tcPr>
            <w:tcW w:type="dxa" w:w="3888"/>
          </w:tcPr>
          <w:p>
            <w:r/>
            <w:r>
              <w:rPr>
                <w:b w:val="0"/>
                <w:sz w:val="21"/>
              </w:rPr>
              <w:t>Supabase Free</w:t>
            </w:r>
          </w:p>
        </w:tc>
        <w:tc>
          <w:tcPr>
            <w:tcW w:type="dxa" w:w="3312"/>
          </w:tcPr>
          <w:p>
            <w:r/>
            <w:r>
              <w:rPr>
                <w:b w:val="0"/>
                <w:sz w:val="21"/>
              </w:rPr>
              <w:t>Supabase Free (upgrade only if it grows)</w:t>
            </w:r>
          </w:p>
        </w:tc>
      </w:tr>
      <w:tr>
        <w:tc>
          <w:tcPr>
            <w:tcW w:type="dxa" w:w="1872"/>
          </w:tcPr>
          <w:p>
            <w:r/>
            <w:r>
              <w:rPr>
                <w:b w:val="0"/>
                <w:sz w:val="21"/>
              </w:rPr>
              <w:t>Email</w:t>
            </w:r>
          </w:p>
        </w:tc>
        <w:tc>
          <w:tcPr>
            <w:tcW w:type="dxa" w:w="3888"/>
          </w:tcPr>
          <w:p>
            <w:r/>
            <w:r>
              <w:rPr>
                <w:b w:val="0"/>
                <w:sz w:val="21"/>
              </w:rPr>
              <w:t>Resend Free</w:t>
            </w:r>
          </w:p>
        </w:tc>
        <w:tc>
          <w:tcPr>
            <w:tcW w:type="dxa" w:w="3312"/>
          </w:tcPr>
          <w:p>
            <w:r/>
            <w:r>
              <w:rPr>
                <w:b w:val="0"/>
                <w:sz w:val="21"/>
              </w:rPr>
              <w:t>Resend Free (upgrade only if it grows)</w:t>
            </w:r>
          </w:p>
        </w:tc>
      </w:tr>
      <w:tr>
        <w:tc>
          <w:tcPr>
            <w:tcW w:type="dxa" w:w="1872"/>
          </w:tcPr>
          <w:p>
            <w:r/>
            <w:r>
              <w:rPr>
                <w:b w:val="0"/>
                <w:sz w:val="21"/>
              </w:rPr>
              <w:t>Domain</w:t>
            </w:r>
          </w:p>
        </w:tc>
        <w:tc>
          <w:tcPr>
            <w:tcW w:type="dxa" w:w="3888"/>
          </w:tcPr>
          <w:p>
            <w:r/>
            <w:r>
              <w:rPr>
                <w:b w:val="0"/>
                <w:sz w:val="21"/>
              </w:rPr>
              <w:t>.vercel.app subdomain (free)</w:t>
            </w:r>
          </w:p>
        </w:tc>
        <w:tc>
          <w:tcPr>
            <w:tcW w:type="dxa" w:w="3312"/>
          </w:tcPr>
          <w:p>
            <w:r/>
            <w:r>
              <w:rPr>
                <w:b w:val="0"/>
                <w:sz w:val="21"/>
              </w:rPr>
              <w:t>Own domain or a UI subdomain — $0-15/yr</w:t>
            </w:r>
          </w:p>
        </w:tc>
      </w:tr>
      <w:tr>
        <w:tc>
          <w:tcPr>
            <w:tcW w:type="dxa" w:w="1872"/>
          </w:tcPr>
          <w:p>
            <w:r/>
            <w:r>
              <w:rPr>
                <w:b w:val="0"/>
                <w:sz w:val="21"/>
              </w:rPr>
              <w:t>Blockchain</w:t>
            </w:r>
          </w:p>
        </w:tc>
        <w:tc>
          <w:tcPr>
            <w:tcW w:type="dxa" w:w="3888"/>
          </w:tcPr>
          <w:p>
            <w:r/>
            <w:r>
              <w:rPr>
                <w:b w:val="0"/>
                <w:sz w:val="21"/>
              </w:rPr>
              <w:t>Amoy testnet (free)</w:t>
            </w:r>
          </w:p>
        </w:tc>
        <w:tc>
          <w:tcPr>
            <w:tcW w:type="dxa" w:w="3312"/>
          </w:tcPr>
          <w:p>
            <w:r/>
            <w:r>
              <w:rPr>
                <w:b w:val="0"/>
                <w:sz w:val="21"/>
              </w:rPr>
              <w:t>Polygon mainnet — ~$5 one-time</w:t>
            </w:r>
          </w:p>
        </w:tc>
      </w:tr>
      <w:tr>
        <w:tc>
          <w:tcPr>
            <w:tcW w:type="dxa" w:w="1872"/>
          </w:tcPr>
          <w:p>
            <w:r/>
            <w:r>
              <w:rPr>
                <w:b/>
                <w:sz w:val="21"/>
              </w:rPr>
              <w:t>Monthly total</w:t>
            </w:r>
          </w:p>
        </w:tc>
        <w:tc>
          <w:tcPr>
            <w:tcW w:type="dxa" w:w="3888"/>
          </w:tcPr>
          <w:p>
            <w:r/>
            <w:r>
              <w:rPr>
                <w:b/>
                <w:sz w:val="21"/>
              </w:rPr>
              <w:t>$0</w:t>
            </w:r>
          </w:p>
        </w:tc>
        <w:tc>
          <w:tcPr>
            <w:tcW w:type="dxa" w:w="3312"/>
          </w:tcPr>
          <w:p>
            <w:r/>
            <w:r>
              <w:rPr>
                <w:b/>
                <w:sz w:val="21"/>
              </w:rPr>
              <w:t>~$20/month</w:t>
            </w:r>
          </w:p>
        </w:tc>
      </w:tr>
    </w:tbl>
    <w:p/>
    <w:p>
      <w:pPr>
        <w:pStyle w:val="Heading1"/>
      </w:pPr>
      <w:r>
        <w:rPr>
          <w:color w:val="161C52"/>
        </w:rPr>
        <w:t>What this document doesn't cover</w:t>
      </w:r>
    </w:p>
    <w:p>
      <w:pPr>
        <w:pStyle w:val="ListBullet"/>
      </w:pPr>
      <w:r>
        <w:t>Ongoing developer time for changes/maintenance after this initial build — not a hosting or service cost, a separate labor question.</w:t>
      </w:r>
    </w:p>
    <w:p>
      <w:pPr>
        <w:pStyle w:val="ListBullet"/>
      </w:pPr>
      <w:r>
        <w:t>Any custom design/branding work beyond what's already built.</w:t>
      </w:r>
    </w:p>
    <w:p>
      <w:pPr>
        <w:pStyle w:val="ListBullet"/>
      </w:pPr>
      <w:r>
        <w:t>Marketing or promotion of the campaign itself.</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