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6BF7C6" w14:textId="77777777" w:rsidR="00207987" w:rsidRDefault="00117733" w:rsidP="00E26674">
      <w:pPr>
        <w:jc w:val="both"/>
        <w:rPr>
          <w:lang w:val="en-US"/>
        </w:rPr>
      </w:pPr>
      <w:r>
        <w:rPr>
          <w:lang w:val="en-US"/>
        </w:rPr>
        <w:t>Antimicrobial resistance (ARM) in the 21</w:t>
      </w:r>
      <w:r w:rsidRPr="00117733">
        <w:rPr>
          <w:vertAlign w:val="superscript"/>
          <w:lang w:val="en-US"/>
        </w:rPr>
        <w:t>st</w:t>
      </w:r>
      <w:r>
        <w:rPr>
          <w:lang w:val="en-US"/>
        </w:rPr>
        <w:t xml:space="preserve"> century is still among one of the most noteworthy threats to global threats. It is notable for its extensive effects on healthcare systems, clinical outcomes and global economies.</w:t>
      </w:r>
      <w:r w:rsidR="00094CFA" w:rsidRPr="00094CFA">
        <w:t xml:space="preserve"> </w:t>
      </w:r>
      <w:r w:rsidR="00094CFA">
        <w:rPr>
          <w:lang w:val="en-US"/>
        </w:rPr>
        <w:t>According to previous estimates, AMR is responsible for about 700,000 deaths worldwide (Review on Antimicrobial Resistance, 2014)</w:t>
      </w:r>
      <w:r w:rsidR="00094CFA" w:rsidRPr="00094CFA">
        <w:rPr>
          <w:lang w:val="en-US"/>
        </w:rPr>
        <w:t xml:space="preserve">. </w:t>
      </w:r>
      <w:r>
        <w:rPr>
          <w:lang w:val="en-US"/>
        </w:rPr>
        <w:t xml:space="preserve"> </w:t>
      </w:r>
      <w:r w:rsidR="00094CFA">
        <w:rPr>
          <w:lang w:val="en-US"/>
        </w:rPr>
        <w:t>However, recent studies a</w:t>
      </w:r>
      <w:r w:rsidR="00B4533F">
        <w:rPr>
          <w:lang w:val="en-US"/>
        </w:rPr>
        <w:t>ccording to estimates from the World Health Organization (WHO), bacterial (AMR) causes around five million deaths a year, of which 1.27 million are directly linked to resistant illnesses (Murray et al., 2022; W</w:t>
      </w:r>
      <w:r w:rsidR="00CC2C8A">
        <w:rPr>
          <w:lang w:val="en-US"/>
        </w:rPr>
        <w:t>HO</w:t>
      </w:r>
      <w:r w:rsidR="00B4533F">
        <w:rPr>
          <w:lang w:val="en-US"/>
        </w:rPr>
        <w:t xml:space="preserve">, 2022). </w:t>
      </w:r>
      <w:r w:rsidR="009C59AC">
        <w:rPr>
          <w:lang w:val="en-US"/>
        </w:rPr>
        <w:t>AMR also presents significant financial challenges, such as increased healthcare expenses brought on by lengthier hospital stays and more costly treatments (</w:t>
      </w:r>
      <w:proofErr w:type="spellStart"/>
      <w:r w:rsidR="009C59AC">
        <w:rPr>
          <w:lang w:val="en-US"/>
        </w:rPr>
        <w:t>Dadgostar</w:t>
      </w:r>
      <w:proofErr w:type="spellEnd"/>
      <w:r w:rsidR="009C59AC">
        <w:rPr>
          <w:lang w:val="en-US"/>
        </w:rPr>
        <w:t xml:space="preserve">, 2019).  </w:t>
      </w:r>
      <w:r w:rsidR="009C59AC">
        <w:t>Two different estimations of the economic impact of AMR in Europe show that it costs more than €9 billion a year, according to one survey (</w:t>
      </w:r>
      <w:proofErr w:type="spellStart"/>
      <w:r w:rsidR="009C59AC">
        <w:t>Llor</w:t>
      </w:r>
      <w:proofErr w:type="spellEnd"/>
      <w:r w:rsidR="009C59AC">
        <w:t xml:space="preserve"> &amp; Bjerrum, 2014; </w:t>
      </w:r>
      <w:proofErr w:type="spellStart"/>
      <w:r w:rsidR="009C59AC">
        <w:t>Prestinaci</w:t>
      </w:r>
      <w:proofErr w:type="spellEnd"/>
      <w:r w:rsidR="009C59AC">
        <w:t xml:space="preserve"> et al., 2015)</w:t>
      </w:r>
      <w:r w:rsidR="009C59AC">
        <w:rPr>
          <w:rStyle w:val="Strong"/>
          <w:lang w:val="en-US"/>
        </w:rPr>
        <w:t xml:space="preserve">, </w:t>
      </w:r>
      <w:r w:rsidR="00CC2C8A">
        <w:t xml:space="preserve">however, the WHO calculates that the combined healthcare and productivity losses in the EU and European Economic Area amount to about €11.7 billion annually (World, Health Organization, 2023).  </w:t>
      </w:r>
      <w:r w:rsidR="00980D79">
        <w:t>Because they can quickly acquire and spread multidrug-resistant determinants through horizontal gene transfer and mobile genetic elements, gram-negative infections are especially dangerous (</w:t>
      </w:r>
      <w:proofErr w:type="spellStart"/>
      <w:r w:rsidR="00980D79">
        <w:t>Jee</w:t>
      </w:r>
      <w:proofErr w:type="spellEnd"/>
      <w:r w:rsidR="00980D79">
        <w:t xml:space="preserve"> et al., 2018; Navon-Venezia et al., 2017).  </w:t>
      </w:r>
      <w:r w:rsidR="00122787">
        <w:t xml:space="preserve">Among these, carbapenem-resistant Enterobacterales (CRE) represent a significant clinical problem that jeopardizes the effectiveness of carbapenems, which are frequently thought of as the last line of treatment for serious bacterial infections (Logan &amp; Weinstein, 2017).  The demand for quicker, more precise, and genomics-driven diagnostic methods has increased due to the </w:t>
      </w:r>
      <w:r w:rsidR="00122787">
        <w:rPr>
          <w:lang w:val="en-US"/>
        </w:rPr>
        <w:t>rapid</w:t>
      </w:r>
      <w:r w:rsidR="00122787">
        <w:t xml:space="preserve"> increase in CRE cases worldwide</w:t>
      </w:r>
      <w:r w:rsidR="00122787">
        <w:rPr>
          <w:lang w:val="en-US"/>
        </w:rPr>
        <w:t xml:space="preserve"> (Robert F Potter, et al</w:t>
      </w:r>
      <w:r w:rsidR="00122787">
        <w:t>.</w:t>
      </w:r>
      <w:r w:rsidR="00122787">
        <w:rPr>
          <w:lang w:val="en-US"/>
        </w:rPr>
        <w:t>, 2016).</w:t>
      </w:r>
      <w:r w:rsidR="00380B84">
        <w:rPr>
          <w:lang w:val="en-US"/>
        </w:rPr>
        <w:t xml:space="preserve"> </w:t>
      </w:r>
    </w:p>
    <w:p w14:paraId="014FF91A" w14:textId="34BE089F" w:rsidR="00122787" w:rsidRDefault="00380B84" w:rsidP="00E26674">
      <w:pPr>
        <w:jc w:val="both"/>
      </w:pPr>
      <w:r w:rsidRPr="00380B84">
        <w:rPr>
          <w:i/>
        </w:rPr>
        <w:t>Klebsiella pneumoniae (K. pneumoniae)</w:t>
      </w:r>
      <w:r>
        <w:t>, which causes a variety of diseases such as pneumonia, bloodstream infections, urinary tract infections, and newborn sepsis, is the most clinically relevant species in this group (</w:t>
      </w:r>
      <w:proofErr w:type="spellStart"/>
      <w:r>
        <w:t>Podschun</w:t>
      </w:r>
      <w:proofErr w:type="spellEnd"/>
      <w:r>
        <w:t xml:space="preserve"> &amp; Ullmann, 1998; Martin &amp; Bachman, 2018).  </w:t>
      </w:r>
      <w:r w:rsidR="00B7257D" w:rsidRPr="00B7257D">
        <w:rPr>
          <w:rStyle w:val="Emphasis"/>
          <w:i w:val="0"/>
        </w:rPr>
        <w:t xml:space="preserve">The remarkable capacity of </w:t>
      </w:r>
      <w:r w:rsidR="00B7257D" w:rsidRPr="00B7257D">
        <w:rPr>
          <w:rStyle w:val="Emphasis"/>
        </w:rPr>
        <w:t>K. pneumoniae</w:t>
      </w:r>
      <w:r w:rsidR="00B7257D" w:rsidRPr="00B7257D">
        <w:rPr>
          <w:rStyle w:val="Emphasis"/>
          <w:i w:val="0"/>
        </w:rPr>
        <w:t xml:space="preserve"> to acquire plasmids, incorporate external genetic material, and create hypervirulent lineages that can cause invasive illness even in healthy hosts is well known (</w:t>
      </w:r>
      <w:proofErr w:type="spellStart"/>
      <w:r w:rsidR="00B7257D" w:rsidRPr="00B7257D">
        <w:rPr>
          <w:rStyle w:val="Emphasis"/>
          <w:i w:val="0"/>
        </w:rPr>
        <w:t>Wyres</w:t>
      </w:r>
      <w:proofErr w:type="spellEnd"/>
      <w:r w:rsidR="00B7257D" w:rsidRPr="00B7257D">
        <w:rPr>
          <w:rStyle w:val="Emphasis"/>
          <w:i w:val="0"/>
        </w:rPr>
        <w:t xml:space="preserve"> &amp; Holt, 2018; Lam et al., 2019).</w:t>
      </w:r>
      <w:r w:rsidR="00B7257D">
        <w:rPr>
          <w:rStyle w:val="Emphasis"/>
        </w:rPr>
        <w:t xml:space="preserve">  </w:t>
      </w:r>
      <w:r w:rsidR="00207987">
        <w:t xml:space="preserve">As a result, carbapenem-resistant </w:t>
      </w:r>
      <w:r w:rsidR="00207987" w:rsidRPr="00207987">
        <w:rPr>
          <w:i/>
        </w:rPr>
        <w:t>K. pneumoniae</w:t>
      </w:r>
      <w:r w:rsidR="00207987">
        <w:t xml:space="preserve"> (CRKP) has been classified as a Critical Priority 1 pathogen by the WHO and CDC, highlighting the critical need for creative countermeasures to stop its spread (World Health Organization, 2017; CDC, 2019).  Clinically, CRKP infections are associated with death rates that often exceed 40–50%, particularly in hospitalized or immunocompromised groups (</w:t>
      </w:r>
      <w:proofErr w:type="spellStart"/>
      <w:r w:rsidR="00207987">
        <w:t>Tzouvelekis</w:t>
      </w:r>
      <w:proofErr w:type="spellEnd"/>
      <w:r w:rsidR="00207987">
        <w:t xml:space="preserve"> et al., 2012; </w:t>
      </w:r>
      <w:proofErr w:type="spellStart"/>
      <w:r w:rsidR="00207987">
        <w:t>Daikos</w:t>
      </w:r>
      <w:proofErr w:type="spellEnd"/>
      <w:r w:rsidR="00207987">
        <w:t xml:space="preserve"> et al., 2014).  This emphasizes how crucial CRKP infections are to the treatment of modern infectious diseases. </w:t>
      </w:r>
    </w:p>
    <w:p w14:paraId="122D9591" w14:textId="07F188D5" w:rsidR="007046F4" w:rsidRDefault="00DF437A" w:rsidP="007046F4">
      <w:pPr>
        <w:spacing w:before="100" w:beforeAutospacing="1" w:after="100" w:afterAutospacing="1" w:line="240" w:lineRule="auto"/>
        <w:jc w:val="both"/>
        <w:rPr>
          <w:rFonts w:eastAsia="Times New Roman" w:cstheme="minorHAnsi"/>
          <w:lang w:eastAsia="en-NL"/>
        </w:rPr>
      </w:pPr>
      <w:r>
        <w:rPr>
          <w:rFonts w:eastAsia="Times New Roman" w:cstheme="minorHAnsi"/>
          <w:lang w:eastAsia="en-NL"/>
        </w:rPr>
        <w:t xml:space="preserve">Phenotypic prediction is difficult because carbapenem resistance in </w:t>
      </w:r>
      <w:r w:rsidRPr="00DF437A">
        <w:rPr>
          <w:rFonts w:eastAsia="Times New Roman" w:cstheme="minorHAnsi"/>
          <w:i/>
          <w:lang w:eastAsia="en-NL"/>
        </w:rPr>
        <w:t>K. pneumoniae</w:t>
      </w:r>
      <w:r>
        <w:rPr>
          <w:rFonts w:eastAsia="Times New Roman" w:cstheme="minorHAnsi"/>
          <w:lang w:eastAsia="en-NL"/>
        </w:rPr>
        <w:t xml:space="preserve"> arises from a complex interplay of processes. </w:t>
      </w:r>
      <w:proofErr w:type="spellStart"/>
      <w:r>
        <w:rPr>
          <w:rFonts w:eastAsia="Times New Roman" w:cstheme="minorHAnsi"/>
          <w:lang w:eastAsia="en-NL"/>
        </w:rPr>
        <w:t>Carbapenemase</w:t>
      </w:r>
      <w:proofErr w:type="spellEnd"/>
      <w:r>
        <w:rPr>
          <w:rFonts w:eastAsia="Times New Roman" w:cstheme="minorHAnsi"/>
          <w:lang w:eastAsia="en-NL"/>
        </w:rPr>
        <w:t xml:space="preserve"> enzymes, particularly those from the KPC, NDM, VIM, and OXA-48-like families, are the main contributors (</w:t>
      </w:r>
      <w:proofErr w:type="spellStart"/>
      <w:r>
        <w:rPr>
          <w:rFonts w:eastAsia="Times New Roman" w:cstheme="minorHAnsi"/>
          <w:lang w:eastAsia="en-NL"/>
        </w:rPr>
        <w:t>Nordmann</w:t>
      </w:r>
      <w:proofErr w:type="spellEnd"/>
      <w:r>
        <w:rPr>
          <w:rFonts w:eastAsia="Times New Roman" w:cstheme="minorHAnsi"/>
          <w:lang w:eastAsia="en-NL"/>
        </w:rPr>
        <w:t xml:space="preserve"> et al., 2012; </w:t>
      </w:r>
      <w:proofErr w:type="spellStart"/>
      <w:r>
        <w:rPr>
          <w:rFonts w:eastAsia="Times New Roman" w:cstheme="minorHAnsi"/>
          <w:lang w:eastAsia="en-NL"/>
        </w:rPr>
        <w:t>Dortet</w:t>
      </w:r>
      <w:proofErr w:type="spellEnd"/>
      <w:r>
        <w:rPr>
          <w:rFonts w:eastAsia="Times New Roman" w:cstheme="minorHAnsi"/>
          <w:lang w:eastAsia="en-NL"/>
        </w:rPr>
        <w:t xml:space="preserve"> et al., 2014).  </w:t>
      </w:r>
      <w:r w:rsidR="00820260">
        <w:rPr>
          <w:rFonts w:eastAsia="Times New Roman" w:cstheme="minorHAnsi"/>
          <w:lang w:eastAsia="en-NL"/>
        </w:rPr>
        <w:t>However, extended-spectrum β-lactamases (</w:t>
      </w:r>
      <w:proofErr w:type="spellStart"/>
      <w:r w:rsidR="00820260">
        <w:rPr>
          <w:rFonts w:eastAsia="Times New Roman" w:cstheme="minorHAnsi"/>
          <w:lang w:eastAsia="en-NL"/>
        </w:rPr>
        <w:t>ESBLs</w:t>
      </w:r>
      <w:proofErr w:type="spellEnd"/>
      <w:r w:rsidR="00820260">
        <w:rPr>
          <w:rFonts w:eastAsia="Times New Roman" w:cstheme="minorHAnsi"/>
          <w:lang w:eastAsia="en-NL"/>
        </w:rPr>
        <w:t xml:space="preserve">) in conjunction with porin mutations (such as OmpK35 and OmpK36 disruptions), efflux pump overexpression, and modifications in membrane permeability can also result in resistance (Wong et al., 2019; Li et al., 2018).  These many processes can differ among strains, lineages, and geographical areas and frequently take place concurrently. The ensuing polygenic character of carbapenem resistance restricts the efficacy of existing gene-based detection approaches and complicates clinical decision-making. </w:t>
      </w:r>
    </w:p>
    <w:p w14:paraId="581B164A" w14:textId="3E011DF7" w:rsidR="00820260" w:rsidRDefault="00366D7B" w:rsidP="007046F4">
      <w:pPr>
        <w:spacing w:before="100" w:beforeAutospacing="1" w:after="100" w:afterAutospacing="1" w:line="240" w:lineRule="auto"/>
        <w:jc w:val="both"/>
        <w:rPr>
          <w:rFonts w:eastAsia="Times New Roman" w:cstheme="minorHAnsi"/>
          <w:lang w:val="en-US" w:eastAsia="en-NL"/>
        </w:rPr>
      </w:pPr>
      <w:r>
        <w:rPr>
          <w:rFonts w:eastAsia="Times New Roman" w:cstheme="minorHAnsi"/>
          <w:lang w:val="en-US" w:eastAsia="en-NL"/>
        </w:rPr>
        <w:t>Traditional diagnostic procedures rely mostly on phenotypic antimicrobial susceptibility testing (AST), which, although crucial, generally needs 24–72 hours for culture, growth, and interpretation. This time delay can be significant in severe illnesses requiring rapid treatment selection (</w:t>
      </w:r>
      <w:proofErr w:type="spellStart"/>
      <w:r>
        <w:rPr>
          <w:rFonts w:eastAsia="Times New Roman" w:cstheme="minorHAnsi"/>
          <w:lang w:val="en-US" w:eastAsia="en-NL"/>
        </w:rPr>
        <w:t>Peker</w:t>
      </w:r>
      <w:proofErr w:type="spellEnd"/>
      <w:r>
        <w:rPr>
          <w:rFonts w:eastAsia="Times New Roman" w:cstheme="minorHAnsi"/>
          <w:lang w:val="en-US" w:eastAsia="en-NL"/>
        </w:rPr>
        <w:t xml:space="preserve"> et al., 2019, </w:t>
      </w:r>
      <w:proofErr w:type="spellStart"/>
      <w:r>
        <w:rPr>
          <w:rFonts w:eastAsia="Times New Roman" w:cstheme="minorHAnsi"/>
          <w:lang w:val="en-US" w:eastAsia="en-NL"/>
        </w:rPr>
        <w:t>Wenzler</w:t>
      </w:r>
      <w:proofErr w:type="spellEnd"/>
      <w:r>
        <w:rPr>
          <w:rFonts w:eastAsia="Times New Roman" w:cstheme="minorHAnsi"/>
          <w:lang w:val="en-US" w:eastAsia="en-NL"/>
        </w:rPr>
        <w:t xml:space="preserve"> et al., 2023).</w:t>
      </w:r>
      <w:r w:rsidR="008E6EAB">
        <w:rPr>
          <w:rFonts w:eastAsia="Times New Roman" w:cstheme="minorHAnsi"/>
          <w:lang w:val="en-US" w:eastAsia="en-NL"/>
        </w:rPr>
        <w:t xml:space="preserve"> </w:t>
      </w:r>
      <w:r w:rsidR="008E6EAB">
        <w:rPr>
          <w:rFonts w:eastAsia="Times New Roman" w:cstheme="minorHAnsi"/>
          <w:lang w:eastAsia="en-NL"/>
        </w:rPr>
        <w:t xml:space="preserve">Furthermore, isolates with dual resistance mechanisms or borderline carbapenem MIC values may produce unclear results from phenotypic assays (Jung et al., 2019).  Although molecular diagnostics like PCR and lateral flow immunoassays have reduced detection times, they are still only able to identify known </w:t>
      </w:r>
      <w:proofErr w:type="spellStart"/>
      <w:r w:rsidR="008E6EAB">
        <w:rPr>
          <w:rFonts w:eastAsia="Times New Roman" w:cstheme="minorHAnsi"/>
          <w:lang w:eastAsia="en-NL"/>
        </w:rPr>
        <w:t>carbapenemase</w:t>
      </w:r>
      <w:proofErr w:type="spellEnd"/>
      <w:r w:rsidR="008E6EAB">
        <w:rPr>
          <w:rFonts w:eastAsia="Times New Roman" w:cstheme="minorHAnsi"/>
          <w:lang w:eastAsia="en-NL"/>
        </w:rPr>
        <w:t xml:space="preserve"> genes; they are unable to identify novel </w:t>
      </w:r>
      <w:r w:rsidR="008E6EAB">
        <w:rPr>
          <w:rFonts w:eastAsia="Times New Roman" w:cstheme="minorHAnsi"/>
          <w:lang w:eastAsia="en-NL"/>
        </w:rPr>
        <w:lastRenderedPageBreak/>
        <w:t>variations, regulatory alterations, or non-</w:t>
      </w:r>
      <w:proofErr w:type="spellStart"/>
      <w:r w:rsidR="008E6EAB">
        <w:rPr>
          <w:rFonts w:eastAsia="Times New Roman" w:cstheme="minorHAnsi"/>
          <w:lang w:eastAsia="en-NL"/>
        </w:rPr>
        <w:t>carbapenemase</w:t>
      </w:r>
      <w:proofErr w:type="spellEnd"/>
      <w:r w:rsidR="008E6EAB">
        <w:rPr>
          <w:rFonts w:eastAsia="Times New Roman" w:cstheme="minorHAnsi"/>
          <w:lang w:eastAsia="en-NL"/>
        </w:rPr>
        <w:t xml:space="preserve"> resistance mechanisms (Osei </w:t>
      </w:r>
      <w:proofErr w:type="spellStart"/>
      <w:r w:rsidR="008E6EAB">
        <w:rPr>
          <w:rFonts w:eastAsia="Times New Roman" w:cstheme="minorHAnsi"/>
          <w:lang w:eastAsia="en-NL"/>
        </w:rPr>
        <w:t>Sekyere</w:t>
      </w:r>
      <w:proofErr w:type="spellEnd"/>
      <w:r w:rsidR="008E6EAB">
        <w:rPr>
          <w:rFonts w:eastAsia="Times New Roman" w:cstheme="minorHAnsi"/>
          <w:lang w:eastAsia="en-NL"/>
        </w:rPr>
        <w:t xml:space="preserve">, 2019; </w:t>
      </w:r>
      <w:proofErr w:type="spellStart"/>
      <w:r w:rsidR="008E6EAB">
        <w:rPr>
          <w:rFonts w:eastAsia="Times New Roman" w:cstheme="minorHAnsi"/>
          <w:lang w:eastAsia="en-NL"/>
        </w:rPr>
        <w:t>Dortet</w:t>
      </w:r>
      <w:proofErr w:type="spellEnd"/>
      <w:r w:rsidR="008E6EAB">
        <w:rPr>
          <w:rFonts w:eastAsia="Times New Roman" w:cstheme="minorHAnsi"/>
          <w:lang w:eastAsia="en-NL"/>
        </w:rPr>
        <w:t xml:space="preserve"> et al., 2017).</w:t>
      </w:r>
      <w:r w:rsidR="008E6EAB">
        <w:rPr>
          <w:rFonts w:eastAsia="Times New Roman" w:cstheme="minorHAnsi"/>
          <w:lang w:val="en-US" w:eastAsia="en-NL"/>
        </w:rPr>
        <w:t xml:space="preserve"> </w:t>
      </w:r>
      <w:r w:rsidR="008E6EAB">
        <w:rPr>
          <w:rFonts w:eastAsia="Times New Roman" w:cstheme="minorHAnsi"/>
          <w:lang w:eastAsia="en-NL"/>
        </w:rPr>
        <w:t xml:space="preserve">These constraints underscore the urgent need for more thorough, scalable diagnostic instruments that can identify both established and novel genetic determinants as resistance continues to change quickly. </w:t>
      </w:r>
    </w:p>
    <w:p w14:paraId="1CB11BE0" w14:textId="1C329440" w:rsidR="008E6EAB" w:rsidRPr="00C046B9" w:rsidRDefault="00266AE8" w:rsidP="008E6EAB">
      <w:pPr>
        <w:spacing w:before="100" w:beforeAutospacing="1" w:after="100" w:afterAutospacing="1" w:line="240" w:lineRule="auto"/>
        <w:jc w:val="both"/>
        <w:rPr>
          <w:rFonts w:eastAsia="Times New Roman" w:cstheme="minorHAnsi"/>
          <w:lang w:eastAsia="en-NL"/>
        </w:rPr>
      </w:pPr>
      <w:r>
        <w:rPr>
          <w:rFonts w:cstheme="minorHAnsi"/>
        </w:rPr>
        <w:t>Whole-genome sequencing (WGS) has become the gold standard for bacterial genomic investigation in recent years (</w:t>
      </w:r>
      <w:proofErr w:type="spellStart"/>
      <w:r>
        <w:rPr>
          <w:rFonts w:cstheme="minorHAnsi"/>
        </w:rPr>
        <w:t>Parcell</w:t>
      </w:r>
      <w:proofErr w:type="spellEnd"/>
      <w:r>
        <w:rPr>
          <w:rFonts w:cstheme="minorHAnsi"/>
        </w:rPr>
        <w:t xml:space="preserve"> et al, 2021).  </w:t>
      </w:r>
      <w:r>
        <w:rPr>
          <w:rFonts w:eastAsia="Times New Roman" w:cstheme="minorHAnsi"/>
          <w:lang w:eastAsia="en-NL"/>
        </w:rPr>
        <w:t>Within a single procedure, WGS allows the simultaneous detection of resistance genes, virulence factors, plasmid replicons, mutations, sequence types, and genome structural variation (</w:t>
      </w:r>
      <w:proofErr w:type="spellStart"/>
      <w:r>
        <w:rPr>
          <w:rFonts w:eastAsia="Times New Roman" w:cstheme="minorHAnsi"/>
          <w:lang w:eastAsia="en-NL"/>
        </w:rPr>
        <w:t>Ruppé</w:t>
      </w:r>
      <w:proofErr w:type="spellEnd"/>
      <w:r>
        <w:rPr>
          <w:rFonts w:eastAsia="Times New Roman" w:cstheme="minorHAnsi"/>
          <w:lang w:eastAsia="en-NL"/>
        </w:rPr>
        <w:t xml:space="preserve"> et al., 2020; </w:t>
      </w:r>
      <w:proofErr w:type="spellStart"/>
      <w:r>
        <w:rPr>
          <w:rFonts w:eastAsia="Times New Roman" w:cstheme="minorHAnsi"/>
          <w:lang w:eastAsia="en-NL"/>
        </w:rPr>
        <w:t>Didelot</w:t>
      </w:r>
      <w:proofErr w:type="spellEnd"/>
      <w:r>
        <w:rPr>
          <w:rFonts w:eastAsia="Times New Roman" w:cstheme="minorHAnsi"/>
          <w:lang w:eastAsia="en-NL"/>
        </w:rPr>
        <w:t xml:space="preserve"> et al., 2012).</w:t>
      </w:r>
      <w:r>
        <w:rPr>
          <w:rFonts w:eastAsia="Times New Roman" w:cstheme="minorHAnsi"/>
          <w:lang w:val="en-US" w:eastAsia="en-NL"/>
        </w:rPr>
        <w:t xml:space="preserve"> </w:t>
      </w:r>
      <w:r>
        <w:rPr>
          <w:rFonts w:eastAsia="Times New Roman" w:cstheme="minorHAnsi"/>
          <w:lang w:eastAsia="en-NL"/>
        </w:rPr>
        <w:t xml:space="preserve">Unmatched insights into pathogen evolution, transmission, and outbreak dynamics are provided by its great resolution (David et al., 2019).  WGS is now more widely available for routine investigation and clinical research because to its increased speed and affordability (Ellington et al., 2017). </w:t>
      </w:r>
      <w:r w:rsidR="00C046B9">
        <w:rPr>
          <w:rFonts w:eastAsia="Times New Roman" w:cstheme="minorHAnsi"/>
          <w:lang w:eastAsia="en-NL"/>
        </w:rPr>
        <w:t>However, WGS produces massive datasets, and sophisticated computational techniques that can integrate tens of thousands of genetic characteristics are needed to extract therapeutically useful information (</w:t>
      </w:r>
      <w:proofErr w:type="spellStart"/>
      <w:r w:rsidR="00C046B9">
        <w:rPr>
          <w:rFonts w:eastAsia="Times New Roman" w:cstheme="minorHAnsi"/>
          <w:lang w:eastAsia="en-NL"/>
        </w:rPr>
        <w:t>Brlek</w:t>
      </w:r>
      <w:proofErr w:type="spellEnd"/>
      <w:r w:rsidR="00C046B9">
        <w:rPr>
          <w:rFonts w:eastAsia="Times New Roman" w:cstheme="minorHAnsi"/>
          <w:lang w:eastAsia="en-NL"/>
        </w:rPr>
        <w:t xml:space="preserve"> et al., 2024).  </w:t>
      </w:r>
    </w:p>
    <w:p w14:paraId="179B3B2F" w14:textId="28D828B9" w:rsidR="00A512EA" w:rsidRPr="00745762" w:rsidRDefault="00A512EA" w:rsidP="00E26674">
      <w:pPr>
        <w:jc w:val="both"/>
        <w:rPr>
          <w:lang w:val="en-US"/>
        </w:rPr>
      </w:pPr>
      <w:bookmarkStart w:id="0" w:name="_GoBack"/>
      <w:bookmarkEnd w:id="0"/>
    </w:p>
    <w:sectPr w:rsidR="00A512EA" w:rsidRPr="007457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8C6"/>
    <w:rsid w:val="00094CFA"/>
    <w:rsid w:val="00117733"/>
    <w:rsid w:val="00122787"/>
    <w:rsid w:val="00207987"/>
    <w:rsid w:val="00256C29"/>
    <w:rsid w:val="00266AE8"/>
    <w:rsid w:val="002A6406"/>
    <w:rsid w:val="00366D7B"/>
    <w:rsid w:val="00380B84"/>
    <w:rsid w:val="006A14EB"/>
    <w:rsid w:val="007046F4"/>
    <w:rsid w:val="00745762"/>
    <w:rsid w:val="00820260"/>
    <w:rsid w:val="008E6EAB"/>
    <w:rsid w:val="00974103"/>
    <w:rsid w:val="00980D79"/>
    <w:rsid w:val="009C59AC"/>
    <w:rsid w:val="009E0288"/>
    <w:rsid w:val="00A512EA"/>
    <w:rsid w:val="00B4533F"/>
    <w:rsid w:val="00B7257D"/>
    <w:rsid w:val="00C046B9"/>
    <w:rsid w:val="00CC2C8A"/>
    <w:rsid w:val="00DF437A"/>
    <w:rsid w:val="00E26674"/>
    <w:rsid w:val="00F508C6"/>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68A89"/>
  <w15:chartTrackingRefBased/>
  <w15:docId w15:val="{4EA04F1F-F124-47FB-92D0-C5F09A9EB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C59AC"/>
    <w:rPr>
      <w:b/>
      <w:bCs/>
    </w:rPr>
  </w:style>
  <w:style w:type="character" w:styleId="Emphasis">
    <w:name w:val="Emphasis"/>
    <w:basedOn w:val="DefaultParagraphFont"/>
    <w:uiPriority w:val="20"/>
    <w:qFormat/>
    <w:rsid w:val="001227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FAC029-CB52-4BAA-B613-A638E652453D}">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214</TotalTime>
  <Pages>2</Pages>
  <Words>844</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Olasunkanmi Felix</dc:creator>
  <cp:keywords/>
  <dc:description/>
  <cp:lastModifiedBy>Olasunkanmi Felix</cp:lastModifiedBy>
  <cp:revision>14</cp:revision>
  <dcterms:created xsi:type="dcterms:W3CDTF">2025-11-19T10:47:00Z</dcterms:created>
  <dcterms:modified xsi:type="dcterms:W3CDTF">2025-12-02T09:59:00Z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id="Mu8hdn3p"/&gt;&lt;style id="" hasBibliography="0" bibliographyStyleHasBeenSet="0"/&gt;&lt;prefs/&gt;&lt;/data&gt;</vt:lpwstr>
  </property>
</Properties>
</file>