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a6b381a14d819489881cc146fb0982710822b1"/>
      <w:r>
        <w:t xml:space="preserve">FALIN — Decisão de Escopo Final do Artigo (SBESC 2026)</w:t>
      </w:r>
      <w:bookmarkEnd w:id="20"/>
    </w:p>
    <w:p>
      <w:pPr>
        <w:pStyle w:val="FirstParagraph"/>
      </w:pPr>
      <w:r>
        <w:rPr>
          <w:b/>
        </w:rPr>
        <w:t xml:space="preserve">Preparado em:</w:t>
      </w:r>
      <w:r>
        <w:t xml:space="preserve"> </w:t>
      </w:r>
      <w:r>
        <w:t xml:space="preserve">25/07/2026</w:t>
      </w:r>
      <w:r>
        <w:t xml:space="preserve"> </w:t>
      </w:r>
      <w:r>
        <w:rPr>
          <w:b/>
        </w:rPr>
        <w:t xml:space="preserve">Prazo de submissão assumido neste projeto:</w:t>
      </w:r>
      <w:r>
        <w:t xml:space="preserve"> </w:t>
      </w:r>
      <w:r>
        <w:t xml:space="preserve">02/08/2026</w:t>
      </w:r>
    </w:p>
    <w:p>
      <w:pPr>
        <w:pStyle w:val="BlockText"/>
      </w:pPr>
      <w:r>
        <w:rPr>
          <w:b/>
        </w:rPr>
        <w:t xml:space="preserve">⚠ Alerta encontrado na pesquisa — verificar HOJE:</w:t>
      </w:r>
      <w:r>
        <w:t xml:space="preserve"> </w:t>
      </w:r>
      <w:r>
        <w:t xml:space="preserve">o site oficial do SBESC 2026 (sbesc.lisha.ufsc.br) lista em duas páginas diferentes (</w:t>
      </w:r>
      <w:r>
        <w:t xml:space="preserve">“</w:t>
      </w:r>
      <w:r>
        <w:t xml:space="preserve">Call for Papers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Instructions for Authors</w:t>
      </w:r>
      <w:r>
        <w:t xml:space="preserve">”</w:t>
      </w:r>
      <w:r>
        <w:t xml:space="preserve">) a data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Paper submission: July 10, 2026</w:t>
      </w:r>
      <w:r>
        <w:rPr>
          <w:b/>
        </w:rPr>
        <w:t xml:space="preserve">”</w:t>
      </w:r>
      <w:r>
        <w:t xml:space="preserve">, com uma notícia de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Deadline Extension announced</w:t>
      </w:r>
      <w:r>
        <w:rPr>
          <w:b/>
        </w:rPr>
        <w:t xml:space="preserve">”</w:t>
      </w:r>
      <w:r>
        <w:t xml:space="preserve"> </w:t>
      </w:r>
      <w:r>
        <w:t xml:space="preserve">datada de 8 de julho de 2026 — mas sem a nova data explícita nessas páginas. Isso diverge do prazo de 2 de agosto usado até aqui neste projeto. Antes de fechar qualquer decisão de escopo, confirme a data real diretamente no sistema de submissão (JEMS:</w:t>
      </w:r>
      <w:r>
        <w:t xml:space="preserve"> </w:t>
      </w:r>
      <w:r>
        <w:rPr>
          <w:rStyle w:val="VerbatimChar"/>
        </w:rPr>
        <w:t xml:space="preserve">jems3.sbc.org.br/events/628</w:t>
      </w:r>
      <w:r>
        <w:t xml:space="preserve">) ou por e-mail com os organizadores — se o prazo já tiver passado ou for muito mais próximo do que o assumido, isso muda tudo abaixo.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ituação-atual"/>
      <w:r>
        <w:t xml:space="preserve">1. Situação atual</w:t>
      </w:r>
      <w:bookmarkEnd w:id="21"/>
    </w:p>
    <w:p>
      <w:pPr>
        <w:pStyle w:val="FirstParagraph"/>
      </w:pPr>
      <w:r>
        <w:rPr>
          <w:b/>
        </w:rPr>
        <w:t xml:space="preserve">Artigo (</w:t>
      </w:r>
      <w:r>
        <w:rPr>
          <w:rStyle w:val="VerbatimChar"/>
          <w:b/>
        </w:rPr>
        <w:t xml:space="preserve">misc/docs/paper/main.tex</w:t>
      </w:r>
      <w:r>
        <w:rPr>
          <w:b/>
        </w:rPr>
        <w:t xml:space="preserve">) — já quase pronto, mas 100% em nível de software:</w:t>
      </w:r>
      <w:r>
        <w:t xml:space="preserve"> </w:t>
      </w:r>
      <w:r>
        <w:t xml:space="preserve">Introdução, Trabalhos Relacionados, Framework FALIN (transformação GAF/STFT + arquitetura CNN+XGBoost), Resultados (fronteira de Pareto acurácia × MACs contra LSTM-FCN) e Conclusão estão escritos.</w:t>
      </w:r>
      <w:r>
        <w:t xml:space="preserve"> </w:t>
      </w:r>
      <w:r>
        <w:rPr>
          <w:b/>
        </w:rPr>
        <w:t xml:space="preserve">Nenhuma seção atual menciona síntese real em FPGA</w:t>
      </w:r>
      <w:r>
        <w:t xml:space="preserve"> </w:t>
      </w:r>
      <w:r>
        <w:t xml:space="preserve">— toda a alegação de custo de hardware hoje é baseada em contagem de operações MAC, não em números de área sintetizados.</w:t>
      </w:r>
    </w:p>
    <w:p>
      <w:pPr>
        <w:pStyle w:val="BodyText"/>
      </w:pPr>
      <w:r>
        <w:rPr>
          <w:b/>
        </w:rPr>
        <w:t xml:space="preserve">Trabalho de hardware já feito (fora do artigo, no repositório):</w:t>
      </w:r>
    </w:p>
    <w:p>
      <w:pPr>
        <w:numPr>
          <w:ilvl w:val="0"/>
          <w:numId w:val="1001"/>
        </w:numPr>
        <w:pStyle w:val="Compact"/>
      </w:pPr>
      <w:r>
        <w:t xml:space="preserve">CNN escrita à mão em Verilog (não foi gerada por HLS), parametrizada para os 10 datasets.</w:t>
      </w:r>
    </w:p>
    <w:p>
      <w:pPr>
        <w:numPr>
          <w:ilvl w:val="0"/>
          <w:numId w:val="1001"/>
        </w:numPr>
        <w:pStyle w:val="Compact"/>
      </w:pPr>
      <w:r>
        <w:t xml:space="preserve">Validação funcional (simulação bit-exata contra o modelo inteiro de referência):</w:t>
      </w:r>
      <w:r>
        <w:t xml:space="preserve"> </w:t>
      </w:r>
      <w:r>
        <w:rPr>
          <w:b/>
        </w:rPr>
        <w:t xml:space="preserve">concluída em 8 de 10 datasets</w:t>
      </w:r>
      <w:r>
        <w:t xml:space="preserve"> </w:t>
      </w:r>
      <w:r>
        <w:t xml:space="preserve">(ElectricDevices, StarLightCurves, Wafer, ECG5000, TwoPatterns, FordA, FordB, Yoga), com queda de acurácia float→inteiro</w:t>
      </w:r>
      <w:r>
        <w:t xml:space="preserve"> </w:t>
      </w:r>
      <w:r>
        <w:rPr>
          <w:b/>
        </w:rPr>
        <w:t xml:space="preserve">abaixo de 0,1 ponto percentual em todos os casos</w:t>
      </w:r>
      <w:r>
        <w:t xml:space="preserve">. Faltam Mallat e FacesUCR (só falta o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alcançá-los).</w:t>
      </w:r>
    </w:p>
    <w:p>
      <w:pPr>
        <w:numPr>
          <w:ilvl w:val="0"/>
          <w:numId w:val="1001"/>
        </w:numPr>
        <w:pStyle w:val="Compact"/>
      </w:pPr>
      <w:r>
        <w:t xml:space="preserve">Estimativa analítica do custo de transformação sensor→imagem (GAF + resize), sem RTL novo:</w:t>
      </w:r>
      <w:r>
        <w:t xml:space="preserve"> </w:t>
      </w:r>
      <w:r>
        <w:rPr>
          <w:b/>
        </w:rPr>
        <w:t xml:space="preserve">concluída para os 10 datasets</w:t>
      </w:r>
      <w:r>
        <w:t xml:space="preserve">. Pior caso (sequências mais longas) fica abaixo de 9,5% dos MACs da CNN e abaixo de 0,1% dos ciclos da CNN — a transformação não é o gargalo.</w:t>
      </w:r>
    </w:p>
    <w:p>
      <w:pPr>
        <w:numPr>
          <w:ilvl w:val="0"/>
          <w:numId w:val="1001"/>
        </w:numPr>
        <w:pStyle w:val="Compact"/>
      </w:pPr>
      <w:r>
        <w:t xml:space="preserve">Contagem de células via Yosys (síntese</w:t>
      </w:r>
      <w:r>
        <w:t xml:space="preserve"> </w:t>
      </w:r>
      <w:r>
        <w:t xml:space="preserve">“</w:t>
      </w:r>
      <w:r>
        <w:t xml:space="preserve">coarse</w:t>
      </w:r>
      <w:r>
        <w:t xml:space="preserve">”</w:t>
      </w:r>
      <w:r>
        <w:t xml:space="preserve">, sem mapeamento tecnológico completo): concluída para 3 de 10 datasets, como estimativa de fallback.</w:t>
      </w:r>
    </w:p>
    <w:p>
      <w:pPr>
        <w:numPr>
          <w:ilvl w:val="0"/>
          <w:numId w:val="1001"/>
        </w:numPr>
        <w:pStyle w:val="Compact"/>
      </w:pPr>
      <w:r>
        <w:t xml:space="preserve">Síntese real via Vivado (números reais de LUT/FF/BRAM/DSP/BUFG): dois bugs de ferramenta já corrigidos (limite de 1.000.000 bits por variável; caminho relativo de ROM que não funcionava no fluxo do Vivado).</w:t>
      </w:r>
      <w:r>
        <w:t xml:space="preserve"> </w:t>
      </w:r>
      <w:r>
        <w:rPr>
          <w:b/>
        </w:rPr>
        <w:t xml:space="preserve">No momento travada por falta de RAM na máquina usada.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805c6ca9a0676d2e11c661f2e52db40f43bbce"/>
      <w:r>
        <w:t xml:space="preserve">2. Nota importante sobre a categoria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 </w:t>
      </w:r>
      <w:r>
        <w:t xml:space="preserve">do SBESC</w:t>
      </w:r>
      <w:bookmarkEnd w:id="22"/>
    </w:p>
    <w:p>
      <w:pPr>
        <w:pStyle w:val="FirstParagraph"/>
      </w:pPr>
      <w:r>
        <w:t xml:space="preserve">Pesquisei isso agora e é diferente do que normalmente se imagina: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Work in Progress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no SBESC não é uma trilha de submissão separada, com prazo ou formulário próprio.</w:t>
      </w:r>
      <w:r>
        <w:t xml:space="preserve"> </w:t>
      </w:r>
      <w:r>
        <w:t xml:space="preserve">Segundo a página oficial de instruções: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Work in Progress is a category determined by the Program Chairs after the review process.</w:t>
      </w:r>
      <w:r>
        <w:rPr>
          <w:i/>
        </w:rPr>
        <w:t xml:space="preserve">”</w:t>
      </w:r>
    </w:p>
    <w:p>
      <w:pPr>
        <w:pStyle w:val="FirstParagraph"/>
      </w:pPr>
      <w:r>
        <w:t xml:space="preserve">Ou seja: você</w:t>
      </w:r>
      <w:r>
        <w:t xml:space="preserve"> </w:t>
      </w:r>
      <w:r>
        <w:rPr>
          <w:b/>
        </w:rPr>
        <w:t xml:space="preserve">submete um artigo completo normal</w:t>
      </w:r>
      <w:r>
        <w:t xml:space="preserve"> </w:t>
      </w:r>
      <w:r>
        <w:t xml:space="preserve">(até 6 páginas, mesmo prazo, mesmo sistema), e são</w:t>
      </w:r>
      <w:r>
        <w:t xml:space="preserve"> </w:t>
      </w:r>
      <w:r>
        <w:rPr>
          <w:b/>
        </w:rPr>
        <w:t xml:space="preserve">os revisores/coordenadores do programa</w:t>
      </w:r>
      <w:r>
        <w:t xml:space="preserve"> </w:t>
      </w:r>
      <w:r>
        <w:t xml:space="preserve">que decidem, depois da avaliação, se o trabalho é maduro o suficiente para artigo completo ou se deve ser aceito como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 </w:t>
      </w:r>
      <w:r>
        <w:t xml:space="preserve">(reduzido para até 4 páginas na versão final, publicado no SBC Open Library com DOI normalmente).</w:t>
      </w:r>
    </w:p>
    <w:p>
      <w:pPr>
        <w:pStyle w:val="BodyText"/>
      </w:pPr>
      <w:r>
        <w:rPr>
          <w:b/>
        </w:rPr>
        <w:t xml:space="preserve">Isso muda a Rota 3 na prática:</w:t>
      </w:r>
      <w:r>
        <w:t xml:space="preserve"> </w:t>
      </w:r>
      <w:r>
        <w:t xml:space="preserve">não existe uma ação de</w:t>
      </w:r>
      <w:r>
        <w:t xml:space="preserve"> </w:t>
      </w:r>
      <w:r>
        <w:t xml:space="preserve">“</w:t>
      </w:r>
      <w:r>
        <w:t xml:space="preserve">deixar como WiP</w:t>
      </w:r>
      <w:r>
        <w:t xml:space="preserve">”</w:t>
      </w:r>
      <w:r>
        <w:t xml:space="preserve"> </w:t>
      </w:r>
      <w:r>
        <w:t xml:space="preserve">a ser tomada antes da submissão — o que existe é submeter o artigo mais honesto e completo possível dentro do prazo, e aceitar que o pior cenário realista não é rejeição, e sim uma publicação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 </w:t>
      </w:r>
      <w:r>
        <w:t xml:space="preserve">(que ainda é uma publicação real, indexada, com DOI).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s-três-rotas"/>
      <w:r>
        <w:t xml:space="preserve">3. As três rotas</w:t>
      </w:r>
      <w:bookmarkEnd w:id="23"/>
    </w:p>
    <w:p>
      <w:pPr>
        <w:pStyle w:val="Heading3"/>
      </w:pPr>
      <w:bookmarkStart w:id="24" w:name="X81e1eb94321a71ae65034471ad13916dcf99f2c"/>
      <w:r>
        <w:t xml:space="preserve">Rota 1 — Seguir apenas com a implementação em software</w:t>
      </w:r>
      <w:bookmarkEnd w:id="24"/>
    </w:p>
    <w:p>
      <w:pPr>
        <w:pStyle w:val="FirstParagraph"/>
      </w:pPr>
      <w:r>
        <w:rPr>
          <w:b/>
        </w:rPr>
        <w:t xml:space="preserve">O que significa:</w:t>
      </w:r>
      <w:r>
        <w:t xml:space="preserve"> </w:t>
      </w:r>
      <w:r>
        <w:t xml:space="preserve">manter o artigo essencialmente como está hoje — fronteira de Pareto acurácia × MACs, sem alegar números de síntese real (LUT/FF/BRAM/DSP), mas</w:t>
      </w:r>
      <w:r>
        <w:t xml:space="preserve"> </w:t>
      </w:r>
      <w:r>
        <w:rPr>
          <w:i/>
        </w:rPr>
        <w:t xml:space="preserve">podendo</w:t>
      </w:r>
      <w:r>
        <w:t xml:space="preserve"> </w:t>
      </w:r>
      <w:r>
        <w:t xml:space="preserve">incluir a tabela de validação funcional (8-10 datasets, simulação bit-exata) e a estimativa analítica de custo de transformação como evidências adicionais e honestas de que a CNN é hardware-viável.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Prós:</w:t>
      </w:r>
      <w:r>
        <w:t xml:space="preserve"> </w:t>
      </w:r>
      <w:r>
        <w:t xml:space="preserve">risco quase zero de não terminar a tempo; independe de resolver o problema de RAM do Vivado; esforço restante baixo (~1-2 dias de revisão de texto).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Contras:</w:t>
      </w:r>
      <w:r>
        <w:t xml:space="preserve"> </w:t>
      </w:r>
      <w:r>
        <w:t xml:space="preserve">o título do artigo já promete um</w:t>
      </w:r>
      <w:r>
        <w:t xml:space="preserve"> </w:t>
      </w:r>
      <w:r>
        <w:t xml:space="preserve">“</w:t>
      </w:r>
      <w:r>
        <w:t xml:space="preserve">FPGA Accelerator</w:t>
      </w:r>
      <w:r>
        <w:t xml:space="preserve">”</w:t>
      </w:r>
      <w:r>
        <w:t xml:space="preserve"> </w:t>
      </w:r>
      <w:r>
        <w:t xml:space="preserve">— um revisor pode perguntar diretamente</w:t>
      </w:r>
      <w:r>
        <w:t xml:space="preserve"> </w:t>
      </w:r>
      <w:r>
        <w:t xml:space="preserve">“</w:t>
      </w:r>
      <w:r>
        <w:t xml:space="preserve">onde estão os números reais de hardware?</w:t>
      </w:r>
      <w:r>
        <w:t xml:space="preserve">”</w:t>
      </w:r>
      <w:r>
        <w:t xml:space="preserve">; enfraquece a alegação central de</w:t>
      </w:r>
      <w:r>
        <w:t xml:space="preserve"> </w:t>
      </w:r>
      <w:r>
        <w:t xml:space="preserve">“</w:t>
      </w:r>
      <w:r>
        <w:t xml:space="preserve">hardware-aware</w:t>
      </w:r>
      <w:r>
        <w:t xml:space="preserve">”</w:t>
      </w:r>
      <w:r>
        <w:t xml:space="preserve"> </w:t>
      </w:r>
      <w:r>
        <w:t xml:space="preserve">se nenhuma evidência de síntese aparecer.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Esforço restante:</w:t>
      </w:r>
      <w:r>
        <w:t xml:space="preserve"> </w:t>
      </w:r>
      <w:r>
        <w:t xml:space="preserve">baixo.</w:t>
      </w:r>
    </w:p>
    <w:p>
      <w:pPr>
        <w:pStyle w:val="Heading3"/>
      </w:pPr>
      <w:bookmarkStart w:id="25" w:name="Xca06c0db9760e1c4ec6aaa7eae37bc30f83e45a"/>
      <w:r>
        <w:t xml:space="preserve">Rota 2 — Continuar tentando sintetizar a CNN em FPGA (Vivado) para números reais de LUT/FF/BRAM/DSP</w:t>
      </w:r>
      <w:bookmarkEnd w:id="25"/>
    </w:p>
    <w:p>
      <w:pPr>
        <w:pStyle w:val="FirstParagraph"/>
      </w:pPr>
      <w:r>
        <w:rPr>
          <w:b/>
        </w:rPr>
        <w:t xml:space="preserve">O que significa:</w:t>
      </w:r>
      <w:r>
        <w:t xml:space="preserve"> </w:t>
      </w:r>
      <w:r>
        <w:t xml:space="preserve">continuar tentando resolver o travamento por RAM antes do prazo.</w:t>
      </w:r>
    </w:p>
    <w:p>
      <w:pPr>
        <w:pStyle w:val="BodyText"/>
      </w:pPr>
      <w:r>
        <w:t xml:space="preserve">Caminhos técnicos possíveis, do mais simples ao mais trabalhoso:</w:t>
      </w:r>
    </w:p>
    <w:p>
      <w:pPr>
        <w:numPr>
          <w:ilvl w:val="0"/>
          <w:numId w:val="1003"/>
        </w:numPr>
        <w:pStyle w:val="Compact"/>
      </w:pPr>
      <w:r>
        <w:t xml:space="preserve">Fechar outros programas (navegador, etc.) e tentar a síntese novamente na mesma máquina.</w:t>
      </w:r>
    </w:p>
    <w:p>
      <w:pPr>
        <w:numPr>
          <w:ilvl w:val="0"/>
          <w:numId w:val="1003"/>
        </w:numPr>
        <w:pStyle w:val="Compact"/>
      </w:pPr>
      <w:r>
        <w:t xml:space="preserve">Sintetizar cada uma das 3 camadas convolucionais separadamente (fora de contexto, uma por vez) em vez do pipeline inteiro de uma vez — pico de RAM bem menor, ainda são números reais do Vivado, só que por módulo em vez de um relatório único.</w:t>
      </w:r>
    </w:p>
    <w:p>
      <w:pPr>
        <w:numPr>
          <w:ilvl w:val="0"/>
          <w:numId w:val="1003"/>
        </w:numPr>
        <w:pStyle w:val="Compact"/>
      </w:pPr>
      <w:r>
        <w:t xml:space="preserve">Usar uma máquina com mais RAM (laboratório da UFV, por exemplo), se houver acesso antes do prazo.</w:t>
      </w:r>
    </w:p>
    <w:p>
      <w:pPr>
        <w:numPr>
          <w:ilvl w:val="0"/>
          <w:numId w:val="1003"/>
        </w:numPr>
        <w:pStyle w:val="Compact"/>
      </w:pPr>
      <w:r>
        <w:t xml:space="preserve">Se nada disso funcionar a tempo: usar o fallback já pronto — contagem de células do Yosys (coarse) + estimativa analítica de MACs — apresentado honestamente como</w:t>
      </w:r>
      <w:r>
        <w:t xml:space="preserve"> </w:t>
      </w:r>
      <w:r>
        <w:t xml:space="preserve">“</w:t>
      </w:r>
      <w:r>
        <w:t xml:space="preserve">estimativa de recursos</w:t>
      </w:r>
      <w:r>
        <w:t xml:space="preserve">”</w:t>
      </w:r>
      <w:r>
        <w:t xml:space="preserve">, não como número verificado pelo Vivado.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Prós:</w:t>
      </w:r>
      <w:r>
        <w:t xml:space="preserve"> </w:t>
      </w:r>
      <w:r>
        <w:t xml:space="preserve">fortalece muito a alegação central de</w:t>
      </w:r>
      <w:r>
        <w:t xml:space="preserve"> </w:t>
      </w:r>
      <w:r>
        <w:t xml:space="preserve">“</w:t>
      </w:r>
      <w:r>
        <w:t xml:space="preserve">FPGA Accelerator</w:t>
      </w:r>
      <w:r>
        <w:t xml:space="preserve">”</w:t>
      </w:r>
      <w:r>
        <w:t xml:space="preserve">; números reais de LUT/FF/BRAM/DSP são exatamente o que um revisor da área espera ver; todo o RTL já está pronto e funcionalmente validado — só falta a etapa de síntese.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Contras:</w:t>
      </w:r>
      <w:r>
        <w:t xml:space="preserve"> </w:t>
      </w:r>
      <w:r>
        <w:t xml:space="preserve">risco real de não fechar a tempo, dado o histórico recente de bugs (limite de variável, depois caminho de arquivo, agora RAM) e o pouco tempo restante; pode consumir tempo que falta para revisar o texto do artigo em si.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Esforço restante:</w:t>
      </w:r>
      <w:r>
        <w:t xml:space="preserve"> </w:t>
      </w:r>
      <w:r>
        <w:t xml:space="preserve">médio-alto, com incerteza — depende de resolver um problema de infraestrutura (RAM) que não está sob controle direto do código.</w:t>
      </w:r>
    </w:p>
    <w:p>
      <w:pPr>
        <w:pStyle w:val="Heading3"/>
      </w:pPr>
      <w:bookmarkStart w:id="26" w:name="X11e65dc0966ed6cd3e88d8756b5e3dd71562ae4"/>
      <w:r>
        <w:t xml:space="preserve">Rota 3 — Deixar o artigo como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bookmarkEnd w:id="26"/>
    </w:p>
    <w:p>
      <w:pPr>
        <w:pStyle w:val="FirstParagraph"/>
      </w:pPr>
      <w:r>
        <w:rPr>
          <w:b/>
        </w:rPr>
        <w:t xml:space="preserve">O que significa, na prática (ver seção 2 acima):</w:t>
      </w:r>
      <w:r>
        <w:t xml:space="preserve"> </w:t>
      </w:r>
      <w:r>
        <w:t xml:space="preserve">não é uma submissão diferente — é submeter o melhor artigo possível dentro do prazo (Rota 1, com ou sem os números da Rota 2) e aceitar que os revisores podem classificá-lo como WiP se julgarem que a validação de hardware ainda não está madura o bastante para artigo completo.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Prós:</w:t>
      </w:r>
      <w:r>
        <w:t xml:space="preserve"> </w:t>
      </w:r>
      <w:r>
        <w:t xml:space="preserve">remove a pressão de</w:t>
      </w:r>
      <w:r>
        <w:t xml:space="preserve"> </w:t>
      </w:r>
      <w:r>
        <w:t xml:space="preserve">“</w:t>
      </w:r>
      <w:r>
        <w:t xml:space="preserve">tudo ou nada</w:t>
      </w:r>
      <w:r>
        <w:t xml:space="preserve">”</w:t>
      </w:r>
      <w:r>
        <w:t xml:space="preserve"> </w:t>
      </w:r>
      <w:r>
        <w:t xml:space="preserve">— não existe cenário onde o trabalho feito até agora</w:t>
      </w:r>
      <w:r>
        <w:t xml:space="preserve"> </w:t>
      </w:r>
      <w:r>
        <w:t xml:space="preserve">“</w:t>
      </w:r>
      <w:r>
        <w:t xml:space="preserve">não serve para nada</w:t>
      </w:r>
      <w:r>
        <w:t xml:space="preserve">”</w:t>
      </w:r>
      <w:r>
        <w:t xml:space="preserve">; ainda resulta em publicação real, com DOI, no SBC Open Library.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Contras:</w:t>
      </w:r>
      <w:r>
        <w:t xml:space="preserve"> </w:t>
      </w:r>
      <w:r>
        <w:t xml:space="preserve">menor peso/visibilidade percebidos que um artigo completo indexado no IEEE Xplore; só se aplica a versões em português/espanhol ou já classificadas como WiP pelos revisores (não há atalho para isso).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Esforço restante:</w:t>
      </w:r>
      <w:r>
        <w:t xml:space="preserve"> </w:t>
      </w:r>
      <w:r>
        <w:t xml:space="preserve">nenhum adicional — é uma consequência possível da revisão, não uma tarefa a fazer.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comendação"/>
      <w:r>
        <w:t xml:space="preserve">4. Recomendação</w:t>
      </w:r>
      <w:bookmarkEnd w:id="27"/>
    </w:p>
    <w:p>
      <w:pPr>
        <w:pStyle w:val="FirstParagraph"/>
      </w:pPr>
      <w:r>
        <w:t xml:space="preserve">Dado o quadro acima, a rota mais segura não é escolher 1, 2 ou 3 isoladamente, e sim: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Hoje:</w:t>
      </w:r>
      <w:r>
        <w:t xml:space="preserve"> </w:t>
      </w:r>
      <w:r>
        <w:t xml:space="preserve">confirmar o prazo real (ver alerta no topo) — é a maior incerteza e a mais rápida de resolver.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Em paralelo, com prazo curto e definido (ex.: até 2 dias):</w:t>
      </w:r>
      <w:r>
        <w:t xml:space="preserve"> </w:t>
      </w:r>
      <w:r>
        <w:t xml:space="preserve">tentar a Rota 2 de forma oportunista, começando pela opção mais barata (fechar programas e tentar de novo; depois síntese por camada). Todo o RTL já está pronto e correto — o único obstáculo é a etapa final de síntese.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Independentemente do resultado da Rota 2:</w:t>
      </w:r>
      <w:r>
        <w:t xml:space="preserve"> </w:t>
      </w:r>
      <w:r>
        <w:t xml:space="preserve">já deixar a Rota 1 pronta como base garantida — texto revisado incluindo a tabela de validação funcional (8-10 datasets) e o custo analítico de transformação, que já são evidências reais de hardware-viabilidade, mesmo sem números de área sintetizados.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 os números do Vivado saírem a tempo:</w:t>
      </w:r>
      <w:r>
        <w:t xml:space="preserve"> </w:t>
      </w:r>
      <w:r>
        <w:t xml:space="preserve">incorporá-los como a peça final, fortalecendo a Rota 1 para a versão mais completa possível.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 não saírem:</w:t>
      </w:r>
      <w:r>
        <w:t xml:space="preserve"> </w:t>
      </w:r>
      <w:r>
        <w:t xml:space="preserve">submeter mesmo assim a versão da Rota 1. Pelo que a Rota 3 esclarece, o pior cenário realista não é a rejeição — é uma publicação como</w:t>
      </w:r>
      <w:r>
        <w:t xml:space="preserve"> </w:t>
      </w:r>
      <w:r>
        <w:t xml:space="preserve">“</w:t>
      </w:r>
      <w:r>
        <w:t xml:space="preserve">Work in Progress</w:t>
      </w:r>
      <w:r>
        <w:t xml:space="preserve">”</w:t>
      </w:r>
      <w:r>
        <w:t xml:space="preserve">, que ainda é uma publicação válida.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2026-07-25T17:14:49Z</dcterms:created>
  <dcterms:modified xsi:type="dcterms:W3CDTF">2026-07-25T17:14:49Z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