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83F2"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CS 320 Project Two: Summary and Reflections Report</w:t>
      </w:r>
    </w:p>
    <w:p w14:paraId="4D10DCEA" w14:textId="0A27D4F1"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Olawale Sanyaolu</w:t>
      </w:r>
      <w:r w:rsidRPr="000B1474">
        <w:rPr>
          <w:rFonts w:ascii="Times New Roman" w:hAnsi="Times New Roman" w:cs="Times New Roman"/>
          <w:sz w:val="24"/>
          <w:szCs w:val="24"/>
        </w:rPr>
        <w:br/>
        <w:t>CS 320 Software Test</w:t>
      </w:r>
      <w:r>
        <w:rPr>
          <w:rFonts w:ascii="Times New Roman" w:hAnsi="Times New Roman" w:cs="Times New Roman"/>
          <w:sz w:val="24"/>
          <w:szCs w:val="24"/>
        </w:rPr>
        <w:t>ing,</w:t>
      </w:r>
      <w:r w:rsidRPr="000B1474">
        <w:rPr>
          <w:rFonts w:ascii="Times New Roman" w:hAnsi="Times New Roman" w:cs="Times New Roman"/>
          <w:sz w:val="24"/>
          <w:szCs w:val="24"/>
        </w:rPr>
        <w:t xml:space="preserve"> Automation</w:t>
      </w:r>
      <w:r>
        <w:rPr>
          <w:rFonts w:ascii="Times New Roman" w:hAnsi="Times New Roman" w:cs="Times New Roman"/>
          <w:sz w:val="24"/>
          <w:szCs w:val="24"/>
        </w:rPr>
        <w:t xml:space="preserve"> And</w:t>
      </w:r>
      <w:r w:rsidRPr="000B1474">
        <w:rPr>
          <w:rFonts w:ascii="Times New Roman" w:hAnsi="Times New Roman" w:cs="Times New Roman"/>
          <w:sz w:val="24"/>
          <w:szCs w:val="24"/>
        </w:rPr>
        <w:t xml:space="preserve"> Q</w:t>
      </w:r>
      <w:r>
        <w:rPr>
          <w:rFonts w:ascii="Times New Roman" w:hAnsi="Times New Roman" w:cs="Times New Roman"/>
          <w:sz w:val="24"/>
          <w:szCs w:val="24"/>
        </w:rPr>
        <w:t xml:space="preserve">uality </w:t>
      </w:r>
      <w:r w:rsidRPr="000B1474">
        <w:rPr>
          <w:rFonts w:ascii="Times New Roman" w:hAnsi="Times New Roman" w:cs="Times New Roman"/>
          <w:sz w:val="24"/>
          <w:szCs w:val="24"/>
        </w:rPr>
        <w:t>A</w:t>
      </w:r>
      <w:r>
        <w:rPr>
          <w:rFonts w:ascii="Times New Roman" w:hAnsi="Times New Roman" w:cs="Times New Roman"/>
          <w:sz w:val="24"/>
          <w:szCs w:val="24"/>
        </w:rPr>
        <w:t>ssurance</w:t>
      </w:r>
    </w:p>
    <w:p w14:paraId="1AF7DC8B"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Summary</w:t>
      </w:r>
    </w:p>
    <w:p w14:paraId="31D48AAD"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My unit testing approach for Project One was requirements-driven. I treated each requirement for the contact, task, and appointment features as a test condition and then created positive and negative JUnit tests around it. For the contact feature, I verified valid object creation and each field rule: contact ID length and null restrictions, first and last name limits, the exact ten-digit phone requirement, and the address limit. For example, ContactTest lines 26–47 test both a null contact ID and an ID longer than 10 characters, while lines 95–136 test null, short, long, and nonnumeric phone values. I also tested service behavior, including adding, rejecting duplicate IDs, deleting, and updating fields. ContactServiceTest lines 32–55 specifically confirm that a duplicate ID is rejected.</w:t>
      </w:r>
    </w:p>
    <w:p w14:paraId="41D8E1F1" w14:textId="0ECDCE44"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The task tests followed the same traceable approach. TaskTest lines 33–45 verify that the maximum allowed lengths</w:t>
      </w:r>
      <w:r w:rsidR="004E4145">
        <w:rPr>
          <w:rFonts w:ascii="Times New Roman" w:hAnsi="Times New Roman" w:cs="Times New Roman"/>
          <w:sz w:val="24"/>
          <w:szCs w:val="24"/>
        </w:rPr>
        <w:t xml:space="preserve">, </w:t>
      </w:r>
      <w:r w:rsidRPr="000B1474">
        <w:rPr>
          <w:rFonts w:ascii="Times New Roman" w:hAnsi="Times New Roman" w:cs="Times New Roman"/>
          <w:sz w:val="24"/>
          <w:szCs w:val="24"/>
        </w:rPr>
        <w:t>10 characters for the ID, 20 for the name, and 50 for the description</w:t>
      </w:r>
      <w:r w:rsidR="004E4145">
        <w:rPr>
          <w:rFonts w:ascii="Times New Roman" w:hAnsi="Times New Roman" w:cs="Times New Roman"/>
          <w:sz w:val="24"/>
          <w:szCs w:val="24"/>
        </w:rPr>
        <w:t xml:space="preserve">, </w:t>
      </w:r>
      <w:r w:rsidRPr="000B1474">
        <w:rPr>
          <w:rFonts w:ascii="Times New Roman" w:hAnsi="Times New Roman" w:cs="Times New Roman"/>
          <w:sz w:val="24"/>
          <w:szCs w:val="24"/>
        </w:rPr>
        <w:t xml:space="preserve">are accepted, which directly checks the boundary rather than only using ordinary valid data. Separate tests reject null and over-length values. TaskServiceTest then verifies adding, duplicate rejection, null rejection, deletion, and updates. The appointment tests similarly check valid creation, an ID longer than 10 characters, a null ID, past and null dates, and descriptions that are null or longer than 50 characters. AppointmentServiceTest lines 57–74 confirm that duplicate appointment IDs are rejected and that the collection count remains one after the failed addition. </w:t>
      </w:r>
      <w:r w:rsidRPr="000B1474">
        <w:rPr>
          <w:rFonts w:ascii="Times New Roman" w:hAnsi="Times New Roman" w:cs="Times New Roman"/>
          <w:sz w:val="24"/>
          <w:szCs w:val="24"/>
        </w:rPr>
        <w:lastRenderedPageBreak/>
        <w:t>These tests show strong alignment between the written requirements and the behavior being verified.</w:t>
      </w:r>
    </w:p>
    <w:p w14:paraId="3860C540"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The JUnit suite covers normal operations and failure paths involving invalid input, duplicate IDs, missing records, and null values. JUnit Jupiter provides assertions such as assertEquals and assertThrows for verifying results and exceptions (JUnit Team, 2025). The Eclipse coverage results provide quantitative evidence of the effectiveness of the tests. AppointmentService achieved 88.9% coverage with all 14 of 14 tests passing, ContactService achieved 93.0% coverage with all 13 of 13 tests passing, and TaskService achieved 91.1% coverage with all 28 of 28 tests passing. Across the three features, all 55 JUnit tests passed with zero errors and zero failures. These results show that the tests exercised a large majority of the implemented code while also verifying the required success and failure behaviors. Coverage percentage alone does not prove correctness, so I considered these percentages together with the direct traceability between the requirements and the individual test cases.</w:t>
      </w:r>
    </w:p>
    <w:p w14:paraId="737BF4E6"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Experience Writing the JUnit Tests</w:t>
      </w:r>
    </w:p>
    <w:p w14:paraId="756F14C9"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I made the tests technically sound by using assertions that matched each expected behavior. ContactTest lines 19–23 use assertEquals to verify every valid field. TaskServiceTest lines 61–63 use assertThrows to verify duplicate-task rejection. AppointmentServiceTest lines 89–94 use assertEquals and assertNull to confirm deletion. The service tests also use @BeforeEach so every test starts with a fresh service instance and cannot be affected by data left by another test.</w:t>
      </w:r>
    </w:p>
    <w:p w14:paraId="417D5F53"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 xml:space="preserve">I kept the tests efficient by reusing setup logic. AppointmentServiceTest lines 15–17 define createFutureDate(), while lines 19–27 use @BeforeEach to create the service and a standard appointment. TaskServiceTest uses the same pattern. This reduces duplication while preserving </w:t>
      </w:r>
      <w:r w:rsidRPr="000B1474">
        <w:rPr>
          <w:rFonts w:ascii="Times New Roman" w:hAnsi="Times New Roman" w:cs="Times New Roman"/>
          <w:sz w:val="24"/>
          <w:szCs w:val="24"/>
        </w:rPr>
        <w:lastRenderedPageBreak/>
        <w:t>isolation. Because the services use in-memory HashMap collections, the tests also run without database or network setup.</w:t>
      </w:r>
    </w:p>
    <w:p w14:paraId="01BEDA2F"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Reflection: Testing Techniques</w:t>
      </w:r>
    </w:p>
    <w:p w14:paraId="11C4E730"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The main techniques I used were unit testing, black-box requirements-based testing, positive and negative testing, boundary value analysis, and equivalence partitioning. Unit testing isolated the Contact, Task, Appointment, and service classes. Black-box thinking helped me derive tests from the required behavior rather than from what I expected my implementation to do. Positive tests used valid data and expected successful creation, addition, deletion, or update. Negative tests supplied invalid values and expected exceptions. Boundary value analysis was especially important for maximum lengths. For example, TaskTest accepts exactly 10, 20, and 50 characters, then rejects values beyond the permitted limits. ISTQB describes boundary value analysis as exercising values at the edges of ordered partitions because defects commonly occur around boundaries (International Software Testing Qualifications Board [ISTQB], 2025). Equivalence partitioning also influenced the tests by separating inputs into valid and invalid groups, such as valid ten-digit phone numbers versus null, too-short, too-long, or nonnumeric phone values (ISTQB, 2024).</w:t>
      </w:r>
    </w:p>
    <w:p w14:paraId="49E5D310"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 xml:space="preserve">Other techniques would be more useful in larger systems. Integration testing verifies interactions among services, databases, APIs, or external components; system testing evaluates complete end-to-end behavior; regression testing detects unintended effects after changes; performance testing measures response and load behavior; and security testing examines risks such as improper access or unsafe input. State-transition testing is useful when behavior depends on prior state, while decision-table testing helps with combinations of business rules. Unit tests give fast feedback, integration and system tests expose interface or workflow problems, regression tests </w:t>
      </w:r>
      <w:r w:rsidRPr="000B1474">
        <w:rPr>
          <w:rFonts w:ascii="Times New Roman" w:hAnsi="Times New Roman" w:cs="Times New Roman"/>
          <w:sz w:val="24"/>
          <w:szCs w:val="24"/>
        </w:rPr>
        <w:lastRenderedPageBreak/>
        <w:t>protect existing behavior, and performance or security tests address risks that functional unit tests cannot establish.</w:t>
      </w:r>
    </w:p>
    <w:p w14:paraId="10DEE741"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Reflection: Mindset</w:t>
      </w:r>
    </w:p>
    <w:p w14:paraId="525A654E"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I used caution by assuming that valid-looking code could fail at boundaries or in unusual operations. I tested duplicate contact IDs as well as normal additions, and I tested deleting a missing task and a null ID as well as successful deletion. This mattered because each service depends on its model object's validation. An update method can appear correct but still accept bad data if the model setter does not validate, so I tested both object validation and service behavior.</w:t>
      </w:r>
    </w:p>
    <w:p w14:paraId="70ED401E"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I limited bias by deriving cases from the requirements rather than from what I expected my implementation to do. When developers test their own code, they can favor intended paths and overlook unexpected ones. The phone tests therefore include nine digits, eleven digits, and a ten-character value containing a letter, while duplicate-ID tests challenge the assumption that every add should succeed. In future work, I would also use a requirements-to-test traceability checklist and peer review.</w:t>
      </w:r>
    </w:p>
    <w:p w14:paraId="58C1B67C"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Discipline is essential because shortcuts create technical debt through defects, rework, and harder maintenance. I plan to keep tests readable, run regression tests after meaningful changes, add a test whenever a defect is found, review coverage without treating the percentage as the only quality measure, and refactor duplicated setup. Project One showed me that quality is a repeated practice of connecting requirements, implementation, and evidence from testing.</w:t>
      </w:r>
    </w:p>
    <w:p w14:paraId="1A8288FE"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b/>
          <w:bCs/>
          <w:sz w:val="24"/>
          <w:szCs w:val="24"/>
        </w:rPr>
        <w:t>References</w:t>
      </w:r>
    </w:p>
    <w:p w14:paraId="1CCE38DD"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lastRenderedPageBreak/>
        <w:t>International Software Testing Qualifications Board. (2024). ISTQB Certified Tester Foundation Level syllabus v4.0.1. https://istqb.org/wp-content/uploads/2024/11/ISTQB_CTFL_Syllabus_v4.0.1.pdf</w:t>
      </w:r>
    </w:p>
    <w:p w14:paraId="2E683FCB"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International Software Testing Qualifications Board. (2025). Boundary value analysis according to the ISTQB Foundation Level syllabus. https://istqb.org/wp-content/uploads/2025/10/Boundary-Value-Analysis-white-paper.pdf</w:t>
      </w:r>
    </w:p>
    <w:p w14:paraId="7064097D" w14:textId="77777777" w:rsidR="000B1474" w:rsidRPr="000B1474" w:rsidRDefault="000B1474" w:rsidP="000B1474">
      <w:pPr>
        <w:spacing w:line="480" w:lineRule="auto"/>
        <w:rPr>
          <w:rFonts w:ascii="Times New Roman" w:hAnsi="Times New Roman" w:cs="Times New Roman"/>
          <w:sz w:val="24"/>
          <w:szCs w:val="24"/>
        </w:rPr>
      </w:pPr>
      <w:r w:rsidRPr="000B1474">
        <w:rPr>
          <w:rFonts w:ascii="Times New Roman" w:hAnsi="Times New Roman" w:cs="Times New Roman"/>
          <w:sz w:val="24"/>
          <w:szCs w:val="24"/>
        </w:rPr>
        <w:t>JUnit Team. (2025). JUnit 5 user guide (Version 5.13.1). https://docs.junit.org/5.13.1/user-guide/index.html</w:t>
      </w:r>
    </w:p>
    <w:p w14:paraId="602C6D1F" w14:textId="77777777" w:rsidR="00BB1B06" w:rsidRDefault="00BB1B06"/>
    <w:sectPr w:rsidR="00BB1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74"/>
    <w:rsid w:val="000B1474"/>
    <w:rsid w:val="00141E11"/>
    <w:rsid w:val="004E4145"/>
    <w:rsid w:val="004E6059"/>
    <w:rsid w:val="00687D9A"/>
    <w:rsid w:val="00BB1B06"/>
    <w:rsid w:val="00CA6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FF47"/>
  <w15:chartTrackingRefBased/>
  <w15:docId w15:val="{AB34FD56-A03B-4407-A448-F77C9098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474"/>
    <w:rPr>
      <w:rFonts w:eastAsiaTheme="majorEastAsia" w:cstheme="majorBidi"/>
      <w:color w:val="272727" w:themeColor="text1" w:themeTint="D8"/>
    </w:rPr>
  </w:style>
  <w:style w:type="paragraph" w:styleId="Title">
    <w:name w:val="Title"/>
    <w:basedOn w:val="Normal"/>
    <w:next w:val="Normal"/>
    <w:link w:val="TitleChar"/>
    <w:uiPriority w:val="10"/>
    <w:qFormat/>
    <w:rsid w:val="000B1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474"/>
    <w:pPr>
      <w:spacing w:before="160"/>
      <w:jc w:val="center"/>
    </w:pPr>
    <w:rPr>
      <w:i/>
      <w:iCs/>
      <w:color w:val="404040" w:themeColor="text1" w:themeTint="BF"/>
    </w:rPr>
  </w:style>
  <w:style w:type="character" w:customStyle="1" w:styleId="QuoteChar">
    <w:name w:val="Quote Char"/>
    <w:basedOn w:val="DefaultParagraphFont"/>
    <w:link w:val="Quote"/>
    <w:uiPriority w:val="29"/>
    <w:rsid w:val="000B1474"/>
    <w:rPr>
      <w:i/>
      <w:iCs/>
      <w:color w:val="404040" w:themeColor="text1" w:themeTint="BF"/>
    </w:rPr>
  </w:style>
  <w:style w:type="paragraph" w:styleId="ListParagraph">
    <w:name w:val="List Paragraph"/>
    <w:basedOn w:val="Normal"/>
    <w:uiPriority w:val="34"/>
    <w:qFormat/>
    <w:rsid w:val="000B1474"/>
    <w:pPr>
      <w:ind w:left="720"/>
      <w:contextualSpacing/>
    </w:pPr>
  </w:style>
  <w:style w:type="character" w:styleId="IntenseEmphasis">
    <w:name w:val="Intense Emphasis"/>
    <w:basedOn w:val="DefaultParagraphFont"/>
    <w:uiPriority w:val="21"/>
    <w:qFormat/>
    <w:rsid w:val="000B1474"/>
    <w:rPr>
      <w:i/>
      <w:iCs/>
      <w:color w:val="0F4761" w:themeColor="accent1" w:themeShade="BF"/>
    </w:rPr>
  </w:style>
  <w:style w:type="paragraph" w:styleId="IntenseQuote">
    <w:name w:val="Intense Quote"/>
    <w:basedOn w:val="Normal"/>
    <w:next w:val="Normal"/>
    <w:link w:val="IntenseQuoteChar"/>
    <w:uiPriority w:val="30"/>
    <w:qFormat/>
    <w:rsid w:val="000B1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474"/>
    <w:rPr>
      <w:i/>
      <w:iCs/>
      <w:color w:val="0F4761" w:themeColor="accent1" w:themeShade="BF"/>
    </w:rPr>
  </w:style>
  <w:style w:type="character" w:styleId="IntenseReference">
    <w:name w:val="Intense Reference"/>
    <w:basedOn w:val="DefaultParagraphFont"/>
    <w:uiPriority w:val="32"/>
    <w:qFormat/>
    <w:rsid w:val="000B1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1144</Words>
  <Characters>6521</Characters>
  <Application>Microsoft Office Word</Application>
  <DocSecurity>0</DocSecurity>
  <Lines>54</Lines>
  <Paragraphs>15</Paragraphs>
  <ScaleCrop>false</ScaleCrop>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Sanyaolu</dc:creator>
  <cp:keywords/>
  <dc:description/>
  <cp:lastModifiedBy>Olawale Sanyaolu</cp:lastModifiedBy>
  <cp:revision>3</cp:revision>
  <dcterms:created xsi:type="dcterms:W3CDTF">2026-08-16T00:43:00Z</dcterms:created>
  <dcterms:modified xsi:type="dcterms:W3CDTF">2026-08-16T00:53:00Z</dcterms:modified>
</cp:coreProperties>
</file>