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sz w:val="32"/>
        </w:rPr>
        <w:t>ÉVALUATION DU PROGRAMME D'INSERTION SPÉCIAL DANS L'EMPLOI (PSIE) AU BÉNIN</w:t>
      </w:r>
    </w:p>
    <w:p>
      <w:pPr>
        <w:pStyle w:val="Heading2"/>
      </w:pPr>
      <w:r>
        <w:rPr>
          <w:rFonts w:ascii="Times New Roman" w:hAnsi="Times New Roman"/>
          <w:color w:val="003366"/>
          <w:sz w:val="28"/>
        </w:rPr>
        <w:t>Rapport d'Évaluation — Critères OCDE/CAD : Pertinence, Cohérence et Efficacité</w:t>
      </w:r>
    </w:p>
    <w:p/>
    <w:p>
      <w:pPr>
        <w:pStyle w:val="Heading2"/>
      </w:pPr>
      <w:r>
        <w:rPr>
          <w:rFonts w:ascii="Times New Roman" w:hAnsi="Times New Roman"/>
          <w:color w:val="003366"/>
          <w:sz w:val="28"/>
        </w:rPr>
        <w:t>PAGE DE TITRE</w:t>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Champ</w:t>
            </w:r>
          </w:p>
        </w:tc>
        <w:tc>
          <w:tcPr>
            <w:tcW w:type="dxa" w:w="4561"/>
            <w:shd w:val="clear" w:color="auto" w:fill="003366"/>
          </w:tcPr>
          <w:p>
            <w:r>
              <w:rPr>
                <w:rFonts w:ascii="Times New Roman" w:hAnsi="Times New Roman"/>
                <w:b/>
                <w:color w:val="FFFFFF"/>
                <w:sz w:val="20"/>
              </w:rPr>
              <w:t>Détail</w:t>
            </w:r>
          </w:p>
        </w:tc>
      </w:tr>
      <w:tr>
        <w:tc>
          <w:tcPr>
            <w:tcW w:type="dxa" w:w="4561"/>
          </w:tcPr>
          <w:p>
            <w:r>
              <w:rPr>
                <w:rFonts w:ascii="Times New Roman" w:hAnsi="Times New Roman"/>
                <w:b w:val="0"/>
                <w:sz w:val="20"/>
              </w:rPr>
              <w:t>Intitulé du programme</w:t>
            </w:r>
          </w:p>
        </w:tc>
        <w:tc>
          <w:tcPr>
            <w:tcW w:type="dxa" w:w="4561"/>
          </w:tcPr>
          <w:p>
            <w:r>
              <w:rPr>
                <w:rFonts w:ascii="Times New Roman" w:hAnsi="Times New Roman"/>
                <w:b w:val="0"/>
                <w:sz w:val="20"/>
              </w:rPr>
              <w:t>Programme Spécial d'Insertion dans l'Emploi (PSIE)</w:t>
            </w:r>
          </w:p>
        </w:tc>
      </w:tr>
      <w:tr>
        <w:tc>
          <w:tcPr>
            <w:tcW w:type="dxa" w:w="4561"/>
          </w:tcPr>
          <w:p>
            <w:r>
              <w:rPr>
                <w:rFonts w:ascii="Times New Roman" w:hAnsi="Times New Roman"/>
                <w:b w:val="0"/>
                <w:sz w:val="20"/>
              </w:rPr>
              <w:t>Pays</w:t>
            </w:r>
          </w:p>
        </w:tc>
        <w:tc>
          <w:tcPr>
            <w:tcW w:type="dxa" w:w="4561"/>
          </w:tcPr>
          <w:p>
            <w:r>
              <w:rPr>
                <w:rFonts w:ascii="Times New Roman" w:hAnsi="Times New Roman"/>
                <w:b w:val="0"/>
                <w:sz w:val="20"/>
              </w:rPr>
              <w:t>République du Bénin</w:t>
            </w:r>
          </w:p>
        </w:tc>
      </w:tr>
      <w:tr>
        <w:tc>
          <w:tcPr>
            <w:tcW w:type="dxa" w:w="4561"/>
          </w:tcPr>
          <w:p>
            <w:r>
              <w:rPr>
                <w:rFonts w:ascii="Times New Roman" w:hAnsi="Times New Roman"/>
                <w:b w:val="0"/>
                <w:sz w:val="20"/>
              </w:rPr>
              <w:t>Secteur</w:t>
            </w:r>
          </w:p>
        </w:tc>
        <w:tc>
          <w:tcPr>
            <w:tcW w:type="dxa" w:w="4561"/>
          </w:tcPr>
          <w:p>
            <w:r>
              <w:rPr>
                <w:rFonts w:ascii="Times New Roman" w:hAnsi="Times New Roman"/>
                <w:b w:val="0"/>
                <w:sz w:val="20"/>
              </w:rPr>
              <w:t>Emploi et Formation Professionnelle</w:t>
            </w:r>
          </w:p>
        </w:tc>
      </w:tr>
      <w:tr>
        <w:tc>
          <w:tcPr>
            <w:tcW w:type="dxa" w:w="4561"/>
          </w:tcPr>
          <w:p>
            <w:r>
              <w:rPr>
                <w:rFonts w:ascii="Times New Roman" w:hAnsi="Times New Roman"/>
                <w:b w:val="0"/>
                <w:sz w:val="20"/>
              </w:rPr>
              <w:t>Portée de l'évaluation</w:t>
            </w:r>
          </w:p>
        </w:tc>
        <w:tc>
          <w:tcPr>
            <w:tcW w:type="dxa" w:w="4561"/>
          </w:tcPr>
          <w:p>
            <w:r>
              <w:rPr>
                <w:rFonts w:ascii="Times New Roman" w:hAnsi="Times New Roman"/>
                <w:b w:val="0"/>
                <w:sz w:val="20"/>
              </w:rPr>
              <w:t>Nationale</w:t>
            </w:r>
          </w:p>
        </w:tc>
      </w:tr>
      <w:tr>
        <w:tc>
          <w:tcPr>
            <w:tcW w:type="dxa" w:w="4561"/>
          </w:tcPr>
          <w:p>
            <w:r>
              <w:rPr>
                <w:rFonts w:ascii="Times New Roman" w:hAnsi="Times New Roman"/>
                <w:b w:val="0"/>
                <w:sz w:val="20"/>
              </w:rPr>
              <w:t>Critères évalués</w:t>
            </w:r>
          </w:p>
        </w:tc>
        <w:tc>
          <w:tcPr>
            <w:tcW w:type="dxa" w:w="4561"/>
          </w:tcPr>
          <w:p>
            <w:r>
              <w:rPr>
                <w:rFonts w:ascii="Times New Roman" w:hAnsi="Times New Roman"/>
                <w:b w:val="0"/>
                <w:sz w:val="20"/>
              </w:rPr>
              <w:t>Pertinence, Cohérence, Efficacité</w:t>
            </w:r>
          </w:p>
        </w:tc>
      </w:tr>
      <w:tr>
        <w:tc>
          <w:tcPr>
            <w:tcW w:type="dxa" w:w="4561"/>
          </w:tcPr>
          <w:p>
            <w:r>
              <w:rPr>
                <w:rFonts w:ascii="Times New Roman" w:hAnsi="Times New Roman"/>
                <w:b w:val="0"/>
                <w:sz w:val="20"/>
              </w:rPr>
              <w:t>Type d'évaluation</w:t>
            </w:r>
          </w:p>
        </w:tc>
        <w:tc>
          <w:tcPr>
            <w:tcW w:type="dxa" w:w="4561"/>
          </w:tcPr>
          <w:p>
            <w:r>
              <w:rPr>
                <w:rFonts w:ascii="Times New Roman" w:hAnsi="Times New Roman"/>
                <w:b w:val="0"/>
                <w:sz w:val="20"/>
              </w:rPr>
              <w:t>Évaluation de processus — Revue documentaire</w:t>
            </w:r>
          </w:p>
        </w:tc>
      </w:tr>
      <w:tr>
        <w:tc>
          <w:tcPr>
            <w:tcW w:type="dxa" w:w="4561"/>
          </w:tcPr>
          <w:p>
            <w:r>
              <w:rPr>
                <w:rFonts w:ascii="Times New Roman" w:hAnsi="Times New Roman"/>
                <w:b w:val="0"/>
                <w:sz w:val="20"/>
              </w:rPr>
              <w:t>Période couverte</w:t>
            </w:r>
          </w:p>
        </w:tc>
        <w:tc>
          <w:tcPr>
            <w:tcW w:type="dxa" w:w="4561"/>
          </w:tcPr>
          <w:p>
            <w:r>
              <w:rPr>
                <w:rFonts w:ascii="Times New Roman" w:hAnsi="Times New Roman"/>
                <w:b w:val="0"/>
                <w:sz w:val="20"/>
              </w:rPr>
              <w:t>Juillet 2020 – Septembre 2025</w:t>
            </w:r>
          </w:p>
        </w:tc>
      </w:tr>
      <w:tr>
        <w:tc>
          <w:tcPr>
            <w:tcW w:type="dxa" w:w="4561"/>
          </w:tcPr>
          <w:p>
            <w:r>
              <w:rPr>
                <w:rFonts w:ascii="Times New Roman" w:hAnsi="Times New Roman"/>
                <w:b w:val="0"/>
                <w:sz w:val="20"/>
              </w:rPr>
              <w:t>Documents sources</w:t>
            </w:r>
          </w:p>
        </w:tc>
        <w:tc>
          <w:tcPr>
            <w:tcW w:type="dxa" w:w="4561"/>
          </w:tcPr>
          <w:p>
            <w:r>
              <w:rPr>
                <w:rFonts w:ascii="Times New Roman" w:hAnsi="Times New Roman"/>
                <w:b w:val="0"/>
                <w:sz w:val="20"/>
              </w:rPr>
              <w:t>Prodoc PSIE (mars 2020) · Cadre logique PSIE · Rapport actualisé de mise en œuvre (juil. 2020 – sept. 2025)</w:t>
            </w:r>
          </w:p>
        </w:tc>
      </w:tr>
      <w:tr>
        <w:tc>
          <w:tcPr>
            <w:tcW w:type="dxa" w:w="4561"/>
          </w:tcPr>
          <w:p>
            <w:r>
              <w:rPr>
                <w:rFonts w:ascii="Times New Roman" w:hAnsi="Times New Roman"/>
                <w:b w:val="0"/>
                <w:sz w:val="20"/>
              </w:rPr>
              <w:t>Date du rapport</w:t>
            </w:r>
          </w:p>
        </w:tc>
        <w:tc>
          <w:tcPr>
            <w:tcW w:type="dxa" w:w="4561"/>
          </w:tcPr>
          <w:p>
            <w:r>
              <w:rPr>
                <w:rFonts w:ascii="Times New Roman" w:hAnsi="Times New Roman"/>
                <w:b w:val="0"/>
                <w:sz w:val="20"/>
              </w:rPr>
              <w:t>Février 2026</w:t>
            </w:r>
          </w:p>
        </w:tc>
      </w:tr>
      <w:tr>
        <w:tc>
          <w:tcPr>
            <w:tcW w:type="dxa" w:w="4561"/>
          </w:tcPr>
          <w:p>
            <w:r>
              <w:rPr>
                <w:rFonts w:ascii="Times New Roman" w:hAnsi="Times New Roman"/>
                <w:b w:val="0"/>
                <w:sz w:val="20"/>
              </w:rPr>
              <w:t>Version</w:t>
            </w:r>
          </w:p>
        </w:tc>
        <w:tc>
          <w:tcPr>
            <w:tcW w:type="dxa" w:w="4561"/>
          </w:tcPr>
          <w:p>
            <w:r>
              <w:rPr>
                <w:rFonts w:ascii="Times New Roman" w:hAnsi="Times New Roman"/>
                <w:b w:val="0"/>
                <w:sz w:val="20"/>
              </w:rPr>
              <w:t>1.1 — Complétée sur base documentaire</w:t>
            </w:r>
          </w:p>
        </w:tc>
      </w:tr>
    </w:tbl>
    <w:p/>
    <w:p/>
    <w:p>
      <w:pPr>
        <w:pStyle w:val="Heading2"/>
      </w:pPr>
      <w:r>
        <w:rPr>
          <w:rFonts w:ascii="Times New Roman" w:hAnsi="Times New Roman"/>
          <w:color w:val="003366"/>
          <w:sz w:val="28"/>
        </w:rPr>
        <w:t>RÉSUMÉ EXÉCUTIF</w:t>
      </w:r>
    </w:p>
    <w:p>
      <w:r>
        <w:rPr>
          <w:rFonts w:ascii="Times New Roman" w:hAnsi="Times New Roman"/>
          <w:sz w:val="24"/>
        </w:rPr>
        <w:t xml:space="preserve">Le </w:t>
      </w:r>
      <w:r>
        <w:rPr>
          <w:rFonts w:ascii="Times New Roman" w:hAnsi="Times New Roman"/>
          <w:b/>
          <w:sz w:val="24"/>
        </w:rPr>
        <w:t>Programme Spécial d'Insertion dans l'Emploi (PSIE)</w:t>
      </w:r>
      <w:r>
        <w:rPr>
          <w:rFonts w:ascii="Times New Roman" w:hAnsi="Times New Roman"/>
          <w:sz w:val="24"/>
        </w:rPr>
        <w:t xml:space="preserve"> est une initiative présidentielle lancée au Bénin en juillet 2020, dont l'objectif est de faciliter l'insertion professionnelle de 2 000 jeunes diplômés par an dans les entreprises publiques et privées, à travers la prise en charge totale de leurs salaires par l'État sur une période de deux ans par cohorte.</w:t>
      </w:r>
    </w:p>
    <w:p>
      <w:r>
        <w:rPr>
          <w:rFonts w:ascii="Times New Roman" w:hAnsi="Times New Roman"/>
          <w:sz w:val="24"/>
        </w:rPr>
        <w:t>L'évaluation des trois premiers critères OCDE/CAD, conduite sur la base d'une revue documentaire, aboutit aux constats suivants :</w:t>
      </w:r>
    </w:p>
    <w:p>
      <w:r>
        <w:rPr>
          <w:rFonts w:ascii="Times New Roman" w:hAnsi="Times New Roman"/>
          <w:sz w:val="24"/>
        </w:rPr>
      </w:r>
      <w:r>
        <w:rPr>
          <w:rFonts w:ascii="Times New Roman" w:hAnsi="Times New Roman"/>
          <w:b/>
          <w:sz w:val="24"/>
        </w:rPr>
        <w:t>Pertinence — Élevée.</w:t>
      </w:r>
      <w:r>
        <w:rPr>
          <w:rFonts w:ascii="Times New Roman" w:hAnsi="Times New Roman"/>
          <w:sz w:val="24"/>
        </w:rPr>
        <w:t xml:space="preserve"> Le PSIE répond à un besoin structurel documenté : un taux de sous-emploi des jeunes de 72 % (INSAE, 2017), une inadéquation formation-emploi et des réticences des entreprises à embaucher liées aux charges salariales. Le programme est explicitement ancré dans le PAG 2016-2021 et l'objectif de traitement systématique de l'emploi dans l'action gouvernementale. Son modèle centré sur les entreprises est innovant et bien calibré au contexte béninois.</w:t>
      </w:r>
    </w:p>
    <w:p>
      <w:r>
        <w:rPr>
          <w:rFonts w:ascii="Times New Roman" w:hAnsi="Times New Roman"/>
          <w:sz w:val="24"/>
        </w:rPr>
      </w:r>
      <w:r>
        <w:rPr>
          <w:rFonts w:ascii="Times New Roman" w:hAnsi="Times New Roman"/>
          <w:b/>
          <w:sz w:val="24"/>
        </w:rPr>
        <w:t>Cohérence — Élevée.</w:t>
      </w:r>
      <w:r>
        <w:rPr>
          <w:rFonts w:ascii="Times New Roman" w:hAnsi="Times New Roman"/>
          <w:sz w:val="24"/>
        </w:rPr>
        <w:t xml:space="preserve"> La chaîne de résultats est logique et cohérente (intrants → activités → extrants → résultats), s'appuyant sur l'infrastructure existante de l'ANPE. Le programme évite les doublons grâce à l'intégration de ses activités dans le PTA de l'ANPE. La cohérence externe avec les politiques nationales d'emploi est forte.</w:t>
      </w:r>
    </w:p>
    <w:p>
      <w:r>
        <w:rPr>
          <w:rFonts w:ascii="Times New Roman" w:hAnsi="Times New Roman"/>
          <w:sz w:val="24"/>
        </w:rPr>
      </w:r>
      <w:r>
        <w:rPr>
          <w:rFonts w:ascii="Times New Roman" w:hAnsi="Times New Roman"/>
          <w:b/>
          <w:sz w:val="24"/>
        </w:rPr>
        <w:t>Efficacité — Moyenne à Élevée.</w:t>
      </w:r>
      <w:r>
        <w:rPr>
          <w:rFonts w:ascii="Times New Roman" w:hAnsi="Times New Roman"/>
          <w:sz w:val="24"/>
        </w:rPr>
        <w:t xml:space="preserve"> Le programme a inséré </w:t>
      </w:r>
      <w:r>
        <w:rPr>
          <w:rFonts w:ascii="Times New Roman" w:hAnsi="Times New Roman"/>
          <w:b/>
          <w:sz w:val="24"/>
        </w:rPr>
        <w:t>9 263 jeunes</w:t>
      </w:r>
      <w:r>
        <w:rPr>
          <w:rFonts w:ascii="Times New Roman" w:hAnsi="Times New Roman"/>
          <w:sz w:val="24"/>
        </w:rPr>
        <w:t xml:space="preserve"> en emploi entre juillet 2020 et septembre 2025 pour un total de </w:t>
      </w:r>
      <w:r>
        <w:rPr>
          <w:rFonts w:ascii="Times New Roman" w:hAnsi="Times New Roman"/>
          <w:b/>
          <w:sz w:val="24"/>
        </w:rPr>
        <w:t>18,3 milliards FCFA</w:t>
      </w:r>
      <w:r>
        <w:rPr>
          <w:rFonts w:ascii="Times New Roman" w:hAnsi="Times New Roman"/>
          <w:sz w:val="24"/>
        </w:rPr>
        <w:t xml:space="preserve"> de salaires versés. Le rythme annuel d'insertion a augmenté de façon régulière, passant de 44 en 2020 à 3 246 en 2024, dépassant les cibles initiales en volume cumulé. Des écarts persistent sur certains indicateurs 2025 (85 % d'exécution sur les insertions) et une forte concentration géographique dans le Littoral (64 %) demeure un défi. Le taux d'exécution financière cumulée est de 79,6 %.</w:t>
      </w:r>
    </w:p>
    <w:p>
      <w:r>
        <w:rPr>
          <w:rFonts w:ascii="Times New Roman" w:hAnsi="Times New Roman"/>
          <w:sz w:val="24"/>
        </w:rPr>
      </w:r>
      <w:r>
        <w:rPr>
          <w:rFonts w:ascii="Times New Roman" w:hAnsi="Times New Roman"/>
          <w:b/>
          <w:sz w:val="24"/>
        </w:rPr>
        <w:t>Principales recommandations :</w:t>
      </w:r>
      <w:r>
        <w:rPr>
          <w:rFonts w:ascii="Times New Roman" w:hAnsi="Times New Roman"/>
          <w:sz w:val="24"/>
        </w:rPr>
        <w:t xml:space="preserve"> Développer une stratégie de déconcentration géographique, renforcer le suivi des clauses contractuelles des entreprises, intensifier la prospection dans les secteurs sous-représentés (TIC, hôtellerie, énergies renouvelables), et formaliser un cadre d'évaluation d'impact pour la phase post-programme.</w:t>
      </w:r>
    </w:p>
    <w:p/>
    <w:p>
      <w:pPr>
        <w:pStyle w:val="Heading2"/>
      </w:pPr>
      <w:r>
        <w:rPr>
          <w:rFonts w:ascii="Times New Roman" w:hAnsi="Times New Roman"/>
          <w:color w:val="003366"/>
          <w:sz w:val="28"/>
        </w:rPr>
        <w:t>TABLE DES MATIÈRES</w:t>
      </w:r>
    </w:p>
    <w:p>
      <w:pPr>
        <w:ind w:left="432"/>
      </w:pPr>
      <w:r>
        <w:rPr>
          <w:rFonts w:ascii="Times New Roman" w:hAnsi="Times New Roman"/>
          <w:sz w:val="24"/>
        </w:rPr>
        <w:t>[Introduction et contexte de l'évaluation](#1-introduction-et-contexte-de-lévaluation)</w:t>
      </w:r>
    </w:p>
    <w:p>
      <w:pPr>
        <w:ind w:left="432"/>
      </w:pPr>
      <w:r>
        <w:rPr>
          <w:rFonts w:ascii="Times New Roman" w:hAnsi="Times New Roman"/>
          <w:sz w:val="24"/>
        </w:rPr>
        <w:t>[Description du PSIE](#2-description-du-programme-psie)</w:t>
      </w:r>
    </w:p>
    <w:p>
      <w:pPr>
        <w:ind w:left="432"/>
      </w:pPr>
      <w:r>
        <w:rPr>
          <w:rFonts w:ascii="Times New Roman" w:hAnsi="Times New Roman"/>
          <w:sz w:val="24"/>
        </w:rPr>
        <w:t>[Méthodologie d'évaluation](#3-méthodologie-dévaluation)</w:t>
      </w:r>
    </w:p>
    <w:p>
      <w:pPr>
        <w:ind w:left="432"/>
      </w:pPr>
      <w:r>
        <w:rPr>
          <w:rFonts w:ascii="Times New Roman" w:hAnsi="Times New Roman"/>
          <w:sz w:val="24"/>
        </w:rPr>
        <w:t>[Critère 1 — Pertinence](#4-critère-1--pertinence)</w:t>
      </w:r>
    </w:p>
    <w:p>
      <w:pPr>
        <w:ind w:left="432"/>
      </w:pPr>
      <w:r>
        <w:rPr>
          <w:rFonts w:ascii="Times New Roman" w:hAnsi="Times New Roman"/>
          <w:sz w:val="24"/>
        </w:rPr>
        <w:t>[Critère 2 — Cohérence](#5-critère-2--cohérence)</w:t>
      </w:r>
    </w:p>
    <w:p>
      <w:pPr>
        <w:ind w:left="432"/>
      </w:pPr>
      <w:r>
        <w:rPr>
          <w:rFonts w:ascii="Times New Roman" w:hAnsi="Times New Roman"/>
          <w:sz w:val="24"/>
        </w:rPr>
        <w:t>[Critère 3 — Efficacité](#6-critère-3--efficacité)</w:t>
      </w:r>
    </w:p>
    <w:p>
      <w:pPr>
        <w:ind w:left="432"/>
      </w:pPr>
      <w:r>
        <w:rPr>
          <w:rFonts w:ascii="Times New Roman" w:hAnsi="Times New Roman"/>
          <w:sz w:val="24"/>
        </w:rPr>
        <w:t>[Conclusions préliminaires et recommandations](#7-conclusions-préliminaires-et-recommandations)</w:t>
      </w:r>
    </w:p>
    <w:p>
      <w:pPr>
        <w:ind w:left="432"/>
      </w:pPr>
      <w:r>
        <w:rPr>
          <w:rFonts w:ascii="Times New Roman" w:hAnsi="Times New Roman"/>
          <w:sz w:val="24"/>
        </w:rPr>
        <w:t>[Limites de l'évaluation](#8-limites-de-lévaluation)</w:t>
      </w:r>
    </w:p>
    <w:p>
      <w:pPr>
        <w:ind w:left="432"/>
      </w:pPr>
      <w:r>
        <w:rPr>
          <w:rFonts w:ascii="Times New Roman" w:hAnsi="Times New Roman"/>
          <w:sz w:val="24"/>
        </w:rPr>
        <w:t>[Annexes](#9-annexes)</w:t>
      </w:r>
    </w:p>
    <w:p/>
    <w:p>
      <w:pPr>
        <w:pStyle w:val="Heading2"/>
      </w:pPr>
      <w:r>
        <w:rPr>
          <w:rFonts w:ascii="Times New Roman" w:hAnsi="Times New Roman"/>
          <w:color w:val="003366"/>
          <w:sz w:val="28"/>
        </w:rPr>
        <w:t>1. INTRODUCTION ET CONTEXTE DE L'ÉVALUATION</w:t>
      </w:r>
    </w:p>
    <w:p>
      <w:pPr>
        <w:pStyle w:val="Heading3"/>
      </w:pPr>
      <w:r>
        <w:rPr>
          <w:rFonts w:ascii="Times New Roman" w:hAnsi="Times New Roman"/>
          <w:color w:val="1F4E79"/>
          <w:sz w:val="26"/>
        </w:rPr>
        <w:t>1.1 Contexte général</w:t>
      </w:r>
    </w:p>
    <w:p>
      <w:r>
        <w:rPr>
          <w:rFonts w:ascii="Times New Roman" w:hAnsi="Times New Roman"/>
          <w:sz w:val="24"/>
        </w:rPr>
        <w:t xml:space="preserve">Le Bénin est confronté à des défis structurels majeurs sur le marché du travail. La population béninoise de moins de 40 ans est estimée à </w:t>
      </w:r>
      <w:r>
        <w:rPr>
          <w:rFonts w:ascii="Times New Roman" w:hAnsi="Times New Roman"/>
          <w:b/>
          <w:sz w:val="24"/>
        </w:rPr>
        <w:t>4,08 millions de personnes</w:t>
      </w:r>
      <w:r>
        <w:rPr>
          <w:rFonts w:ascii="Times New Roman" w:hAnsi="Times New Roman"/>
          <w:sz w:val="24"/>
        </w:rPr>
        <w:t xml:space="preserve">, soit 34 % de la population totale (EMICOV 2015). Ce potentiel démographique reste largement sous-exploité face à un marché du travail caractérisé par un </w:t>
      </w:r>
      <w:r>
        <w:rPr>
          <w:rFonts w:ascii="Times New Roman" w:hAnsi="Times New Roman"/>
          <w:b/>
          <w:sz w:val="24"/>
        </w:rPr>
        <w:t>taux de sous-emploi des jeunes de 72 %</w:t>
      </w:r>
      <w:r>
        <w:rPr>
          <w:rFonts w:ascii="Times New Roman" w:hAnsi="Times New Roman"/>
          <w:sz w:val="24"/>
        </w:rPr>
        <w:t xml:space="preserve"> (INSAE, août 2017), une prédominance de l'économie informelle, et une inadéquation structurelle entre l'offre de formation et la demande des entreprises.</w:t>
      </w:r>
    </w:p>
    <w:p>
      <w:r>
        <w:rPr>
          <w:rFonts w:ascii="Times New Roman" w:hAnsi="Times New Roman"/>
          <w:sz w:val="24"/>
        </w:rPr>
        <w:t xml:space="preserve">C'est dans ce contexte que le Président de la République a annoncé, le 31 juillet 2019, lors de son message à la Nation pour le 59ème anniversaire de l'indépendance du Bénin, l'institutionnalisation du </w:t>
      </w:r>
      <w:r>
        <w:rPr>
          <w:rFonts w:ascii="Times New Roman" w:hAnsi="Times New Roman"/>
          <w:b/>
          <w:sz w:val="24"/>
        </w:rPr>
        <w:t>Programme Spécial d'Insertion dans l'Emploi (PSIE)</w:t>
      </w:r>
      <w:r>
        <w:rPr>
          <w:rFonts w:ascii="Times New Roman" w:hAnsi="Times New Roman"/>
          <w:sz w:val="24"/>
        </w:rPr>
        <w:t>. Le programme a été validé par le Conseil des ministres le 10 juin 2020 et officiellement lancé en juillet 2020.</w:t>
      </w:r>
    </w:p>
    <w:p>
      <w:pPr>
        <w:pStyle w:val="Heading3"/>
      </w:pPr>
      <w:r>
        <w:rPr>
          <w:rFonts w:ascii="Times New Roman" w:hAnsi="Times New Roman"/>
          <w:color w:val="1F4E79"/>
          <w:sz w:val="26"/>
        </w:rPr>
        <w:t>1.2 Objet et objectifs de l'évaluation</w:t>
      </w:r>
    </w:p>
    <w:p>
      <w:r>
        <w:rPr>
          <w:rFonts w:ascii="Times New Roman" w:hAnsi="Times New Roman"/>
          <w:sz w:val="24"/>
        </w:rPr>
        <w:t xml:space="preserve">La présente évaluation est une </w:t>
      </w:r>
      <w:r>
        <w:rPr>
          <w:rFonts w:ascii="Times New Roman" w:hAnsi="Times New Roman"/>
          <w:b/>
          <w:sz w:val="24"/>
        </w:rPr>
        <w:t>évaluation de processus et de mise en œuvre</w:t>
      </w:r>
      <w:r>
        <w:rPr>
          <w:rFonts w:ascii="Times New Roman" w:hAnsi="Times New Roman"/>
          <w:sz w:val="24"/>
        </w:rPr>
        <w:t>, conduite sur la base d'une revue documentaire systématique des documents officiels du programme. Elle se concentre sur trois des sept critères OCDE/CAD :</w:t>
      </w:r>
    </w:p>
    <w:p>
      <w:pPr>
        <w:ind w:left="432"/>
      </w:pPr>
      <w:r>
        <w:rPr>
          <w:rFonts w:ascii="Times New Roman" w:hAnsi="Times New Roman"/>
          <w:sz w:val="24"/>
        </w:rPr>
      </w:r>
      <w:r>
        <w:rPr>
          <w:rFonts w:ascii="Times New Roman" w:hAnsi="Times New Roman"/>
          <w:b/>
          <w:sz w:val="24"/>
        </w:rPr>
        <w:t>La pertinence</w:t>
      </w:r>
      <w:r>
        <w:rPr>
          <w:rFonts w:ascii="Times New Roman" w:hAnsi="Times New Roman"/>
          <w:sz w:val="24"/>
        </w:rPr>
        <w:t xml:space="preserve"> : Le programme répond-il aux besoins réels des bénéficiaires et aux priorités nationales ?</w:t>
      </w:r>
    </w:p>
    <w:p>
      <w:pPr>
        <w:ind w:left="432"/>
      </w:pPr>
      <w:r>
        <w:rPr>
          <w:rFonts w:ascii="Times New Roman" w:hAnsi="Times New Roman"/>
          <w:sz w:val="24"/>
        </w:rPr>
      </w:r>
      <w:r>
        <w:rPr>
          <w:rFonts w:ascii="Times New Roman" w:hAnsi="Times New Roman"/>
          <w:b/>
          <w:sz w:val="24"/>
        </w:rPr>
        <w:t>La cohérence</w:t>
      </w:r>
      <w:r>
        <w:rPr>
          <w:rFonts w:ascii="Times New Roman" w:hAnsi="Times New Roman"/>
          <w:sz w:val="24"/>
        </w:rPr>
        <w:t xml:space="preserve"> : Le programme est-il cohérent en lui-même et avec les autres politiques ?</w:t>
      </w:r>
    </w:p>
    <w:p>
      <w:pPr>
        <w:ind w:left="432"/>
      </w:pPr>
      <w:r>
        <w:rPr>
          <w:rFonts w:ascii="Times New Roman" w:hAnsi="Times New Roman"/>
          <w:sz w:val="24"/>
        </w:rPr>
      </w:r>
      <w:r>
        <w:rPr>
          <w:rFonts w:ascii="Times New Roman" w:hAnsi="Times New Roman"/>
          <w:b/>
          <w:sz w:val="24"/>
        </w:rPr>
        <w:t>L'efficacité</w:t>
      </w:r>
      <w:r>
        <w:rPr>
          <w:rFonts w:ascii="Times New Roman" w:hAnsi="Times New Roman"/>
          <w:sz w:val="24"/>
        </w:rPr>
        <w:t xml:space="preserve"> : Le programme atteint-il les objectifs qu'il s'est fixés ?</w:t>
      </w:r>
    </w:p>
    <w:p>
      <w:r>
        <w:rPr>
          <w:rFonts w:ascii="Times New Roman" w:hAnsi="Times New Roman"/>
          <w:sz w:val="24"/>
        </w:rPr>
        <w:t>Les critères d'efficience, d'effets/impacts, de durabilité et de genre feront l'objet d'une évaluation ultérieure (Phase 2), une fois les données primaires collectées.</w:t>
      </w:r>
    </w:p>
    <w:p>
      <w:pPr>
        <w:pStyle w:val="Heading3"/>
      </w:pPr>
      <w:r>
        <w:rPr>
          <w:rFonts w:ascii="Times New Roman" w:hAnsi="Times New Roman"/>
          <w:color w:val="1F4E79"/>
          <w:sz w:val="26"/>
        </w:rPr>
        <w:t>1.3 Champ et portée de l'évaluation</w:t>
      </w:r>
    </w:p>
    <w:p>
      <w:pPr>
        <w:pStyle w:val="Heading4"/>
      </w:pPr>
      <w:r>
        <w:rPr>
          <w:rFonts w:ascii="Times New Roman" w:hAnsi="Times New Roman"/>
          <w:color w:val="333333"/>
          <w:sz w:val="24"/>
        </w:rPr>
        <w:t>1.3.1 Objet de l'évaluation</w:t>
      </w:r>
    </w:p>
    <w:p>
      <w:r>
        <w:rPr>
          <w:rFonts w:ascii="Times New Roman" w:hAnsi="Times New Roman"/>
          <w:sz w:val="24"/>
        </w:rPr>
        <w:t xml:space="preserve">La présente évaluation porte sur le </w:t>
      </w:r>
      <w:r>
        <w:rPr>
          <w:rFonts w:ascii="Times New Roman" w:hAnsi="Times New Roman"/>
          <w:b/>
          <w:sz w:val="24"/>
        </w:rPr>
        <w:t>Programme Spécial d'Insertion dans l'Emploi (PSIE)</w:t>
      </w:r>
      <w:r>
        <w:rPr>
          <w:rFonts w:ascii="Times New Roman" w:hAnsi="Times New Roman"/>
          <w:sz w:val="24"/>
        </w:rPr>
        <w:t xml:space="preserve">, programme national mis en œuvre par l'Agence Nationale Pour l'Emploi (ANPE) sous l'autorité de la Présidence de la République du Bénin. Elle constitue la </w:t>
      </w:r>
      <w:r>
        <w:rPr>
          <w:rFonts w:ascii="Times New Roman" w:hAnsi="Times New Roman"/>
          <w:b/>
          <w:sz w:val="24"/>
        </w:rPr>
        <w:t>Phase 1 d'une évaluation en deux temps</w:t>
      </w:r>
      <w:r>
        <w:rPr>
          <w:rFonts w:ascii="Times New Roman" w:hAnsi="Times New Roman"/>
          <w:sz w:val="24"/>
        </w:rPr>
        <w:t>, délibérément limitée aux critères évaluables par voie documentaire, dans l'attente de la collecte de données primaires.</w:t>
      </w:r>
    </w:p>
    <w:p>
      <w:r>
        <w:rPr>
          <w:rFonts w:ascii="Times New Roman" w:hAnsi="Times New Roman"/>
          <w:sz w:val="24"/>
        </w:rPr>
        <w:t>L'objet de l'évaluation est triple :</w:t>
      </w:r>
    </w:p>
    <w:p>
      <w:pPr>
        <w:ind w:left="432"/>
      </w:pPr>
      <w:r>
        <w:rPr>
          <w:rFonts w:ascii="Times New Roman" w:hAnsi="Times New Roman"/>
          <w:sz w:val="24"/>
        </w:rPr>
      </w:r>
      <w:r>
        <w:rPr>
          <w:rFonts w:ascii="Times New Roman" w:hAnsi="Times New Roman"/>
          <w:b/>
          <w:sz w:val="24"/>
        </w:rPr>
        <w:t>Apprécier le bien-fondé du programme</w:t>
      </w:r>
      <w:r>
        <w:rPr>
          <w:rFonts w:ascii="Times New Roman" w:hAnsi="Times New Roman"/>
          <w:sz w:val="24"/>
        </w:rPr>
        <w:t xml:space="preserve"> au regard des besoins et des priorités nationales (critère de pertinence) ;</w:t>
      </w:r>
    </w:p>
    <w:p>
      <w:pPr>
        <w:ind w:left="432"/>
      </w:pPr>
      <w:r>
        <w:rPr>
          <w:rFonts w:ascii="Times New Roman" w:hAnsi="Times New Roman"/>
          <w:sz w:val="24"/>
        </w:rPr>
      </w:r>
      <w:r>
        <w:rPr>
          <w:rFonts w:ascii="Times New Roman" w:hAnsi="Times New Roman"/>
          <w:b/>
          <w:sz w:val="24"/>
        </w:rPr>
        <w:t>Vérifier la solidité de sa logique d'intervention</w:t>
      </w:r>
      <w:r>
        <w:rPr>
          <w:rFonts w:ascii="Times New Roman" w:hAnsi="Times New Roman"/>
          <w:sz w:val="24"/>
        </w:rPr>
        <w:t xml:space="preserve"> et sa cohérence avec le paysage politique et institutionnel béninois (critère de cohérence) ;</w:t>
      </w:r>
    </w:p>
    <w:p>
      <w:pPr>
        <w:ind w:left="432"/>
      </w:pPr>
      <w:r>
        <w:rPr>
          <w:rFonts w:ascii="Times New Roman" w:hAnsi="Times New Roman"/>
          <w:sz w:val="24"/>
        </w:rPr>
      </w:r>
      <w:r>
        <w:rPr>
          <w:rFonts w:ascii="Times New Roman" w:hAnsi="Times New Roman"/>
          <w:b/>
          <w:sz w:val="24"/>
        </w:rPr>
        <w:t>Mesurer l'atteinte des objectifs de mise en œuvre</w:t>
      </w:r>
      <w:r>
        <w:rPr>
          <w:rFonts w:ascii="Times New Roman" w:hAnsi="Times New Roman"/>
          <w:sz w:val="24"/>
        </w:rPr>
        <w:t xml:space="preserve"> sur la base des données de performance disponibles (critère d'efficacité).</w:t>
      </w:r>
    </w:p>
    <w:p>
      <w:pPr>
        <w:pStyle w:val="Heading4"/>
      </w:pPr>
      <w:r>
        <w:rPr>
          <w:rFonts w:ascii="Times New Roman" w:hAnsi="Times New Roman"/>
          <w:color w:val="333333"/>
          <w:sz w:val="24"/>
        </w:rPr>
        <w:t>1.3.2 Période couverte</w:t>
      </w:r>
    </w:p>
    <w:p>
      <w:r>
        <w:rPr>
          <w:rFonts w:ascii="Times New Roman" w:hAnsi="Times New Roman"/>
          <w:sz w:val="24"/>
        </w:rPr>
        <w:t xml:space="preserve">L'évaluation couvre la </w:t>
      </w:r>
      <w:r>
        <w:rPr>
          <w:rFonts w:ascii="Times New Roman" w:hAnsi="Times New Roman"/>
          <w:b/>
          <w:sz w:val="24"/>
        </w:rPr>
        <w:t>période de mise en œuvre effective du PSIE</w:t>
      </w:r>
      <w:r>
        <w:rPr>
          <w:rFonts w:ascii="Times New Roman" w:hAnsi="Times New Roman"/>
          <w:sz w:val="24"/>
        </w:rPr>
        <w:t xml:space="preserve">, soit du </w:t>
      </w:r>
      <w:r>
        <w:rPr>
          <w:rFonts w:ascii="Times New Roman" w:hAnsi="Times New Roman"/>
          <w:b/>
          <w:sz w:val="24"/>
        </w:rPr>
        <w:t>1er juillet 2020</w:t>
      </w:r>
      <w:r>
        <w:rPr>
          <w:rFonts w:ascii="Times New Roman" w:hAnsi="Times New Roman"/>
          <w:sz w:val="24"/>
        </w:rPr>
        <w:t xml:space="preserve"> — date du démarrage effectif des inscriptions sur la plateforme — au </w:t>
      </w:r>
      <w:r>
        <w:rPr>
          <w:rFonts w:ascii="Times New Roman" w:hAnsi="Times New Roman"/>
          <w:b/>
          <w:sz w:val="24"/>
        </w:rPr>
        <w:t>30 septembre 2025</w:t>
      </w:r>
      <w:r>
        <w:rPr>
          <w:rFonts w:ascii="Times New Roman" w:hAnsi="Times New Roman"/>
          <w:sz w:val="24"/>
        </w:rPr>
        <w:t>, qui constitue la dernière date de référence documentée dans les sources disponibles. Cette période de cinq années représente la quasi-totalité de la durée initiale du programme (2020-2024) et le début de sa phase de prolongation (2025 et au-delà).</w:t>
      </w:r>
    </w:p>
    <w:p>
      <w:pPr>
        <w:pStyle w:val="Heading4"/>
      </w:pPr>
      <w:r>
        <w:rPr>
          <w:rFonts w:ascii="Times New Roman" w:hAnsi="Times New Roman"/>
          <w:color w:val="333333"/>
          <w:sz w:val="24"/>
        </w:rPr>
        <w:t>1.3.3 Périmètre géographique</w:t>
      </w:r>
    </w:p>
    <w:p>
      <w:r>
        <w:rPr>
          <w:rFonts w:ascii="Times New Roman" w:hAnsi="Times New Roman"/>
          <w:sz w:val="24"/>
        </w:rPr>
        <w:t xml:space="preserve">L'évaluation couvre l'ensemble du </w:t>
      </w:r>
      <w:r>
        <w:rPr>
          <w:rFonts w:ascii="Times New Roman" w:hAnsi="Times New Roman"/>
          <w:b/>
          <w:sz w:val="24"/>
        </w:rPr>
        <w:t>territoire national de la République du Bénin</w:t>
      </w:r>
      <w:r>
        <w:rPr>
          <w:rFonts w:ascii="Times New Roman" w:hAnsi="Times New Roman"/>
          <w:sz w:val="24"/>
        </w:rPr>
        <w:t xml:space="preserve">, conformément à la vocation nationale du PSIE, déployé à travers le réseau des antennes départementales et locales de l'ANPE dans les </w:t>
      </w:r>
      <w:r>
        <w:rPr>
          <w:rFonts w:ascii="Times New Roman" w:hAnsi="Times New Roman"/>
          <w:b/>
          <w:sz w:val="24"/>
        </w:rPr>
        <w:t>douze (12) départements</w:t>
      </w:r>
      <w:r>
        <w:rPr>
          <w:rFonts w:ascii="Times New Roman" w:hAnsi="Times New Roman"/>
          <w:sz w:val="24"/>
        </w:rPr>
        <w:t>. Des disparités territoriales dans les résultats sont analysées comme facteur d'efficacité.</w:t>
      </w:r>
    </w:p>
    <w:p>
      <w:pPr>
        <w:pStyle w:val="Heading4"/>
      </w:pPr>
      <w:r>
        <w:rPr>
          <w:rFonts w:ascii="Times New Roman" w:hAnsi="Times New Roman"/>
          <w:color w:val="333333"/>
          <w:sz w:val="24"/>
        </w:rPr>
        <w:t>1.3.4 Dimensions et niveaux d'analyse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Dimension</w:t>
            </w:r>
          </w:p>
        </w:tc>
        <w:tc>
          <w:tcPr>
            <w:tcW w:type="dxa" w:w="3041"/>
            <w:shd w:val="clear" w:color="auto" w:fill="003366"/>
          </w:tcPr>
          <w:p>
            <w:r>
              <w:rPr>
                <w:rFonts w:ascii="Times New Roman" w:hAnsi="Times New Roman"/>
                <w:b/>
                <w:color w:val="FFFFFF"/>
                <w:sz w:val="20"/>
              </w:rPr>
              <w:t>Périmètre</w:t>
            </w:r>
          </w:p>
        </w:tc>
        <w:tc>
          <w:tcPr>
            <w:tcW w:type="dxa" w:w="3041"/>
            <w:shd w:val="clear" w:color="auto" w:fill="003366"/>
          </w:tcPr>
          <w:p>
            <w:r>
              <w:rPr>
                <w:rFonts w:ascii="Times New Roman" w:hAnsi="Times New Roman"/>
                <w:b/>
                <w:color w:val="FFFFFF"/>
                <w:sz w:val="20"/>
              </w:rPr>
              <w:t>Niveaux analysés</w:t>
            </w:r>
          </w:p>
        </w:tc>
      </w:tr>
      <w:tr>
        <w:tc>
          <w:tcPr>
            <w:tcW w:type="dxa" w:w="3041"/>
          </w:tcPr>
          <w:p>
            <w:r>
              <w:rPr>
                <w:rFonts w:ascii="Times New Roman" w:hAnsi="Times New Roman"/>
                <w:b w:val="0"/>
                <w:sz w:val="20"/>
              </w:rPr>
              <w:t>Institutionnelle</w:t>
            </w:r>
          </w:p>
        </w:tc>
        <w:tc>
          <w:tcPr>
            <w:tcW w:type="dxa" w:w="3041"/>
          </w:tcPr>
          <w:p>
            <w:r>
              <w:rPr>
                <w:rFonts w:ascii="Times New Roman" w:hAnsi="Times New Roman"/>
                <w:b w:val="0"/>
                <w:sz w:val="20"/>
              </w:rPr>
              <w:t>Gouvernance, pilotage, articulation avec l'ANPE et les partenaires</w:t>
            </w:r>
          </w:p>
        </w:tc>
        <w:tc>
          <w:tcPr>
            <w:tcW w:type="dxa" w:w="3041"/>
          </w:tcPr>
          <w:p>
            <w:r>
              <w:rPr>
                <w:rFonts w:ascii="Times New Roman" w:hAnsi="Times New Roman"/>
                <w:b w:val="0"/>
                <w:sz w:val="20"/>
              </w:rPr>
              <w:t>National</w:t>
            </w:r>
          </w:p>
        </w:tc>
      </w:tr>
      <w:tr>
        <w:tc>
          <w:tcPr>
            <w:tcW w:type="dxa" w:w="3041"/>
          </w:tcPr>
          <w:p>
            <w:r>
              <w:rPr>
                <w:rFonts w:ascii="Times New Roman" w:hAnsi="Times New Roman"/>
                <w:b w:val="0"/>
                <w:sz w:val="20"/>
              </w:rPr>
              <w:t>Opérationnelle</w:t>
            </w:r>
          </w:p>
        </w:tc>
        <w:tc>
          <w:tcPr>
            <w:tcW w:type="dxa" w:w="3041"/>
          </w:tcPr>
          <w:p>
            <w:r>
              <w:rPr>
                <w:rFonts w:ascii="Times New Roman" w:hAnsi="Times New Roman"/>
                <w:b w:val="0"/>
                <w:sz w:val="20"/>
              </w:rPr>
              <w:t>Processus de mise en œuvre (enregistrement → insertion → suivi)</w:t>
            </w:r>
          </w:p>
        </w:tc>
        <w:tc>
          <w:tcPr>
            <w:tcW w:type="dxa" w:w="3041"/>
          </w:tcPr>
          <w:p>
            <w:r>
              <w:rPr>
                <w:rFonts w:ascii="Times New Roman" w:hAnsi="Times New Roman"/>
                <w:b w:val="0"/>
                <w:sz w:val="20"/>
              </w:rPr>
              <w:t>National et départemental</w:t>
            </w:r>
          </w:p>
        </w:tc>
      </w:tr>
      <w:tr>
        <w:tc>
          <w:tcPr>
            <w:tcW w:type="dxa" w:w="3041"/>
          </w:tcPr>
          <w:p>
            <w:r>
              <w:rPr>
                <w:rFonts w:ascii="Times New Roman" w:hAnsi="Times New Roman"/>
                <w:b w:val="0"/>
                <w:sz w:val="20"/>
              </w:rPr>
              <w:t>Financière</w:t>
            </w:r>
          </w:p>
        </w:tc>
        <w:tc>
          <w:tcPr>
            <w:tcW w:type="dxa" w:w="3041"/>
          </w:tcPr>
          <w:p>
            <w:r>
              <w:rPr>
                <w:rFonts w:ascii="Times New Roman" w:hAnsi="Times New Roman"/>
                <w:b w:val="0"/>
                <w:sz w:val="20"/>
              </w:rPr>
              <w:t>Exécution budgétaire des salaires et du fonctionnement</w:t>
            </w:r>
          </w:p>
        </w:tc>
        <w:tc>
          <w:tcPr>
            <w:tcW w:type="dxa" w:w="3041"/>
          </w:tcPr>
          <w:p>
            <w:r>
              <w:rPr>
                <w:rFonts w:ascii="Times New Roman" w:hAnsi="Times New Roman"/>
                <w:b w:val="0"/>
                <w:sz w:val="20"/>
              </w:rPr>
              <w:t>National</w:t>
            </w:r>
          </w:p>
        </w:tc>
      </w:tr>
      <w:tr>
        <w:tc>
          <w:tcPr>
            <w:tcW w:type="dxa" w:w="3041"/>
          </w:tcPr>
          <w:p>
            <w:r>
              <w:rPr>
                <w:rFonts w:ascii="Times New Roman" w:hAnsi="Times New Roman"/>
                <w:b w:val="0"/>
                <w:sz w:val="20"/>
              </w:rPr>
              <w:t>Population cible</w:t>
            </w:r>
          </w:p>
        </w:tc>
        <w:tc>
          <w:tcPr>
            <w:tcW w:type="dxa" w:w="3041"/>
          </w:tcPr>
          <w:p>
            <w:r>
              <w:rPr>
                <w:rFonts w:ascii="Times New Roman" w:hAnsi="Times New Roman"/>
                <w:b w:val="0"/>
                <w:sz w:val="20"/>
              </w:rPr>
              <w:t>Jeunes diplômés (18-35 ans, BAC à Master) et entreprises</w:t>
            </w:r>
          </w:p>
        </w:tc>
        <w:tc>
          <w:tcPr>
            <w:tcW w:type="dxa" w:w="3041"/>
          </w:tcPr>
          <w:p>
            <w:r>
              <w:rPr>
                <w:rFonts w:ascii="Times New Roman" w:hAnsi="Times New Roman"/>
                <w:b w:val="0"/>
                <w:sz w:val="20"/>
              </w:rPr>
              <w:t>National et sectoriel</w:t>
            </w:r>
          </w:p>
        </w:tc>
      </w:tr>
    </w:tbl>
    <w:p/>
    <w:p>
      <w:pPr>
        <w:pStyle w:val="Heading4"/>
      </w:pPr>
      <w:r>
        <w:rPr>
          <w:rFonts w:ascii="Times New Roman" w:hAnsi="Times New Roman"/>
          <w:color w:val="333333"/>
          <w:sz w:val="24"/>
        </w:rPr>
        <w:t>1.3.5 Critères couverts et critères différés</w:t>
      </w:r>
    </w:p>
    <w:p>
      <w:r>
        <w:rPr>
          <w:rFonts w:ascii="Times New Roman" w:hAnsi="Times New Roman"/>
          <w:sz w:val="24"/>
        </w:rPr>
        <w:t xml:space="preserve">La présente phase d'évaluation se concentre sur les </w:t>
      </w:r>
      <w:r>
        <w:rPr>
          <w:rFonts w:ascii="Times New Roman" w:hAnsi="Times New Roman"/>
          <w:b/>
          <w:sz w:val="24"/>
        </w:rPr>
        <w:t>trois critères OCDE/CAD évaluables par revue documentaire</w:t>
      </w:r>
      <w:r>
        <w:rPr>
          <w:rFonts w:ascii="Times New Roman" w:hAnsi="Times New Roman"/>
          <w:sz w:val="24"/>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Critère</w:t>
            </w:r>
          </w:p>
        </w:tc>
        <w:tc>
          <w:tcPr>
            <w:tcW w:type="dxa" w:w="3041"/>
            <w:shd w:val="clear" w:color="auto" w:fill="003366"/>
          </w:tcPr>
          <w:p>
            <w:r>
              <w:rPr>
                <w:rFonts w:ascii="Times New Roman" w:hAnsi="Times New Roman"/>
                <w:b/>
                <w:color w:val="FFFFFF"/>
                <w:sz w:val="20"/>
              </w:rPr>
              <w:t>Phase</w:t>
            </w:r>
          </w:p>
        </w:tc>
        <w:tc>
          <w:tcPr>
            <w:tcW w:type="dxa" w:w="3041"/>
            <w:shd w:val="clear" w:color="auto" w:fill="003366"/>
          </w:tcPr>
          <w:p>
            <w:r>
              <w:rPr>
                <w:rFonts w:ascii="Times New Roman" w:hAnsi="Times New Roman"/>
                <w:b/>
                <w:color w:val="FFFFFF"/>
                <w:sz w:val="20"/>
              </w:rPr>
              <w:t>Justification</w:t>
            </w:r>
          </w:p>
        </w:tc>
      </w:tr>
      <w:tr>
        <w:tc>
          <w:tcPr>
            <w:tcW w:type="dxa" w:w="3041"/>
          </w:tcPr>
          <w:p>
            <w:r>
              <w:rPr>
                <w:rFonts w:ascii="Times New Roman" w:hAnsi="Times New Roman"/>
                <w:b w:val="0"/>
                <w:sz w:val="20"/>
              </w:rPr>
              <w:t>Pertinence</w:t>
            </w:r>
          </w:p>
        </w:tc>
        <w:tc>
          <w:tcPr>
            <w:tcW w:type="dxa" w:w="3041"/>
          </w:tcPr>
          <w:p>
            <w:r>
              <w:rPr>
                <w:rFonts w:ascii="Times New Roman" w:hAnsi="Times New Roman"/>
                <w:b w:val="0"/>
                <w:sz w:val="20"/>
              </w:rPr>
              <w:t>Phase 1 (présente)</w:t>
            </w:r>
          </w:p>
        </w:tc>
        <w:tc>
          <w:tcPr>
            <w:tcW w:type="dxa" w:w="3041"/>
          </w:tcPr>
          <w:p>
            <w:r>
              <w:rPr>
                <w:rFonts w:ascii="Times New Roman" w:hAnsi="Times New Roman"/>
                <w:b w:val="0"/>
                <w:sz w:val="20"/>
              </w:rPr>
              <w:t>Évaluable sur base des documents de programme et des diagnostics sectoriels disponibles</w:t>
            </w:r>
          </w:p>
        </w:tc>
      </w:tr>
      <w:tr>
        <w:tc>
          <w:tcPr>
            <w:tcW w:type="dxa" w:w="3041"/>
          </w:tcPr>
          <w:p>
            <w:r>
              <w:rPr>
                <w:rFonts w:ascii="Times New Roman" w:hAnsi="Times New Roman"/>
                <w:b w:val="0"/>
                <w:sz w:val="20"/>
              </w:rPr>
              <w:t>Cohérence</w:t>
            </w:r>
          </w:p>
        </w:tc>
        <w:tc>
          <w:tcPr>
            <w:tcW w:type="dxa" w:w="3041"/>
          </w:tcPr>
          <w:p>
            <w:r>
              <w:rPr>
                <w:rFonts w:ascii="Times New Roman" w:hAnsi="Times New Roman"/>
                <w:b w:val="0"/>
                <w:sz w:val="20"/>
              </w:rPr>
              <w:t>Phase 1 (présente)</w:t>
            </w:r>
          </w:p>
        </w:tc>
        <w:tc>
          <w:tcPr>
            <w:tcW w:type="dxa" w:w="3041"/>
          </w:tcPr>
          <w:p>
            <w:r>
              <w:rPr>
                <w:rFonts w:ascii="Times New Roman" w:hAnsi="Times New Roman"/>
                <w:b w:val="0"/>
                <w:sz w:val="20"/>
              </w:rPr>
              <w:t>Évaluable par analyse documentaire du cadre logique et du paysage institutionnel</w:t>
            </w:r>
          </w:p>
        </w:tc>
      </w:tr>
      <w:tr>
        <w:tc>
          <w:tcPr>
            <w:tcW w:type="dxa" w:w="3041"/>
          </w:tcPr>
          <w:p>
            <w:r>
              <w:rPr>
                <w:rFonts w:ascii="Times New Roman" w:hAnsi="Times New Roman"/>
                <w:b w:val="0"/>
                <w:sz w:val="20"/>
              </w:rPr>
              <w:t>Efficacité</w:t>
            </w:r>
          </w:p>
        </w:tc>
        <w:tc>
          <w:tcPr>
            <w:tcW w:type="dxa" w:w="3041"/>
          </w:tcPr>
          <w:p>
            <w:r>
              <w:rPr>
                <w:rFonts w:ascii="Times New Roman" w:hAnsi="Times New Roman"/>
                <w:b w:val="0"/>
                <w:sz w:val="20"/>
              </w:rPr>
              <w:t>Phase 1 (présente)</w:t>
            </w:r>
          </w:p>
        </w:tc>
        <w:tc>
          <w:tcPr>
            <w:tcW w:type="dxa" w:w="3041"/>
          </w:tcPr>
          <w:p>
            <w:r>
              <w:rPr>
                <w:rFonts w:ascii="Times New Roman" w:hAnsi="Times New Roman"/>
                <w:b w:val="0"/>
                <w:sz w:val="20"/>
              </w:rPr>
              <w:t>Évaluable sur la base des rapports de performance et des données de la plateforme PSIE</w:t>
            </w:r>
          </w:p>
        </w:tc>
      </w:tr>
      <w:tr>
        <w:tc>
          <w:tcPr>
            <w:tcW w:type="dxa" w:w="3041"/>
          </w:tcPr>
          <w:p>
            <w:r>
              <w:rPr>
                <w:rFonts w:ascii="Times New Roman" w:hAnsi="Times New Roman"/>
                <w:b w:val="0"/>
                <w:sz w:val="20"/>
              </w:rPr>
              <w:t>Efficience</w:t>
            </w:r>
          </w:p>
        </w:tc>
        <w:tc>
          <w:tcPr>
            <w:tcW w:type="dxa" w:w="3041"/>
          </w:tcPr>
          <w:p>
            <w:r>
              <w:rPr>
                <w:rFonts w:ascii="Times New Roman" w:hAnsi="Times New Roman"/>
                <w:b w:val="0"/>
                <w:sz w:val="20"/>
              </w:rPr>
              <w:t>Phase 2</w:t>
            </w:r>
          </w:p>
        </w:tc>
        <w:tc>
          <w:tcPr>
            <w:tcW w:type="dxa" w:w="3041"/>
          </w:tcPr>
          <w:p>
            <w:r>
              <w:rPr>
                <w:rFonts w:ascii="Times New Roman" w:hAnsi="Times New Roman"/>
                <w:b w:val="0"/>
                <w:sz w:val="20"/>
              </w:rPr>
              <w:t>Nécessite une analyse coût-efficacité comparée avec des programmes similaires dans la sous-région</w:t>
            </w:r>
          </w:p>
        </w:tc>
      </w:tr>
      <w:tr>
        <w:tc>
          <w:tcPr>
            <w:tcW w:type="dxa" w:w="3041"/>
          </w:tcPr>
          <w:p>
            <w:r>
              <w:rPr>
                <w:rFonts w:ascii="Times New Roman" w:hAnsi="Times New Roman"/>
                <w:b w:val="0"/>
                <w:sz w:val="20"/>
              </w:rPr>
              <w:t>Effets/Impacts</w:t>
            </w:r>
          </w:p>
        </w:tc>
        <w:tc>
          <w:tcPr>
            <w:tcW w:type="dxa" w:w="3041"/>
          </w:tcPr>
          <w:p>
            <w:r>
              <w:rPr>
                <w:rFonts w:ascii="Times New Roman" w:hAnsi="Times New Roman"/>
                <w:b w:val="0"/>
                <w:sz w:val="20"/>
              </w:rPr>
              <w:t>Phase 2</w:t>
            </w:r>
          </w:p>
        </w:tc>
        <w:tc>
          <w:tcPr>
            <w:tcW w:type="dxa" w:w="3041"/>
          </w:tcPr>
          <w:p>
            <w:r>
              <w:rPr>
                <w:rFonts w:ascii="Times New Roman" w:hAnsi="Times New Roman"/>
                <w:b w:val="0"/>
                <w:sz w:val="20"/>
              </w:rPr>
              <w:t>Nécessite une enquête auprès des bénéficiaires (maintien en emploi post-programme, évolution des revenus)</w:t>
            </w:r>
          </w:p>
        </w:tc>
      </w:tr>
      <w:tr>
        <w:tc>
          <w:tcPr>
            <w:tcW w:type="dxa" w:w="3041"/>
          </w:tcPr>
          <w:p>
            <w:r>
              <w:rPr>
                <w:rFonts w:ascii="Times New Roman" w:hAnsi="Times New Roman"/>
                <w:b w:val="0"/>
                <w:sz w:val="20"/>
              </w:rPr>
              <w:t>Durabilité</w:t>
            </w:r>
          </w:p>
        </w:tc>
        <w:tc>
          <w:tcPr>
            <w:tcW w:type="dxa" w:w="3041"/>
          </w:tcPr>
          <w:p>
            <w:r>
              <w:rPr>
                <w:rFonts w:ascii="Times New Roman" w:hAnsi="Times New Roman"/>
                <w:b w:val="0"/>
                <w:sz w:val="20"/>
              </w:rPr>
              <w:t>Phase 2</w:t>
            </w:r>
          </w:p>
        </w:tc>
        <w:tc>
          <w:tcPr>
            <w:tcW w:type="dxa" w:w="3041"/>
          </w:tcPr>
          <w:p>
            <w:r>
              <w:rPr>
                <w:rFonts w:ascii="Times New Roman" w:hAnsi="Times New Roman"/>
                <w:b w:val="0"/>
                <w:sz w:val="20"/>
              </w:rPr>
              <w:t>Nécessite un suivi longitudinal des cohortes d'alumni</w:t>
            </w:r>
          </w:p>
        </w:tc>
      </w:tr>
      <w:tr>
        <w:tc>
          <w:tcPr>
            <w:tcW w:type="dxa" w:w="3041"/>
          </w:tcPr>
          <w:p>
            <w:r>
              <w:rPr>
                <w:rFonts w:ascii="Times New Roman" w:hAnsi="Times New Roman"/>
                <w:b w:val="0"/>
                <w:sz w:val="20"/>
              </w:rPr>
              <w:t>Genre</w:t>
            </w:r>
          </w:p>
        </w:tc>
        <w:tc>
          <w:tcPr>
            <w:tcW w:type="dxa" w:w="3041"/>
          </w:tcPr>
          <w:p>
            <w:r>
              <w:rPr>
                <w:rFonts w:ascii="Times New Roman" w:hAnsi="Times New Roman"/>
                <w:b w:val="0"/>
                <w:sz w:val="20"/>
              </w:rPr>
              <w:t>Phase 2</w:t>
            </w:r>
          </w:p>
        </w:tc>
        <w:tc>
          <w:tcPr>
            <w:tcW w:type="dxa" w:w="3041"/>
          </w:tcPr>
          <w:p>
            <w:r>
              <w:rPr>
                <w:rFonts w:ascii="Times New Roman" w:hAnsi="Times New Roman"/>
                <w:b w:val="0"/>
                <w:sz w:val="20"/>
              </w:rPr>
              <w:t>Nécessite des données désagrégées par sexe, non disponibles dans les sources actuelles</w:t>
            </w:r>
          </w:p>
        </w:tc>
      </w:tr>
    </w:tbl>
    <w:p/>
    <w:p>
      <w:pPr>
        <w:pStyle w:val="Heading4"/>
      </w:pPr>
      <w:r>
        <w:rPr>
          <w:rFonts w:ascii="Times New Roman" w:hAnsi="Times New Roman"/>
          <w:color w:val="333333"/>
          <w:sz w:val="24"/>
        </w:rPr>
        <w:t>1.3.6 Ce que l'évaluation ne couvre pas</w:t>
      </w:r>
    </w:p>
    <w:p>
      <w:r>
        <w:rPr>
          <w:rFonts w:ascii="Times New Roman" w:hAnsi="Times New Roman"/>
          <w:sz w:val="24"/>
        </w:rPr>
        <w:t xml:space="preserve">Par souci de rigueur méthodologique, il importe de délimiter explicitement les aspects </w:t>
      </w:r>
      <w:r>
        <w:rPr>
          <w:rFonts w:ascii="Times New Roman" w:hAnsi="Times New Roman"/>
          <w:b/>
          <w:sz w:val="24"/>
        </w:rPr>
        <w:t>hors champ</w:t>
      </w:r>
      <w:r>
        <w:rPr>
          <w:rFonts w:ascii="Times New Roman" w:hAnsi="Times New Roman"/>
          <w:sz w:val="24"/>
        </w:rPr>
        <w:t xml:space="preserve"> de la présente évaluation :</w:t>
      </w:r>
    </w:p>
    <w:p>
      <w:pPr>
        <w:ind w:left="432"/>
      </w:pPr>
      <w:r>
        <w:rPr>
          <w:rFonts w:ascii="Times New Roman" w:hAnsi="Times New Roman"/>
          <w:sz w:val="24"/>
        </w:rPr>
        <w:t>La perception des bénéficiaires (jeunes et entreprises) n'est pas collectée directement ;</w:t>
      </w:r>
    </w:p>
    <w:p>
      <w:pPr>
        <w:ind w:left="432"/>
      </w:pPr>
      <w:r>
        <w:rPr>
          <w:rFonts w:ascii="Times New Roman" w:hAnsi="Times New Roman"/>
          <w:sz w:val="24"/>
        </w:rPr>
        <w:t>Le taux de rétention des allocataires en emploi à l'issue de la période d'immersion de 24 mois n'est pas documenté dans les sources disponibles et ne peut donc être évalué ;</w:t>
      </w:r>
    </w:p>
    <w:p>
      <w:pPr>
        <w:ind w:left="432"/>
      </w:pPr>
      <w:r>
        <w:rPr>
          <w:rFonts w:ascii="Times New Roman" w:hAnsi="Times New Roman"/>
          <w:sz w:val="24"/>
        </w:rPr>
        <w:t>Les effets sur la pauvreté des ménages, sur la productivité des entreprises, ou sur le marché du travail au niveau macroéconomique sont exclus du champ de la Phase 1 ;</w:t>
      </w:r>
    </w:p>
    <w:p>
      <w:pPr>
        <w:ind w:left="432"/>
      </w:pPr>
      <w:r>
        <w:rPr>
          <w:rFonts w:ascii="Times New Roman" w:hAnsi="Times New Roman"/>
          <w:sz w:val="24"/>
        </w:rPr>
        <w:t>L'évaluation ne couvre pas les aspects de gestion interne (systèmes de contrôle interne, audit) qui relèvent d'un audit de performance distinct.</w:t>
      </w:r>
    </w:p>
    <w:p>
      <w:pPr>
        <w:pStyle w:val="Heading4"/>
      </w:pPr>
      <w:r>
        <w:rPr>
          <w:rFonts w:ascii="Times New Roman" w:hAnsi="Times New Roman"/>
          <w:color w:val="333333"/>
          <w:sz w:val="24"/>
        </w:rPr>
        <w:t>1.3.7 Utilisateurs de l'évaluation</w:t>
      </w:r>
    </w:p>
    <w:p>
      <w:r>
        <w:rPr>
          <w:rFonts w:ascii="Times New Roman" w:hAnsi="Times New Roman"/>
          <w:sz w:val="24"/>
        </w:rPr>
        <w:t>Les résultats et recommandations de la présente évaluation sont destinés en priorité à :</w:t>
      </w:r>
    </w:p>
    <w:p>
      <w:pPr>
        <w:ind w:left="432"/>
      </w:pPr>
      <w:r>
        <w:rPr>
          <w:rFonts w:ascii="Times New Roman" w:hAnsi="Times New Roman"/>
          <w:sz w:val="24"/>
        </w:rPr>
        <w:t xml:space="preserve">La </w:t>
      </w:r>
      <w:r>
        <w:rPr>
          <w:rFonts w:ascii="Times New Roman" w:hAnsi="Times New Roman"/>
          <w:b/>
          <w:sz w:val="24"/>
        </w:rPr>
        <w:t>Coordination du PSIE</w:t>
      </w:r>
      <w:r>
        <w:rPr>
          <w:rFonts w:ascii="Times New Roman" w:hAnsi="Times New Roman"/>
          <w:sz w:val="24"/>
        </w:rPr>
        <w:t xml:space="preserve"> et le </w:t>
      </w:r>
      <w:r>
        <w:rPr>
          <w:rFonts w:ascii="Times New Roman" w:hAnsi="Times New Roman"/>
          <w:b/>
          <w:sz w:val="24"/>
        </w:rPr>
        <w:t>Bureau d'Appui aux Investissements (BAI)</w:t>
      </w:r>
      <w:r>
        <w:rPr>
          <w:rFonts w:ascii="Times New Roman" w:hAnsi="Times New Roman"/>
          <w:sz w:val="24"/>
        </w:rPr>
        <w:t xml:space="preserve"> de la Présidence de la République — pour orienter les décisions de pilotage opérationnel et stratégique ;</w:t>
      </w:r>
    </w:p>
    <w:p>
      <w:pPr>
        <w:ind w:left="432"/>
      </w:pPr>
      <w:r>
        <w:rPr>
          <w:rFonts w:ascii="Times New Roman" w:hAnsi="Times New Roman"/>
          <w:sz w:val="24"/>
        </w:rPr>
        <w:t xml:space="preserve">Le </w:t>
      </w:r>
      <w:r>
        <w:rPr>
          <w:rFonts w:ascii="Times New Roman" w:hAnsi="Times New Roman"/>
          <w:b/>
          <w:sz w:val="24"/>
        </w:rPr>
        <w:t>Ministère en charge de la Promotion de l'Emploi</w:t>
      </w:r>
      <w:r>
        <w:rPr>
          <w:rFonts w:ascii="Times New Roman" w:hAnsi="Times New Roman"/>
          <w:sz w:val="24"/>
        </w:rPr>
        <w:t xml:space="preserve"> — pour alimenter la révision de la Politique Nationale de l'Emploi (PNE) ;</w:t>
      </w:r>
    </w:p>
    <w:p>
      <w:pPr>
        <w:ind w:left="432"/>
      </w:pPr>
      <w:r>
        <w:rPr>
          <w:rFonts w:ascii="Times New Roman" w:hAnsi="Times New Roman"/>
          <w:sz w:val="24"/>
        </w:rPr>
        <w:t xml:space="preserve">La </w:t>
      </w:r>
      <w:r>
        <w:rPr>
          <w:rFonts w:ascii="Times New Roman" w:hAnsi="Times New Roman"/>
          <w:b/>
          <w:sz w:val="24"/>
        </w:rPr>
        <w:t>Direction Générale de l'ANPE</w:t>
      </w:r>
      <w:r>
        <w:rPr>
          <w:rFonts w:ascii="Times New Roman" w:hAnsi="Times New Roman"/>
          <w:sz w:val="24"/>
        </w:rPr>
        <w:t xml:space="preserve"> — pour améliorer les processus opérationnels ;</w:t>
      </w:r>
    </w:p>
    <w:p>
      <w:pPr>
        <w:ind w:left="432"/>
      </w:pPr>
      <w:r>
        <w:rPr>
          <w:rFonts w:ascii="Times New Roman" w:hAnsi="Times New Roman"/>
          <w:sz w:val="24"/>
        </w:rPr>
        <w:t xml:space="preserve">Les </w:t>
      </w:r>
      <w:r>
        <w:rPr>
          <w:rFonts w:ascii="Times New Roman" w:hAnsi="Times New Roman"/>
          <w:b/>
          <w:sz w:val="24"/>
        </w:rPr>
        <w:t>partenaires techniques et financiers</w:t>
      </w:r>
      <w:r>
        <w:rPr>
          <w:rFonts w:ascii="Times New Roman" w:hAnsi="Times New Roman"/>
          <w:sz w:val="24"/>
        </w:rPr>
        <w:t xml:space="preserve"> susceptibles d'appuyer une future évaluation d'impact ;</w:t>
      </w:r>
    </w:p>
    <w:p>
      <w:pPr>
        <w:ind w:left="432"/>
      </w:pPr>
      <w:r>
        <w:rPr>
          <w:rFonts w:ascii="Times New Roman" w:hAnsi="Times New Roman"/>
          <w:sz w:val="24"/>
        </w:rPr>
        <w:t>Toute instance décisionnelle impliquée dans le renouvellement, l'extension ou la réplication du programme.</w:t>
      </w:r>
    </w:p>
    <w:p/>
    <w:p>
      <w:pPr>
        <w:pStyle w:val="Heading3"/>
      </w:pPr>
      <w:r>
        <w:rPr>
          <w:rFonts w:ascii="Times New Roman" w:hAnsi="Times New Roman"/>
          <w:color w:val="1F4E79"/>
          <w:sz w:val="26"/>
        </w:rPr>
        <w:t>1.4 Description du PSIE</w:t>
      </w:r>
    </w:p>
    <w:p>
      <w:pPr>
        <w:pStyle w:val="Heading4"/>
      </w:pPr>
      <w:r>
        <w:rPr>
          <w:rFonts w:ascii="Times New Roman" w:hAnsi="Times New Roman"/>
          <w:color w:val="333333"/>
          <w:sz w:val="24"/>
        </w:rPr>
        <w:t>1.4.1 Contexte et genèse du programme</w:t>
      </w:r>
    </w:p>
    <w:p>
      <w:r>
        <w:rPr>
          <w:rFonts w:ascii="Times New Roman" w:hAnsi="Times New Roman"/>
          <w:sz w:val="24"/>
        </w:rPr>
        <w:t xml:space="preserve">Le PSIE est une </w:t>
      </w:r>
      <w:r>
        <w:rPr>
          <w:rFonts w:ascii="Times New Roman" w:hAnsi="Times New Roman"/>
          <w:b/>
          <w:sz w:val="24"/>
        </w:rPr>
        <w:t>initiative présidentielle</w:t>
      </w:r>
      <w:r>
        <w:rPr>
          <w:rFonts w:ascii="Times New Roman" w:hAnsi="Times New Roman"/>
          <w:sz w:val="24"/>
        </w:rPr>
        <w:t xml:space="preserve"> inscrite dans la continuité du Programme d'Actions du Gouvernement (PAG 2016-2021), dont l'un des axes stratégiques consiste à traiter la question de l'emploi des jeunes de manière systématique dans l'ensemble des interventions gouvernementales.</w:t>
      </w:r>
    </w:p>
    <w:p>
      <w:r>
        <w:rPr>
          <w:rFonts w:ascii="Times New Roman" w:hAnsi="Times New Roman"/>
          <w:sz w:val="24"/>
        </w:rPr>
        <w:t xml:space="preserve">Le programme est né d'un constat convergent issu de plusieurs diagnostics : d'un côté, une masse considérable de jeunes diplômés — estimés à </w:t>
      </w:r>
      <w:r>
        <w:rPr>
          <w:rFonts w:ascii="Times New Roman" w:hAnsi="Times New Roman"/>
          <w:b/>
          <w:sz w:val="24"/>
        </w:rPr>
        <w:t>4,08 millions de personnes de moins de 40 ans</w:t>
      </w:r>
      <w:r>
        <w:rPr>
          <w:rFonts w:ascii="Times New Roman" w:hAnsi="Times New Roman"/>
          <w:sz w:val="24"/>
        </w:rPr>
        <w:t xml:space="preserve"> (EMICOV 2015), soit 34 % de la population totale — condamnés au chômage ou au sous-emploi (72 %, INSAE 2017) faute de pouvoir accéder à leur premier emploi formel ; de l'autre, des entreprises qui peinent à embaucher non par manque de besoin, mais par crainte des charges salariales à long terme, en particulier dans les PME/PMI.</w:t>
      </w:r>
    </w:p>
    <w:p>
      <w:r>
        <w:rPr>
          <w:rFonts w:ascii="Times New Roman" w:hAnsi="Times New Roman"/>
          <w:sz w:val="24"/>
        </w:rPr>
        <w:t xml:space="preserve">L'initiative a été </w:t>
      </w:r>
      <w:r>
        <w:rPr>
          <w:rFonts w:ascii="Times New Roman" w:hAnsi="Times New Roman"/>
          <w:b/>
          <w:sz w:val="24"/>
        </w:rPr>
        <w:t>annoncée publiquement par le Président de la République le 31 juillet 2019</w:t>
      </w:r>
      <w:r>
        <w:rPr>
          <w:rFonts w:ascii="Times New Roman" w:hAnsi="Times New Roman"/>
          <w:sz w:val="24"/>
        </w:rPr>
        <w:t xml:space="preserve">, lors du 59ème anniversaire de l'indépendance du Bénin, qui a déclaré vouloir « </w:t>
      </w:r>
      <w:r>
        <w:rPr>
          <w:rFonts w:ascii="Times New Roman" w:hAnsi="Times New Roman"/>
          <w:i/>
          <w:sz w:val="24"/>
        </w:rPr>
        <w:t>recruter chaque année, à la charge de l'État, 2 000 jeunes diplômés à placer dans des entreprises privées ou publiques, sur une période de deux ans, avec l'espoir qu'ils sauront se rendre utiles et efficaces pour se faire recruter à l'issue de la période d'insertion, ou alors qu'ils sauront voler de leurs propres ailes dans l'auto emploi</w:t>
      </w:r>
      <w:r>
        <w:rPr>
          <w:rFonts w:ascii="Times New Roman" w:hAnsi="Times New Roman"/>
          <w:sz w:val="24"/>
        </w:rPr>
        <w:t xml:space="preserve"> ».</w:t>
      </w:r>
    </w:p>
    <w:p>
      <w:r>
        <w:rPr>
          <w:rFonts w:ascii="Times New Roman" w:hAnsi="Times New Roman"/>
          <w:sz w:val="24"/>
        </w:rPr>
        <w:t xml:space="preserve">Elle a ensuite fait l'objet d'une phase de formulation rigoureuse (décembre 2019 – mars 2020), incluant des concertations avec les organisations d'employeurs, aboutissant à la validation du document provisoire du programme par le Conseil des ministres le </w:t>
      </w:r>
      <w:r>
        <w:rPr>
          <w:rFonts w:ascii="Times New Roman" w:hAnsi="Times New Roman"/>
          <w:b/>
          <w:sz w:val="24"/>
        </w:rPr>
        <w:t>10 juin 2020</w:t>
      </w:r>
      <w:r>
        <w:rPr>
          <w:rFonts w:ascii="Times New Roman" w:hAnsi="Times New Roman"/>
          <w:sz w:val="24"/>
        </w:rPr>
        <w:t xml:space="preserve">, au lancement officiel le </w:t>
      </w:r>
      <w:r>
        <w:rPr>
          <w:rFonts w:ascii="Times New Roman" w:hAnsi="Times New Roman"/>
          <w:b/>
          <w:sz w:val="24"/>
        </w:rPr>
        <w:t>15 juin 2020</w:t>
      </w:r>
      <w:r>
        <w:rPr>
          <w:rFonts w:ascii="Times New Roman" w:hAnsi="Times New Roman"/>
          <w:sz w:val="24"/>
        </w:rPr>
        <w:t xml:space="preserve">, et à la prise d'un </w:t>
      </w:r>
      <w:r>
        <w:rPr>
          <w:rFonts w:ascii="Times New Roman" w:hAnsi="Times New Roman"/>
          <w:b/>
          <w:sz w:val="24"/>
        </w:rPr>
        <w:t>décret institutionnalisant le PSIE en août 2020</w:t>
      </w:r>
      <w:r>
        <w:rPr>
          <w:rFonts w:ascii="Times New Roman" w:hAnsi="Times New Roman"/>
          <w:sz w:val="24"/>
        </w:rPr>
        <w:t>.</w:t>
      </w:r>
    </w:p>
    <w:p>
      <w:r>
        <w:rPr>
          <w:rFonts w:ascii="Times New Roman" w:hAnsi="Times New Roman"/>
          <w:sz w:val="24"/>
        </w:rPr>
        <w:t xml:space="preserve">Face aux résultats probants du programme, le Conseil des ministres, lors de sa session du </w:t>
      </w:r>
      <w:r>
        <w:rPr>
          <w:rFonts w:ascii="Times New Roman" w:hAnsi="Times New Roman"/>
          <w:b/>
          <w:sz w:val="24"/>
        </w:rPr>
        <w:t>19 février 2025</w:t>
      </w:r>
      <w:r>
        <w:rPr>
          <w:rFonts w:ascii="Times New Roman" w:hAnsi="Times New Roman"/>
          <w:sz w:val="24"/>
        </w:rPr>
        <w:t xml:space="preserve">, a autorisé la </w:t>
      </w:r>
      <w:r>
        <w:rPr>
          <w:rFonts w:ascii="Times New Roman" w:hAnsi="Times New Roman"/>
          <w:b/>
          <w:sz w:val="24"/>
        </w:rPr>
        <w:t>prolongation du PSIE au-delà de son échéance initiale de décembre 2025</w:t>
      </w:r>
      <w:r>
        <w:rPr>
          <w:rFonts w:ascii="Times New Roman" w:hAnsi="Times New Roman"/>
          <w:sz w:val="24"/>
        </w:rPr>
        <w:t>, confirmant ainsi son ancrage durable dans l'architecture des politiques d'emploi au Bénin.</w:t>
      </w:r>
    </w:p>
    <w:p>
      <w:pPr>
        <w:pStyle w:val="Heading4"/>
      </w:pPr>
      <w:r>
        <w:rPr>
          <w:rFonts w:ascii="Times New Roman" w:hAnsi="Times New Roman"/>
          <w:color w:val="333333"/>
          <w:sz w:val="24"/>
        </w:rPr>
        <w:t>1.4.2 Objectifs et structure du PSIE</w:t>
      </w:r>
    </w:p>
    <w:p>
      <w:pPr>
        <w:pStyle w:val="Heading4"/>
      </w:pPr>
      <w:r>
        <w:rPr>
          <w:rFonts w:ascii="Times New Roman" w:hAnsi="Times New Roman"/>
          <w:color w:val="333333"/>
          <w:sz w:val="24"/>
        </w:rPr>
        <w:t>A. Architecture des objectifs</w:t>
      </w:r>
    </w:p>
    <w:p>
      <w:r>
        <w:rPr>
          <w:rFonts w:ascii="Times New Roman" w:hAnsi="Times New Roman"/>
          <w:sz w:val="24"/>
        </w:rPr>
        <w:t>Le cadre de résultats du PSIE est organisé selon une hiérarchie à trois niveaux, articulant l'objectif général, les objectifs spécifiques et les résultats attendus :</w:t>
      </w:r>
    </w:p>
    <w:p>
      <w:r>
        <w:rPr>
          <w:rFonts w:ascii="Times New Roman" w:hAnsi="Times New Roman"/>
          <w:sz w:val="24"/>
        </w:rPr>
      </w:r>
      <w:r>
        <w:rPr>
          <w:rFonts w:ascii="Times New Roman" w:hAnsi="Times New Roman"/>
          <w:b/>
          <w:sz w:val="24"/>
        </w:rPr>
        <w:t>Objectif Général (OG) :</w:t>
      </w:r>
      <w:r>
        <w:rPr>
          <w:rFonts w:ascii="Times New Roman" w:hAnsi="Times New Roman"/>
          <w:sz w:val="24"/>
        </w:rPr>
      </w:r>
    </w:p>
    <w:p>
      <w:r>
        <w:rPr>
          <w:rFonts w:ascii="Times New Roman" w:hAnsi="Times New Roman"/>
          <w:sz w:val="24"/>
        </w:rPr>
        <w:t xml:space="preserve">Faciliter l'insertion professionnelle de </w:t>
      </w:r>
      <w:r>
        <w:rPr>
          <w:rFonts w:ascii="Times New Roman" w:hAnsi="Times New Roman"/>
          <w:b/>
          <w:sz w:val="24"/>
        </w:rPr>
        <w:t>deux mille (2 000) jeunes diplômés par an</w:t>
      </w:r>
      <w:r>
        <w:rPr>
          <w:rFonts w:ascii="Times New Roman" w:hAnsi="Times New Roman"/>
          <w:sz w:val="24"/>
        </w:rPr>
        <w:t xml:space="preserve"> dans les entreprises publiques et privées de la République du Bénin.</w:t>
      </w:r>
    </w:p>
    <w:p>
      <w:r>
        <w:rPr>
          <w:rFonts w:ascii="Times New Roman" w:hAnsi="Times New Roman"/>
          <w:sz w:val="24"/>
        </w:rPr>
      </w:r>
      <w:r>
        <w:rPr>
          <w:rFonts w:ascii="Times New Roman" w:hAnsi="Times New Roman"/>
          <w:b/>
          <w:sz w:val="24"/>
        </w:rPr>
        <w:t>Objectifs Spécifiques (OS) :</w:t>
      </w:r>
      <w:r>
        <w:rPr>
          <w:rFonts w:ascii="Times New Roman" w:hAnsi="Times New Roman"/>
          <w:sz w:val="24"/>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N°</w:t>
            </w:r>
          </w:p>
        </w:tc>
        <w:tc>
          <w:tcPr>
            <w:tcW w:type="dxa" w:w="3041"/>
            <w:shd w:val="clear" w:color="auto" w:fill="003366"/>
          </w:tcPr>
          <w:p>
            <w:r>
              <w:rPr>
                <w:rFonts w:ascii="Times New Roman" w:hAnsi="Times New Roman"/>
                <w:b/>
                <w:color w:val="FFFFFF"/>
                <w:sz w:val="20"/>
              </w:rPr>
              <w:t>Objectif Spécifique</w:t>
            </w:r>
          </w:p>
        </w:tc>
        <w:tc>
          <w:tcPr>
            <w:tcW w:type="dxa" w:w="3041"/>
            <w:shd w:val="clear" w:color="auto" w:fill="003366"/>
          </w:tcPr>
          <w:p>
            <w:r>
              <w:rPr>
                <w:rFonts w:ascii="Times New Roman" w:hAnsi="Times New Roman"/>
                <w:b/>
                <w:color w:val="FFFFFF"/>
                <w:sz w:val="20"/>
              </w:rPr>
              <w:t>Résultat Attendu associé</w:t>
            </w:r>
          </w:p>
        </w:tc>
      </w:tr>
      <w:tr>
        <w:tc>
          <w:tcPr>
            <w:tcW w:type="dxa" w:w="3041"/>
          </w:tcPr>
          <w:p>
            <w:r>
              <w:rPr>
                <w:rFonts w:ascii="Times New Roman" w:hAnsi="Times New Roman"/>
                <w:b w:val="0"/>
                <w:sz w:val="20"/>
              </w:rPr>
              <w:t>OS1</w:t>
            </w:r>
          </w:p>
        </w:tc>
        <w:tc>
          <w:tcPr>
            <w:tcW w:type="dxa" w:w="3041"/>
          </w:tcPr>
          <w:p>
            <w:r>
              <w:rPr>
                <w:rFonts w:ascii="Times New Roman" w:hAnsi="Times New Roman"/>
                <w:b w:val="0"/>
                <w:sz w:val="20"/>
              </w:rPr>
              <w:t>Améliorer l'employabilité des bénéficiaires du programme en vue de leur insertion professionnelle durable dans les nouveaux postes d'emploi créés, grâce aux actions d'immersion et d'encadrement</w:t>
            </w:r>
          </w:p>
        </w:tc>
        <w:tc>
          <w:tcPr>
            <w:tcW w:type="dxa" w:w="3041"/>
          </w:tcPr>
          <w:p>
            <w:r>
              <w:rPr>
                <w:rFonts w:ascii="Times New Roman" w:hAnsi="Times New Roman"/>
                <w:b w:val="0"/>
                <w:sz w:val="20"/>
              </w:rPr>
              <w:t>R1 : Les mesures d'accompagnement à l'employabilité pour l'insertion durable et pérenne de 2 000 jeunes par an sont initiées et mises en œuvre</w:t>
            </w:r>
          </w:p>
        </w:tc>
      </w:tr>
      <w:tr>
        <w:tc>
          <w:tcPr>
            <w:tcW w:type="dxa" w:w="3041"/>
          </w:tcPr>
          <w:p>
            <w:r>
              <w:rPr>
                <w:rFonts w:ascii="Times New Roman" w:hAnsi="Times New Roman"/>
                <w:b w:val="0"/>
                <w:sz w:val="20"/>
              </w:rPr>
              <w:t>OS2</w:t>
            </w:r>
          </w:p>
        </w:tc>
        <w:tc>
          <w:tcPr>
            <w:tcW w:type="dxa" w:w="3041"/>
          </w:tcPr>
          <w:p>
            <w:r>
              <w:rPr>
                <w:rFonts w:ascii="Times New Roman" w:hAnsi="Times New Roman"/>
                <w:b w:val="0"/>
                <w:sz w:val="20"/>
              </w:rPr>
              <w:t>Soutenir financièrement la prise en charge totale des salaires des titulaires des nouveaux emplois créés par les entreprises dans le cadre du programme</w:t>
            </w:r>
          </w:p>
        </w:tc>
        <w:tc>
          <w:tcPr>
            <w:tcW w:type="dxa" w:w="3041"/>
          </w:tcPr>
          <w:p>
            <w:r>
              <w:rPr>
                <w:rFonts w:ascii="Times New Roman" w:hAnsi="Times New Roman"/>
                <w:b w:val="0"/>
                <w:sz w:val="20"/>
              </w:rPr>
              <w:t>R2 : 2 000 jeunes candidats à l'emploi qualifiés sont employés par an par les entreprises, et leur rémunération est prise en charge par l'État, en vue de leur insertion durable</w:t>
            </w:r>
          </w:p>
        </w:tc>
      </w:tr>
    </w:tbl>
    <w:p/>
    <w:p>
      <w:pPr>
        <w:pStyle w:val="Heading4"/>
      </w:pPr>
      <w:r>
        <w:rPr>
          <w:rFonts w:ascii="Times New Roman" w:hAnsi="Times New Roman"/>
          <w:color w:val="333333"/>
          <w:sz w:val="24"/>
        </w:rPr>
        <w:t>B. Structure institutionnelle de gouvernance</w:t>
      </w:r>
    </w:p>
    <w:p>
      <w:r>
        <w:rPr>
          <w:rFonts w:ascii="Times New Roman" w:hAnsi="Times New Roman"/>
          <w:sz w:val="24"/>
        </w:rPr>
        <w:t>Le PSIE est gouverné par un dispositif institutionnel à quatre niveaux, s'appuyant sur les structures existantes pour éviter la création d'une administration parallèle coûteuse :</w:t>
      </w:r>
    </w:p>
    <w:p>
      <w:r>
        <w:rPr>
          <w:rFonts w:ascii="Times New Roman" w:hAnsi="Times New Roman"/>
          <w:sz w:val="24"/>
        </w:rPr>
        <w:t>```</w:t>
      </w:r>
    </w:p>
    <w:p>
      <w:r>
        <w:rPr>
          <w:rFonts w:ascii="Times New Roman" w:hAnsi="Times New Roman"/>
          <w:sz w:val="24"/>
        </w:rPr>
        <w:t>PRÉSIDENCE DE LA RÉPUBLIQUE (BAI)</w:t>
      </w:r>
    </w:p>
    <w:p>
      <w:r>
        <w:rPr>
          <w:rFonts w:ascii="Times New Roman" w:hAnsi="Times New Roman"/>
          <w:sz w:val="24"/>
        </w:rPr>
        <w:t xml:space="preserve">        │  Tutelle politique et financière</w:t>
      </w:r>
    </w:p>
    <w:p>
      <w:r>
        <w:rPr>
          <w:rFonts w:ascii="Times New Roman" w:hAnsi="Times New Roman"/>
          <w:sz w:val="24"/>
        </w:rPr>
        <w:t xml:space="preserve">        ▼</w:t>
      </w:r>
    </w:p>
    <w:p>
      <w:r>
        <w:rPr>
          <w:rFonts w:ascii="Times New Roman" w:hAnsi="Times New Roman"/>
          <w:sz w:val="24"/>
        </w:rPr>
        <w:t>COMITÉ DE PILOTAGE = Conseil d'Administration de l'ANPE</w:t>
      </w:r>
    </w:p>
    <w:p>
      <w:r>
        <w:rPr>
          <w:rFonts w:ascii="Times New Roman" w:hAnsi="Times New Roman"/>
          <w:sz w:val="24"/>
        </w:rPr>
        <w:t xml:space="preserve">        │  Orientations stratégiques · Approbation du budget et des rapports</w:t>
      </w:r>
    </w:p>
    <w:p>
      <w:r>
        <w:rPr>
          <w:rFonts w:ascii="Times New Roman" w:hAnsi="Times New Roman"/>
          <w:sz w:val="24"/>
        </w:rPr>
        <w:t xml:space="preserve">        │  Réunion trimestrielle (puis semestrielle)</w:t>
      </w:r>
    </w:p>
    <w:p>
      <w:r>
        <w:rPr>
          <w:rFonts w:ascii="Times New Roman" w:hAnsi="Times New Roman"/>
          <w:sz w:val="24"/>
        </w:rPr>
        <w:t xml:space="preserve">        ▼</w:t>
      </w:r>
    </w:p>
    <w:p>
      <w:r>
        <w:rPr>
          <w:rFonts w:ascii="Times New Roman" w:hAnsi="Times New Roman"/>
          <w:sz w:val="24"/>
        </w:rPr>
        <w:t>COMITÉ TECHNIQUE = Direction Générale de l'ANPE (Président : DG ANPE)</w:t>
      </w:r>
    </w:p>
    <w:p>
      <w:r>
        <w:rPr>
          <w:rFonts w:ascii="Times New Roman" w:hAnsi="Times New Roman"/>
          <w:sz w:val="24"/>
        </w:rPr>
        <w:t xml:space="preserve">        │  Validation technique de toutes les opérations</w:t>
      </w:r>
    </w:p>
    <w:p>
      <w:r>
        <w:rPr>
          <w:rFonts w:ascii="Times New Roman" w:hAnsi="Times New Roman"/>
          <w:sz w:val="24"/>
        </w:rPr>
        <w:t xml:space="preserve">        │  Approbation des listes d'aptitude des bénéficiaires</w:t>
      </w:r>
    </w:p>
    <w:p>
      <w:r>
        <w:rPr>
          <w:rFonts w:ascii="Times New Roman" w:hAnsi="Times New Roman"/>
          <w:sz w:val="24"/>
        </w:rPr>
        <w:t xml:space="preserve">        │  Réunion mensuelle</w:t>
      </w:r>
    </w:p>
    <w:p>
      <w:r>
        <w:rPr>
          <w:rFonts w:ascii="Times New Roman" w:hAnsi="Times New Roman"/>
          <w:sz w:val="24"/>
        </w:rPr>
        <w:t xml:space="preserve">        ▼</w:t>
      </w:r>
    </w:p>
    <w:p>
      <w:r>
        <w:rPr>
          <w:rFonts w:ascii="Times New Roman" w:hAnsi="Times New Roman"/>
          <w:sz w:val="24"/>
        </w:rPr>
        <w:t>UNITÉ DE COORDINATION PSIE (mise à disposition par la Présidence de la République)</w:t>
      </w:r>
    </w:p>
    <w:p>
      <w:r>
        <w:rPr>
          <w:rFonts w:ascii="Times New Roman" w:hAnsi="Times New Roman"/>
          <w:sz w:val="24"/>
        </w:rPr>
        <w:t xml:space="preserve">        │  Coordonnateur · Spécialiste S-E · Administrateur plateforme</w:t>
      </w:r>
    </w:p>
    <w:p>
      <w:r>
        <w:rPr>
          <w:rFonts w:ascii="Times New Roman" w:hAnsi="Times New Roman"/>
          <w:sz w:val="24"/>
        </w:rPr>
        <w:t xml:space="preserve">        │  Gestion opérationnelle quotidienne</w:t>
      </w:r>
    </w:p>
    <w:p>
      <w:r>
        <w:rPr>
          <w:rFonts w:ascii="Times New Roman" w:hAnsi="Times New Roman"/>
          <w:sz w:val="24"/>
        </w:rPr>
        <w:t xml:space="preserve">        ▼</w:t>
      </w:r>
    </w:p>
    <w:p>
      <w:r>
        <w:rPr>
          <w:rFonts w:ascii="Times New Roman" w:hAnsi="Times New Roman"/>
          <w:sz w:val="24"/>
        </w:rPr>
        <w:t>ANPE (Agence d'exécution)</w:t>
      </w:r>
    </w:p>
    <w:p>
      <w:r>
        <w:rPr>
          <w:rFonts w:ascii="Times New Roman" w:hAnsi="Times New Roman"/>
          <w:sz w:val="24"/>
        </w:rPr>
        <w:t xml:space="preserve">        Plateforme numérique · Conseillers en emploi · Réseau de 12 antennes départementales</w:t>
      </w:r>
    </w:p>
    <w:p>
      <w:r>
        <w:rPr>
          <w:rFonts w:ascii="Times New Roman" w:hAnsi="Times New Roman"/>
          <w:sz w:val="24"/>
        </w:rPr>
        <w:t>```</w:t>
      </w:r>
    </w:p>
    <w:p>
      <w:r>
        <w:rPr>
          <w:rFonts w:ascii="Times New Roman" w:hAnsi="Times New Roman"/>
          <w:sz w:val="24"/>
        </w:rPr>
        <w:t>Cette architecture présente l'avantage de mutualiser les ressources techniques et humaines de l'ANPE (plateforme, bases de données, réseau territorial, conseillers en emploi) tout en maintenant une identité opérationnelle propre au PSIE, assurée par l'Unité de Coordination.</w:t>
      </w:r>
    </w:p>
    <w:p>
      <w:pPr>
        <w:pStyle w:val="Heading4"/>
      </w:pPr>
      <w:r>
        <w:rPr>
          <w:rFonts w:ascii="Times New Roman" w:hAnsi="Times New Roman"/>
          <w:color w:val="333333"/>
          <w:sz w:val="24"/>
        </w:rPr>
        <w:t>C. Processus opérationnel</w:t>
      </w:r>
    </w:p>
    <w:p>
      <w:r>
        <w:rPr>
          <w:rFonts w:ascii="Times New Roman" w:hAnsi="Times New Roman"/>
          <w:sz w:val="24"/>
        </w:rPr>
        <w:t xml:space="preserve">Le cycle opérationnel du PSIE s'organise en </w:t>
      </w:r>
      <w:r>
        <w:rPr>
          <w:rFonts w:ascii="Times New Roman" w:hAnsi="Times New Roman"/>
          <w:b/>
          <w:sz w:val="24"/>
        </w:rPr>
        <w:t>huit étapes séquentielles</w:t>
      </w:r>
      <w:r>
        <w:rPr>
          <w:rFonts w:ascii="Times New Roman" w:hAnsi="Times New Roman"/>
          <w:sz w:val="24"/>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Étape</w:t>
            </w:r>
          </w:p>
        </w:tc>
        <w:tc>
          <w:tcPr>
            <w:tcW w:type="dxa" w:w="3041"/>
            <w:shd w:val="clear" w:color="auto" w:fill="003366"/>
          </w:tcPr>
          <w:p>
            <w:r>
              <w:rPr>
                <w:rFonts w:ascii="Times New Roman" w:hAnsi="Times New Roman"/>
                <w:b/>
                <w:color w:val="FFFFFF"/>
                <w:sz w:val="20"/>
              </w:rPr>
              <w:t>Activités clés</w:t>
            </w:r>
          </w:p>
        </w:tc>
        <w:tc>
          <w:tcPr>
            <w:tcW w:type="dxa" w:w="3041"/>
            <w:shd w:val="clear" w:color="auto" w:fill="003366"/>
          </w:tcPr>
          <w:p>
            <w:r>
              <w:rPr>
                <w:rFonts w:ascii="Times New Roman" w:hAnsi="Times New Roman"/>
                <w:b/>
                <w:color w:val="FFFFFF"/>
                <w:sz w:val="20"/>
              </w:rPr>
              <w:t>Acteurs principaux</w:t>
            </w:r>
          </w:p>
        </w:tc>
      </w:tr>
      <w:tr>
        <w:tc>
          <w:tcPr>
            <w:tcW w:type="dxa" w:w="3041"/>
          </w:tcPr>
          <w:p>
            <w:r>
              <w:rPr>
                <w:rFonts w:ascii="Times New Roman" w:hAnsi="Times New Roman"/>
                <w:b w:val="0"/>
                <w:sz w:val="20"/>
              </w:rPr>
              <w:t>1. Information-communication</w:t>
            </w:r>
          </w:p>
        </w:tc>
        <w:tc>
          <w:tcPr>
            <w:tcW w:type="dxa" w:w="3041"/>
          </w:tcPr>
          <w:p>
            <w:r>
              <w:rPr>
                <w:rFonts w:ascii="Times New Roman" w:hAnsi="Times New Roman"/>
                <w:b w:val="0"/>
                <w:sz w:val="20"/>
              </w:rPr>
              <w:t>Campagnes médiatiques, sensibilisation des employeurs via CCIB/CNPB/CONEB</w:t>
            </w:r>
          </w:p>
        </w:tc>
        <w:tc>
          <w:tcPr>
            <w:tcW w:type="dxa" w:w="3041"/>
          </w:tcPr>
          <w:p>
            <w:r>
              <w:rPr>
                <w:rFonts w:ascii="Times New Roman" w:hAnsi="Times New Roman"/>
                <w:b w:val="0"/>
                <w:sz w:val="20"/>
              </w:rPr>
              <w:t>Coordination PSIE · ANPE</w:t>
            </w:r>
          </w:p>
        </w:tc>
      </w:tr>
      <w:tr>
        <w:tc>
          <w:tcPr>
            <w:tcW w:type="dxa" w:w="3041"/>
          </w:tcPr>
          <w:p>
            <w:r>
              <w:rPr>
                <w:rFonts w:ascii="Times New Roman" w:hAnsi="Times New Roman"/>
                <w:b w:val="0"/>
                <w:sz w:val="20"/>
              </w:rPr>
              <w:t>2. Inscription</w:t>
            </w:r>
          </w:p>
        </w:tc>
        <w:tc>
          <w:tcPr>
            <w:tcW w:type="dxa" w:w="3041"/>
          </w:tcPr>
          <w:p>
            <w:r>
              <w:rPr>
                <w:rFonts w:ascii="Times New Roman" w:hAnsi="Times New Roman"/>
                <w:b w:val="0"/>
                <w:sz w:val="20"/>
              </w:rPr>
              <w:t>Enregistrement en ligne (entreprises et candidats) sur la plateforme psie.bj</w:t>
            </w:r>
          </w:p>
        </w:tc>
        <w:tc>
          <w:tcPr>
            <w:tcW w:type="dxa" w:w="3041"/>
          </w:tcPr>
          <w:p>
            <w:r>
              <w:rPr>
                <w:rFonts w:ascii="Times New Roman" w:hAnsi="Times New Roman"/>
                <w:b w:val="0"/>
                <w:sz w:val="20"/>
              </w:rPr>
              <w:t>Candidats et entreprises</w:t>
            </w:r>
          </w:p>
        </w:tc>
      </w:tr>
      <w:tr>
        <w:tc>
          <w:tcPr>
            <w:tcW w:type="dxa" w:w="3041"/>
          </w:tcPr>
          <w:p>
            <w:r>
              <w:rPr>
                <w:rFonts w:ascii="Times New Roman" w:hAnsi="Times New Roman"/>
                <w:b w:val="0"/>
                <w:sz w:val="20"/>
              </w:rPr>
              <w:t>3. Présélection sur dossiers</w:t>
            </w:r>
          </w:p>
        </w:tc>
        <w:tc>
          <w:tcPr>
            <w:tcW w:type="dxa" w:w="3041"/>
          </w:tcPr>
          <w:p>
            <w:r>
              <w:rPr>
                <w:rFonts w:ascii="Times New Roman" w:hAnsi="Times New Roman"/>
                <w:b w:val="0"/>
                <w:sz w:val="20"/>
              </w:rPr>
              <w:t>Contrôle de conformité et de complétude ; dépouillement par les Conseillers en emploi</w:t>
            </w:r>
          </w:p>
        </w:tc>
        <w:tc>
          <w:tcPr>
            <w:tcW w:type="dxa" w:w="3041"/>
          </w:tcPr>
          <w:p>
            <w:r>
              <w:rPr>
                <w:rFonts w:ascii="Times New Roman" w:hAnsi="Times New Roman"/>
                <w:b w:val="0"/>
                <w:sz w:val="20"/>
              </w:rPr>
              <w:t>ANPE (Conseillers en emploi)</w:t>
            </w:r>
          </w:p>
        </w:tc>
      </w:tr>
      <w:tr>
        <w:tc>
          <w:tcPr>
            <w:tcW w:type="dxa" w:w="3041"/>
          </w:tcPr>
          <w:p>
            <w:r>
              <w:rPr>
                <w:rFonts w:ascii="Times New Roman" w:hAnsi="Times New Roman"/>
                <w:b w:val="0"/>
                <w:sz w:val="20"/>
              </w:rPr>
              <w:t>4. Éligibilité</w:t>
            </w:r>
          </w:p>
        </w:tc>
        <w:tc>
          <w:tcPr>
            <w:tcW w:type="dxa" w:w="3041"/>
          </w:tcPr>
          <w:p>
            <w:r>
              <w:rPr>
                <w:rFonts w:ascii="Times New Roman" w:hAnsi="Times New Roman"/>
                <w:b w:val="0"/>
                <w:sz w:val="20"/>
              </w:rPr>
              <w:t>Analyse qualitative des dossiers ; entretiens exploratoires ; panels d'experts ; listes d'aptitude</w:t>
            </w:r>
          </w:p>
        </w:tc>
        <w:tc>
          <w:tcPr>
            <w:tcW w:type="dxa" w:w="3041"/>
          </w:tcPr>
          <w:p>
            <w:r>
              <w:rPr>
                <w:rFonts w:ascii="Times New Roman" w:hAnsi="Times New Roman"/>
                <w:b w:val="0"/>
                <w:sz w:val="20"/>
              </w:rPr>
              <w:t>Panels d'experts · Comité technique</w:t>
            </w:r>
          </w:p>
        </w:tc>
      </w:tr>
      <w:tr>
        <w:tc>
          <w:tcPr>
            <w:tcW w:type="dxa" w:w="3041"/>
          </w:tcPr>
          <w:p>
            <w:r>
              <w:rPr>
                <w:rFonts w:ascii="Times New Roman" w:hAnsi="Times New Roman"/>
                <w:b w:val="0"/>
                <w:sz w:val="20"/>
              </w:rPr>
              <w:t>5. Sélection des allocataires</w:t>
            </w:r>
          </w:p>
        </w:tc>
        <w:tc>
          <w:tcPr>
            <w:tcW w:type="dxa" w:w="3041"/>
          </w:tcPr>
          <w:p>
            <w:r>
              <w:rPr>
                <w:rFonts w:ascii="Times New Roman" w:hAnsi="Times New Roman"/>
                <w:b w:val="0"/>
                <w:sz w:val="20"/>
              </w:rPr>
              <w:t>Entreprise choisit parmi les profils proposés ; entretiens finaux</w:t>
            </w:r>
          </w:p>
        </w:tc>
        <w:tc>
          <w:tcPr>
            <w:tcW w:type="dxa" w:w="3041"/>
          </w:tcPr>
          <w:p>
            <w:r>
              <w:rPr>
                <w:rFonts w:ascii="Times New Roman" w:hAnsi="Times New Roman"/>
                <w:b w:val="0"/>
                <w:sz w:val="20"/>
              </w:rPr>
              <w:t>Entreprise hôte · ANPE</w:t>
            </w:r>
          </w:p>
        </w:tc>
      </w:tr>
      <w:tr>
        <w:tc>
          <w:tcPr>
            <w:tcW w:type="dxa" w:w="3041"/>
          </w:tcPr>
          <w:p>
            <w:r>
              <w:rPr>
                <w:rFonts w:ascii="Times New Roman" w:hAnsi="Times New Roman"/>
                <w:b w:val="0"/>
                <w:sz w:val="20"/>
              </w:rPr>
              <w:t>6. Préparation</w:t>
            </w:r>
          </w:p>
        </w:tc>
        <w:tc>
          <w:tcPr>
            <w:tcW w:type="dxa" w:w="3041"/>
          </w:tcPr>
          <w:p>
            <w:r>
              <w:rPr>
                <w:rFonts w:ascii="Times New Roman" w:hAnsi="Times New Roman"/>
                <w:b w:val="0"/>
                <w:sz w:val="20"/>
              </w:rPr>
              <w:t>Formation pré-immersion (3-5 jours) : culture d'entreprise, déontologie, savoir-vivre ; formation des tuteurs/mentors</w:t>
            </w:r>
          </w:p>
        </w:tc>
        <w:tc>
          <w:tcPr>
            <w:tcW w:type="dxa" w:w="3041"/>
          </w:tcPr>
          <w:p>
            <w:r>
              <w:rPr>
                <w:rFonts w:ascii="Times New Roman" w:hAnsi="Times New Roman"/>
                <w:b w:val="0"/>
                <w:sz w:val="20"/>
              </w:rPr>
              <w:t>ANPE · Coordination PSIE</w:t>
            </w:r>
          </w:p>
        </w:tc>
      </w:tr>
      <w:tr>
        <w:tc>
          <w:tcPr>
            <w:tcW w:type="dxa" w:w="3041"/>
          </w:tcPr>
          <w:p>
            <w:r>
              <w:rPr>
                <w:rFonts w:ascii="Times New Roman" w:hAnsi="Times New Roman"/>
                <w:b w:val="0"/>
                <w:sz w:val="20"/>
              </w:rPr>
              <w:t>7. Immersion et suivi</w:t>
            </w:r>
          </w:p>
        </w:tc>
        <w:tc>
          <w:tcPr>
            <w:tcW w:type="dxa" w:w="3041"/>
          </w:tcPr>
          <w:p>
            <w:r>
              <w:rPr>
                <w:rFonts w:ascii="Times New Roman" w:hAnsi="Times New Roman"/>
                <w:b w:val="0"/>
                <w:sz w:val="20"/>
              </w:rPr>
              <w:t>Signature des contrats ; prise de poste ; suivi mensuel de présence ; ateliers de renforcement</w:t>
            </w:r>
          </w:p>
        </w:tc>
        <w:tc>
          <w:tcPr>
            <w:tcW w:type="dxa" w:w="3041"/>
          </w:tcPr>
          <w:p>
            <w:r>
              <w:rPr>
                <w:rFonts w:ascii="Times New Roman" w:hAnsi="Times New Roman"/>
                <w:b w:val="0"/>
                <w:sz w:val="20"/>
              </w:rPr>
              <w:t>Trésor public (salaires) · ANPE (suivi)</w:t>
            </w:r>
          </w:p>
        </w:tc>
      </w:tr>
      <w:tr>
        <w:tc>
          <w:tcPr>
            <w:tcW w:type="dxa" w:w="3041"/>
          </w:tcPr>
          <w:p>
            <w:r>
              <w:rPr>
                <w:rFonts w:ascii="Times New Roman" w:hAnsi="Times New Roman"/>
                <w:b w:val="0"/>
                <w:sz w:val="20"/>
              </w:rPr>
              <w:t>8. Dispositif post-programme</w:t>
            </w:r>
          </w:p>
        </w:tc>
        <w:tc>
          <w:tcPr>
            <w:tcW w:type="dxa" w:w="3041"/>
          </w:tcPr>
          <w:p>
            <w:r>
              <w:rPr>
                <w:rFonts w:ascii="Times New Roman" w:hAnsi="Times New Roman"/>
                <w:b w:val="0"/>
                <w:sz w:val="20"/>
              </w:rPr>
              <w:t>Orientation vers l'emploi salarié ou indépendant ; salon annuel de recrutement ; suivi alumni à 6, 12 et 24 mois</w:t>
            </w:r>
          </w:p>
        </w:tc>
        <w:tc>
          <w:tcPr>
            <w:tcW w:type="dxa" w:w="3041"/>
          </w:tcPr>
          <w:p>
            <w:r>
              <w:rPr>
                <w:rFonts w:ascii="Times New Roman" w:hAnsi="Times New Roman"/>
                <w:b w:val="0"/>
                <w:sz w:val="20"/>
              </w:rPr>
              <w:t>Coordination PSIE · ANPE</w:t>
            </w:r>
          </w:p>
        </w:tc>
      </w:tr>
    </w:tbl>
    <w:p/>
    <w:p>
      <w:pPr>
        <w:pStyle w:val="Heading4"/>
      </w:pPr>
      <w:r>
        <w:rPr>
          <w:rFonts w:ascii="Times New Roman" w:hAnsi="Times New Roman"/>
          <w:color w:val="333333"/>
          <w:sz w:val="24"/>
        </w:rPr>
        <w:t>D. Structure budgétaire</w:t>
      </w:r>
    </w:p>
    <w:p>
      <w:r>
        <w:rPr>
          <w:rFonts w:ascii="Times New Roman" w:hAnsi="Times New Roman"/>
          <w:sz w:val="24"/>
        </w:rPr>
        <w:t xml:space="preserve">Le PSIE est </w:t>
      </w:r>
      <w:r>
        <w:rPr>
          <w:rFonts w:ascii="Times New Roman" w:hAnsi="Times New Roman"/>
          <w:b/>
          <w:sz w:val="24"/>
        </w:rPr>
        <w:t>entièrement financé par le budget national</w:t>
      </w:r>
      <w:r>
        <w:rPr>
          <w:rFonts w:ascii="Times New Roman" w:hAnsi="Times New Roman"/>
          <w:sz w:val="24"/>
        </w:rPr>
        <w:t xml:space="preserve"> (aucune contribution numéraire des entreprises). Le budget prévisionnel sur 5 ans (2020-2024) s'élève à </w:t>
      </w:r>
      <w:r>
        <w:rPr>
          <w:rFonts w:ascii="Times New Roman" w:hAnsi="Times New Roman"/>
          <w:b/>
          <w:sz w:val="24"/>
        </w:rPr>
        <w:t>46,60 milliards FCFA</w:t>
      </w:r>
      <w:r>
        <w:rPr>
          <w:rFonts w:ascii="Times New Roman" w:hAnsi="Times New Roman"/>
          <w:sz w:val="24"/>
        </w:rPr>
        <w:t>, répartis comme suit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Composante</w:t>
            </w:r>
          </w:p>
        </w:tc>
        <w:tc>
          <w:tcPr>
            <w:tcW w:type="dxa" w:w="3041"/>
            <w:shd w:val="clear" w:color="auto" w:fill="003366"/>
          </w:tcPr>
          <w:p>
            <w:r>
              <w:rPr>
                <w:rFonts w:ascii="Times New Roman" w:hAnsi="Times New Roman"/>
                <w:b/>
                <w:color w:val="FFFFFF"/>
                <w:sz w:val="20"/>
              </w:rPr>
              <w:t>Montant prévisionnel</w:t>
            </w:r>
          </w:p>
        </w:tc>
        <w:tc>
          <w:tcPr>
            <w:tcW w:type="dxa" w:w="3041"/>
            <w:shd w:val="clear" w:color="auto" w:fill="003366"/>
          </w:tcPr>
          <w:p>
            <w:r>
              <w:rPr>
                <w:rFonts w:ascii="Times New Roman" w:hAnsi="Times New Roman"/>
                <w:b/>
                <w:color w:val="FFFFFF"/>
                <w:sz w:val="20"/>
              </w:rPr>
              <w:t>Part</w:t>
            </w:r>
          </w:p>
        </w:tc>
      </w:tr>
      <w:tr>
        <w:tc>
          <w:tcPr>
            <w:tcW w:type="dxa" w:w="3041"/>
          </w:tcPr>
          <w:p>
            <w:r>
              <w:rPr>
                <w:rFonts w:ascii="Times New Roman" w:hAnsi="Times New Roman"/>
                <w:b w:val="0"/>
                <w:sz w:val="20"/>
              </w:rPr>
              <w:t>Salaires bruts et charges sociales des allocataires</w:t>
            </w:r>
          </w:p>
        </w:tc>
        <w:tc>
          <w:tcPr>
            <w:tcW w:type="dxa" w:w="3041"/>
          </w:tcPr>
          <w:p>
            <w:r>
              <w:rPr>
                <w:rFonts w:ascii="Times New Roman" w:hAnsi="Times New Roman"/>
                <w:b w:val="0"/>
                <w:sz w:val="20"/>
              </w:rPr>
              <w:t>43,57 milliards FCFA</w:t>
            </w:r>
          </w:p>
        </w:tc>
        <w:tc>
          <w:tcPr>
            <w:tcW w:type="dxa" w:w="3041"/>
          </w:tcPr>
          <w:p>
            <w:r>
              <w:rPr>
                <w:rFonts w:ascii="Times New Roman" w:hAnsi="Times New Roman"/>
                <w:b w:val="0"/>
                <w:sz w:val="20"/>
              </w:rPr>
              <w:t>93,5 %</w:t>
            </w:r>
          </w:p>
        </w:tc>
      </w:tr>
      <w:tr>
        <w:tc>
          <w:tcPr>
            <w:tcW w:type="dxa" w:w="3041"/>
          </w:tcPr>
          <w:p>
            <w:r>
              <w:rPr>
                <w:rFonts w:ascii="Times New Roman" w:hAnsi="Times New Roman"/>
                <w:b w:val="0"/>
                <w:sz w:val="20"/>
              </w:rPr>
              <w:t>Frais de formation et d'encadrement (ateliers, coaching, tutorat)</w:t>
            </w:r>
          </w:p>
        </w:tc>
        <w:tc>
          <w:tcPr>
            <w:tcW w:type="dxa" w:w="3041"/>
          </w:tcPr>
          <w:p>
            <w:r>
              <w:rPr>
                <w:rFonts w:ascii="Times New Roman" w:hAnsi="Times New Roman"/>
                <w:b w:val="0"/>
                <w:sz w:val="20"/>
              </w:rPr>
              <w:t>~1,4 milliard FCFA</w:t>
            </w:r>
          </w:p>
        </w:tc>
        <w:tc>
          <w:tcPr>
            <w:tcW w:type="dxa" w:w="3041"/>
          </w:tcPr>
          <w:p>
            <w:r>
              <w:rPr>
                <w:rFonts w:ascii="Times New Roman" w:hAnsi="Times New Roman"/>
                <w:b w:val="0"/>
                <w:sz w:val="20"/>
              </w:rPr>
              <w:t>3,0 %</w:t>
            </w:r>
          </w:p>
        </w:tc>
      </w:tr>
      <w:tr>
        <w:tc>
          <w:tcPr>
            <w:tcW w:type="dxa" w:w="3041"/>
          </w:tcPr>
          <w:p>
            <w:r>
              <w:rPr>
                <w:rFonts w:ascii="Times New Roman" w:hAnsi="Times New Roman"/>
                <w:b w:val="0"/>
                <w:sz w:val="20"/>
              </w:rPr>
              <w:t>Fonctionnement et frais de gestion administrative</w:t>
            </w:r>
          </w:p>
        </w:tc>
        <w:tc>
          <w:tcPr>
            <w:tcW w:type="dxa" w:w="3041"/>
          </w:tcPr>
          <w:p>
            <w:r>
              <w:rPr>
                <w:rFonts w:ascii="Times New Roman" w:hAnsi="Times New Roman"/>
                <w:b w:val="0"/>
                <w:sz w:val="20"/>
              </w:rPr>
              <w:t>~1,6 milliard FCFA</w:t>
            </w:r>
          </w:p>
        </w:tc>
        <w:tc>
          <w:tcPr>
            <w:tcW w:type="dxa" w:w="3041"/>
          </w:tcPr>
          <w:p>
            <w:r>
              <w:rPr>
                <w:rFonts w:ascii="Times New Roman" w:hAnsi="Times New Roman"/>
                <w:b w:val="0"/>
                <w:sz w:val="20"/>
              </w:rPr>
              <w:t>3,5 %</w:t>
            </w:r>
          </w:p>
        </w:tc>
      </w:tr>
      <w:tr>
        <w:tc>
          <w:tcPr>
            <w:tcW w:type="dxa" w:w="3041"/>
          </w:tcPr>
          <w:p>
            <w:r>
              <w:rPr>
                <w:rFonts w:ascii="Times New Roman" w:hAnsi="Times New Roman"/>
                <w:b w:val="0"/>
                <w:sz w:val="20"/>
              </w:rPr>
              <w:t>TOTAL</w:t>
            </w:r>
          </w:p>
        </w:tc>
        <w:tc>
          <w:tcPr>
            <w:tcW w:type="dxa" w:w="3041"/>
          </w:tcPr>
          <w:p>
            <w:r>
              <w:rPr>
                <w:rFonts w:ascii="Times New Roman" w:hAnsi="Times New Roman"/>
                <w:b w:val="0"/>
                <w:sz w:val="20"/>
              </w:rPr>
              <w:t>46,60 milliards FCFA</w:t>
            </w:r>
          </w:p>
        </w:tc>
        <w:tc>
          <w:tcPr>
            <w:tcW w:type="dxa" w:w="3041"/>
          </w:tcPr>
          <w:p>
            <w:r>
              <w:rPr>
                <w:rFonts w:ascii="Times New Roman" w:hAnsi="Times New Roman"/>
                <w:b w:val="0"/>
                <w:sz w:val="20"/>
              </w:rPr>
              <w:t>100 %</w:t>
            </w:r>
          </w:p>
        </w:tc>
      </w:tr>
    </w:tbl>
    <w:p/>
    <w:p>
      <w:r>
        <w:rPr>
          <w:rFonts w:ascii="Times New Roman" w:hAnsi="Times New Roman"/>
          <w:sz w:val="24"/>
        </w:rPr>
        <w:t>La grille de rémunération des allocataires garantit un salaire net minimum selon les niveaux de qualification, l'État assurant également les contributions patronales CNSS et l'IRPP, dans une logique d'emploi décent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Niveau de qualification</w:t>
            </w:r>
          </w:p>
        </w:tc>
        <w:tc>
          <w:tcPr>
            <w:tcW w:type="dxa" w:w="3041"/>
            <w:shd w:val="clear" w:color="auto" w:fill="003366"/>
          </w:tcPr>
          <w:p>
            <w:r>
              <w:rPr>
                <w:rFonts w:ascii="Times New Roman" w:hAnsi="Times New Roman"/>
                <w:b/>
                <w:color w:val="FFFFFF"/>
                <w:sz w:val="20"/>
              </w:rPr>
              <w:t>Diplôme correspondant</w:t>
            </w:r>
          </w:p>
        </w:tc>
        <w:tc>
          <w:tcPr>
            <w:tcW w:type="dxa" w:w="3041"/>
            <w:shd w:val="clear" w:color="auto" w:fill="003366"/>
          </w:tcPr>
          <w:p>
            <w:r>
              <w:rPr>
                <w:rFonts w:ascii="Times New Roman" w:hAnsi="Times New Roman"/>
                <w:b/>
                <w:color w:val="FFFFFF"/>
                <w:sz w:val="20"/>
              </w:rPr>
              <w:t>Salaire net garanti (FCFA)</w:t>
            </w:r>
          </w:p>
        </w:tc>
      </w:tr>
      <w:tr>
        <w:tc>
          <w:tcPr>
            <w:tcW w:type="dxa" w:w="3041"/>
          </w:tcPr>
          <w:p>
            <w:r>
              <w:rPr>
                <w:rFonts w:ascii="Times New Roman" w:hAnsi="Times New Roman"/>
                <w:b w:val="0"/>
                <w:sz w:val="20"/>
              </w:rPr>
              <w:t>Technicien spécialisé/professionnel</w:t>
            </w:r>
          </w:p>
        </w:tc>
        <w:tc>
          <w:tcPr>
            <w:tcW w:type="dxa" w:w="3041"/>
          </w:tcPr>
          <w:p>
            <w:r>
              <w:rPr>
                <w:rFonts w:ascii="Times New Roman" w:hAnsi="Times New Roman"/>
                <w:b w:val="0"/>
                <w:sz w:val="20"/>
              </w:rPr>
              <w:t>BAC professionnel</w:t>
            </w:r>
          </w:p>
        </w:tc>
        <w:tc>
          <w:tcPr>
            <w:tcW w:type="dxa" w:w="3041"/>
          </w:tcPr>
          <w:p>
            <w:r>
              <w:rPr>
                <w:rFonts w:ascii="Times New Roman" w:hAnsi="Times New Roman"/>
                <w:b w:val="0"/>
                <w:sz w:val="20"/>
              </w:rPr>
              <w:t>100 000</w:t>
            </w:r>
          </w:p>
        </w:tc>
      </w:tr>
      <w:tr>
        <w:tc>
          <w:tcPr>
            <w:tcW w:type="dxa" w:w="3041"/>
          </w:tcPr>
          <w:p>
            <w:r>
              <w:rPr>
                <w:rFonts w:ascii="Times New Roman" w:hAnsi="Times New Roman"/>
                <w:b w:val="0"/>
                <w:sz w:val="20"/>
              </w:rPr>
              <w:t>Technicien supérieur</w:t>
            </w:r>
          </w:p>
        </w:tc>
        <w:tc>
          <w:tcPr>
            <w:tcW w:type="dxa" w:w="3041"/>
          </w:tcPr>
          <w:p>
            <w:r>
              <w:rPr>
                <w:rFonts w:ascii="Times New Roman" w:hAnsi="Times New Roman"/>
                <w:b w:val="0"/>
                <w:sz w:val="20"/>
              </w:rPr>
              <w:t>BTS/DUT (BAC+2)</w:t>
            </w:r>
          </w:p>
        </w:tc>
        <w:tc>
          <w:tcPr>
            <w:tcW w:type="dxa" w:w="3041"/>
          </w:tcPr>
          <w:p>
            <w:r>
              <w:rPr>
                <w:rFonts w:ascii="Times New Roman" w:hAnsi="Times New Roman"/>
                <w:b w:val="0"/>
                <w:sz w:val="20"/>
              </w:rPr>
              <w:t>150 000</w:t>
            </w:r>
          </w:p>
        </w:tc>
      </w:tr>
      <w:tr>
        <w:tc>
          <w:tcPr>
            <w:tcW w:type="dxa" w:w="3041"/>
          </w:tcPr>
          <w:p>
            <w:r>
              <w:rPr>
                <w:rFonts w:ascii="Times New Roman" w:hAnsi="Times New Roman"/>
                <w:b w:val="0"/>
                <w:sz w:val="20"/>
              </w:rPr>
              <w:t>Technicien supérieur spécialisé</w:t>
            </w:r>
          </w:p>
        </w:tc>
        <w:tc>
          <w:tcPr>
            <w:tcW w:type="dxa" w:w="3041"/>
          </w:tcPr>
          <w:p>
            <w:r>
              <w:rPr>
                <w:rFonts w:ascii="Times New Roman" w:hAnsi="Times New Roman"/>
                <w:b w:val="0"/>
                <w:sz w:val="20"/>
              </w:rPr>
              <w:t>DTS/Licence (BAC+3)</w:t>
            </w:r>
          </w:p>
        </w:tc>
        <w:tc>
          <w:tcPr>
            <w:tcW w:type="dxa" w:w="3041"/>
          </w:tcPr>
          <w:p>
            <w:r>
              <w:rPr>
                <w:rFonts w:ascii="Times New Roman" w:hAnsi="Times New Roman"/>
                <w:b w:val="0"/>
                <w:sz w:val="20"/>
              </w:rPr>
              <w:t>175 000</w:t>
            </w:r>
          </w:p>
        </w:tc>
      </w:tr>
      <w:tr>
        <w:tc>
          <w:tcPr>
            <w:tcW w:type="dxa" w:w="3041"/>
          </w:tcPr>
          <w:p>
            <w:r>
              <w:rPr>
                <w:rFonts w:ascii="Times New Roman" w:hAnsi="Times New Roman"/>
                <w:b w:val="0"/>
                <w:sz w:val="20"/>
              </w:rPr>
              <w:t>Administrateur/Ingénieur</w:t>
            </w:r>
          </w:p>
        </w:tc>
        <w:tc>
          <w:tcPr>
            <w:tcW w:type="dxa" w:w="3041"/>
          </w:tcPr>
          <w:p>
            <w:r>
              <w:rPr>
                <w:rFonts w:ascii="Times New Roman" w:hAnsi="Times New Roman"/>
                <w:b w:val="0"/>
                <w:sz w:val="20"/>
              </w:rPr>
              <w:t>Master/Ingénieur (BAC+5)</w:t>
            </w:r>
          </w:p>
        </w:tc>
        <w:tc>
          <w:tcPr>
            <w:tcW w:type="dxa" w:w="3041"/>
          </w:tcPr>
          <w:p>
            <w:r>
              <w:rPr>
                <w:rFonts w:ascii="Times New Roman" w:hAnsi="Times New Roman"/>
                <w:b w:val="0"/>
                <w:sz w:val="20"/>
              </w:rPr>
              <w:t>250 000</w:t>
            </w:r>
          </w:p>
        </w:tc>
      </w:tr>
    </w:tbl>
    <w:p/>
    <w:p>
      <w:pPr>
        <w:pStyle w:val="Heading4"/>
      </w:pPr>
      <w:r>
        <w:rPr>
          <w:rFonts w:ascii="Times New Roman" w:hAnsi="Times New Roman"/>
          <w:color w:val="333333"/>
          <w:sz w:val="24"/>
        </w:rPr>
        <w:t>1.4.3 Portée, enjeux et effets attendus du PSIE</w:t>
      </w:r>
    </w:p>
    <w:p>
      <w:pPr>
        <w:pStyle w:val="Heading4"/>
      </w:pPr>
      <w:r>
        <w:rPr>
          <w:rFonts w:ascii="Times New Roman" w:hAnsi="Times New Roman"/>
          <w:color w:val="333333"/>
          <w:sz w:val="24"/>
        </w:rPr>
        <w:t>A. Portée quantitative et géographique</w:t>
      </w:r>
    </w:p>
    <w:p>
      <w:r>
        <w:rPr>
          <w:rFonts w:ascii="Times New Roman" w:hAnsi="Times New Roman"/>
          <w:sz w:val="24"/>
        </w:rPr>
        <w:t xml:space="preserve">Le PSIE est un programme </w:t>
      </w:r>
      <w:r>
        <w:rPr>
          <w:rFonts w:ascii="Times New Roman" w:hAnsi="Times New Roman"/>
          <w:b/>
          <w:sz w:val="24"/>
        </w:rPr>
        <w:t>d'envergure nationale</w:t>
      </w:r>
      <w:r>
        <w:rPr>
          <w:rFonts w:ascii="Times New Roman" w:hAnsi="Times New Roman"/>
          <w:sz w:val="24"/>
        </w:rPr>
        <w:t>, à portée multidimensionnelle :</w:t>
      </w:r>
    </w:p>
    <w:p>
      <w:pPr>
        <w:ind w:left="432"/>
      </w:pPr>
      <w:r>
        <w:rPr>
          <w:rFonts w:ascii="Times New Roman" w:hAnsi="Times New Roman"/>
          <w:sz w:val="24"/>
        </w:rPr>
      </w:r>
      <w:r>
        <w:rPr>
          <w:rFonts w:ascii="Times New Roman" w:hAnsi="Times New Roman"/>
          <w:b/>
          <w:sz w:val="24"/>
        </w:rPr>
        <w:t>Portée temporelle :</w:t>
      </w:r>
      <w:r>
        <w:rPr>
          <w:rFonts w:ascii="Times New Roman" w:hAnsi="Times New Roman"/>
          <w:sz w:val="24"/>
        </w:rPr>
        <w:t xml:space="preserve"> 5 ans de mise en œuvre initiale (2020-2024), prolongé au-delà de 2025 ;</w:t>
      </w:r>
    </w:p>
    <w:p>
      <w:pPr>
        <w:ind w:left="432"/>
      </w:pPr>
      <w:r>
        <w:rPr>
          <w:rFonts w:ascii="Times New Roman" w:hAnsi="Times New Roman"/>
          <w:sz w:val="24"/>
        </w:rPr>
      </w:r>
      <w:r>
        <w:rPr>
          <w:rFonts w:ascii="Times New Roman" w:hAnsi="Times New Roman"/>
          <w:b/>
          <w:sz w:val="24"/>
        </w:rPr>
        <w:t>Portée cible :</w:t>
      </w:r>
      <w:r>
        <w:rPr>
          <w:rFonts w:ascii="Times New Roman" w:hAnsi="Times New Roman"/>
          <w:sz w:val="24"/>
        </w:rPr>
        <w:t xml:space="preserve"> 2 000 nouveaux jeunes bénéficiaires par an, soit une cible initiale de </w:t>
      </w:r>
      <w:r>
        <w:rPr>
          <w:rFonts w:ascii="Times New Roman" w:hAnsi="Times New Roman"/>
          <w:b/>
          <w:sz w:val="24"/>
        </w:rPr>
        <w:t>8 000 bénéficiaires cumulés</w:t>
      </w:r>
      <w:r>
        <w:rPr>
          <w:rFonts w:ascii="Times New Roman" w:hAnsi="Times New Roman"/>
          <w:sz w:val="24"/>
        </w:rPr>
        <w:t xml:space="preserve"> sur la durée du programme (chaque cohorte de 2 000 étant en immersion sur deux années consécutives, le cumul en situation d'emploi pouvant atteindre 4 000 simultanément) ;</w:t>
      </w:r>
    </w:p>
    <w:p>
      <w:pPr>
        <w:ind w:left="432"/>
      </w:pPr>
      <w:r>
        <w:rPr>
          <w:rFonts w:ascii="Times New Roman" w:hAnsi="Times New Roman"/>
          <w:sz w:val="24"/>
        </w:rPr>
      </w:r>
      <w:r>
        <w:rPr>
          <w:rFonts w:ascii="Times New Roman" w:hAnsi="Times New Roman"/>
          <w:b/>
          <w:sz w:val="24"/>
        </w:rPr>
        <w:t>Portée entreprises :</w:t>
      </w:r>
      <w:r>
        <w:rPr>
          <w:rFonts w:ascii="Times New Roman" w:hAnsi="Times New Roman"/>
          <w:sz w:val="24"/>
        </w:rPr>
        <w:t xml:space="preserve"> l'ensemble des entreprises publiques et privées formelles de toutes tailles, réparties sur l'ensemble du territoire national ;</w:t>
      </w:r>
    </w:p>
    <w:p>
      <w:pPr>
        <w:ind w:left="432"/>
      </w:pPr>
      <w:r>
        <w:rPr>
          <w:rFonts w:ascii="Times New Roman" w:hAnsi="Times New Roman"/>
          <w:sz w:val="24"/>
        </w:rPr>
      </w:r>
      <w:r>
        <w:rPr>
          <w:rFonts w:ascii="Times New Roman" w:hAnsi="Times New Roman"/>
          <w:b/>
          <w:sz w:val="24"/>
        </w:rPr>
        <w:t>Portée géographique :</w:t>
      </w:r>
      <w:r>
        <w:rPr>
          <w:rFonts w:ascii="Times New Roman" w:hAnsi="Times New Roman"/>
          <w:sz w:val="24"/>
        </w:rPr>
        <w:t xml:space="preserve"> les </w:t>
      </w:r>
      <w:r>
        <w:rPr>
          <w:rFonts w:ascii="Times New Roman" w:hAnsi="Times New Roman"/>
          <w:b/>
          <w:sz w:val="24"/>
        </w:rPr>
        <w:t>12 départements du Bénin</w:t>
      </w:r>
      <w:r>
        <w:rPr>
          <w:rFonts w:ascii="Times New Roman" w:hAnsi="Times New Roman"/>
          <w:sz w:val="24"/>
        </w:rPr>
        <w:t>, avec un accent particulier sur les zones économiquement dynamiques (Littoral, Atlantique) et un objectif de déconcentration progressive vers les régions septentrionales.</w:t>
      </w:r>
    </w:p>
    <w:p>
      <w:pPr>
        <w:pStyle w:val="Heading4"/>
      </w:pPr>
      <w:r>
        <w:rPr>
          <w:rFonts w:ascii="Times New Roman" w:hAnsi="Times New Roman"/>
          <w:color w:val="333333"/>
          <w:sz w:val="24"/>
        </w:rPr>
        <w:t>B. Enjeux de politique publique</w:t>
      </w:r>
    </w:p>
    <w:p>
      <w:r>
        <w:rPr>
          <w:rFonts w:ascii="Times New Roman" w:hAnsi="Times New Roman"/>
          <w:sz w:val="24"/>
        </w:rPr>
        <w:t>Le PSIE s'inscrit au croisement de cinq enjeux structurants de la politique de l'emploi au Bénin.</w:t>
      </w:r>
    </w:p>
    <w:p>
      <w:r>
        <w:rPr>
          <w:rFonts w:ascii="Times New Roman" w:hAnsi="Times New Roman"/>
          <w:sz w:val="24"/>
        </w:rPr>
        <w:t xml:space="preserve">Le premier est l'enjeu du </w:t>
      </w:r>
      <w:r>
        <w:rPr>
          <w:rFonts w:ascii="Times New Roman" w:hAnsi="Times New Roman"/>
          <w:b/>
          <w:sz w:val="24"/>
        </w:rPr>
        <w:t>dividende démographique</w:t>
      </w:r>
      <w:r>
        <w:rPr>
          <w:rFonts w:ascii="Times New Roman" w:hAnsi="Times New Roman"/>
          <w:sz w:val="24"/>
        </w:rPr>
        <w:t>. Avec plus de quatre millions de Béninois de moins de 40 ans, soit 34 % de la population, le pays dispose d'un potentiel humain considérable. Sans mécanismes d'insertion productive, ce dividende risque de se muer en pression sociale. Le PSIE représente une réponse institutionnelle visant à convertir ce potentiel en levier de croissance.</w:t>
      </w:r>
    </w:p>
    <w:p>
      <w:r>
        <w:rPr>
          <w:rFonts w:ascii="Times New Roman" w:hAnsi="Times New Roman"/>
          <w:sz w:val="24"/>
        </w:rPr>
        <w:t xml:space="preserve">Le deuxième enjeu est celui de la </w:t>
      </w:r>
      <w:r>
        <w:rPr>
          <w:rFonts w:ascii="Times New Roman" w:hAnsi="Times New Roman"/>
          <w:b/>
          <w:sz w:val="24"/>
        </w:rPr>
        <w:t>formalisation de l'emploi</w:t>
      </w:r>
      <w:r>
        <w:rPr>
          <w:rFonts w:ascii="Times New Roman" w:hAnsi="Times New Roman"/>
          <w:sz w:val="24"/>
        </w:rPr>
        <w:t>. En imposant des contrats à durée déterminée formels, assortis d'affiliations obligatoires à la CNSS et à l'IRPP, le programme contribue à l'élargissement progressif de l'économie formelle. Chaque bénéficiaire inséré constitue une unité supplémentaire de travail déclaré.</w:t>
      </w:r>
    </w:p>
    <w:p>
      <w:r>
        <w:rPr>
          <w:rFonts w:ascii="Times New Roman" w:hAnsi="Times New Roman"/>
          <w:sz w:val="24"/>
        </w:rPr>
        <w:t xml:space="preserve">Le troisième enjeu concerne la </w:t>
      </w:r>
      <w:r>
        <w:rPr>
          <w:rFonts w:ascii="Times New Roman" w:hAnsi="Times New Roman"/>
          <w:b/>
          <w:sz w:val="24"/>
        </w:rPr>
        <w:t>compétitivité des entreprises</w:t>
      </w:r>
      <w:r>
        <w:rPr>
          <w:rFonts w:ascii="Times New Roman" w:hAnsi="Times New Roman"/>
          <w:sz w:val="24"/>
        </w:rPr>
        <w:t>. En donnant accès à des compétences qualifiées à coût salarial réduit, notamment pour les PME/PMI, le PSIE soutient le tissu productif tout en cherchant à ancrer une culture durable de valorisation du capital humain qualifié.</w:t>
      </w:r>
    </w:p>
    <w:p>
      <w:r>
        <w:rPr>
          <w:rFonts w:ascii="Times New Roman" w:hAnsi="Times New Roman"/>
          <w:sz w:val="24"/>
        </w:rPr>
        <w:t>Le quatrième enjeu est celui de l'</w:t>
      </w:r>
      <w:r>
        <w:rPr>
          <w:rFonts w:ascii="Times New Roman" w:hAnsi="Times New Roman"/>
          <w:b/>
          <w:sz w:val="24"/>
        </w:rPr>
        <w:t>articulation formation-emploi</w:t>
      </w:r>
      <w:r>
        <w:rPr>
          <w:rFonts w:ascii="Times New Roman" w:hAnsi="Times New Roman"/>
          <w:sz w:val="24"/>
        </w:rPr>
        <w:t>. Le programme crée un espace de transition structuré entre la formation initiale et l'emploi durable, permettant aux jeunes diplômés de valoriser leurs qualifications par une expérience professionnelle encadrée.</w:t>
      </w:r>
    </w:p>
    <w:p>
      <w:r>
        <w:rPr>
          <w:rFonts w:ascii="Times New Roman" w:hAnsi="Times New Roman"/>
          <w:sz w:val="24"/>
        </w:rPr>
        <w:t>Le cinquième enjeu, enfin, est celui de l'</w:t>
      </w:r>
      <w:r>
        <w:rPr>
          <w:rFonts w:ascii="Times New Roman" w:hAnsi="Times New Roman"/>
          <w:b/>
          <w:sz w:val="24"/>
        </w:rPr>
        <w:t>équité territoriale</w:t>
      </w:r>
      <w:r>
        <w:rPr>
          <w:rFonts w:ascii="Times New Roman" w:hAnsi="Times New Roman"/>
          <w:sz w:val="24"/>
        </w:rPr>
        <w:t>. La concentration de 85,5 % des insertions dans les départements du Littoral et de l'Atlantique révèle un défi géographique majeur. L'enjeu est d'assurer que les opportunités d'emploi formel se diffusent progressivement vers les régions septentrionales, où se concentre une part importante de la pauvreté.</w:t>
      </w:r>
    </w:p>
    <w:p>
      <w:pPr>
        <w:pStyle w:val="Heading4"/>
      </w:pPr>
      <w:r>
        <w:rPr>
          <w:rFonts w:ascii="Times New Roman" w:hAnsi="Times New Roman"/>
          <w:color w:val="333333"/>
          <w:sz w:val="24"/>
        </w:rPr>
        <w:t>C. Effets attendus du PSIE à trois niveaux</w:t>
      </w:r>
    </w:p>
    <w:p>
      <w:r>
        <w:rPr>
          <w:rFonts w:ascii="Times New Roman" w:hAnsi="Times New Roman"/>
          <w:sz w:val="24"/>
        </w:rPr>
        <w:t>Le PSIE est conçu pour produire des effets à différents horizons temporels, pour des groupes d'acteurs distincts :</w:t>
      </w:r>
    </w:p>
    <w:p>
      <w:r>
        <w:rPr>
          <w:rFonts w:ascii="Times New Roman" w:hAnsi="Times New Roman"/>
          <w:sz w:val="24"/>
        </w:rPr>
      </w:r>
      <w:r>
        <w:rPr>
          <w:rFonts w:ascii="Times New Roman" w:hAnsi="Times New Roman"/>
          <w:b/>
          <w:sz w:val="24"/>
        </w:rPr>
        <w:t>Effets immédiats (court terme — pendant la période d'immersion de 24 mois) :</w:t>
      </w:r>
      <w:r>
        <w:rPr>
          <w:rFonts w:ascii="Times New Roman" w:hAnsi="Times New Roman"/>
          <w:sz w:val="24"/>
        </w:rPr>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Bénéficiaire</w:t>
            </w:r>
          </w:p>
        </w:tc>
        <w:tc>
          <w:tcPr>
            <w:tcW w:type="dxa" w:w="4561"/>
            <w:shd w:val="clear" w:color="auto" w:fill="003366"/>
          </w:tcPr>
          <w:p>
            <w:r>
              <w:rPr>
                <w:rFonts w:ascii="Times New Roman" w:hAnsi="Times New Roman"/>
                <w:b/>
                <w:color w:val="FFFFFF"/>
                <w:sz w:val="20"/>
              </w:rPr>
              <w:t>Effet attendu</w:t>
            </w:r>
          </w:p>
        </w:tc>
      </w:tr>
      <w:tr>
        <w:tc>
          <w:tcPr>
            <w:tcW w:type="dxa" w:w="4561"/>
          </w:tcPr>
          <w:p>
            <w:r>
              <w:rPr>
                <w:rFonts w:ascii="Times New Roman" w:hAnsi="Times New Roman"/>
                <w:b w:val="0"/>
                <w:sz w:val="20"/>
              </w:rPr>
              <w:t>Jeunes allocataires</w:t>
            </w:r>
          </w:p>
        </w:tc>
        <w:tc>
          <w:tcPr>
            <w:tcW w:type="dxa" w:w="4561"/>
          </w:tcPr>
          <w:p>
            <w:r>
              <w:rPr>
                <w:rFonts w:ascii="Times New Roman" w:hAnsi="Times New Roman"/>
                <w:b w:val="0"/>
                <w:sz w:val="20"/>
              </w:rPr>
              <w:t>Accès à un premier emploi formel rémunéré ; acquisition d'une expérience professionnelle encadrée ; développement des compétences métiers et transversales (déontologie, savoir-vivre, gestion de poste)</w:t>
            </w:r>
          </w:p>
        </w:tc>
      </w:tr>
      <w:tr>
        <w:tc>
          <w:tcPr>
            <w:tcW w:type="dxa" w:w="4561"/>
          </w:tcPr>
          <w:p>
            <w:r>
              <w:rPr>
                <w:rFonts w:ascii="Times New Roman" w:hAnsi="Times New Roman"/>
                <w:b w:val="0"/>
                <w:sz w:val="20"/>
              </w:rPr>
              <w:t>Entreprises bénéficiaires</w:t>
            </w:r>
          </w:p>
        </w:tc>
        <w:tc>
          <w:tcPr>
            <w:tcW w:type="dxa" w:w="4561"/>
          </w:tcPr>
          <w:p>
            <w:r>
              <w:rPr>
                <w:rFonts w:ascii="Times New Roman" w:hAnsi="Times New Roman"/>
                <w:b w:val="0"/>
                <w:sz w:val="20"/>
              </w:rPr>
              <w:t>Accès à des ressources humaines qualifiées à coût nul sur 24 mois ; amélioration de la productivité ; test des profils avant une éventuelle embauche permanente</w:t>
            </w:r>
          </w:p>
        </w:tc>
      </w:tr>
      <w:tr>
        <w:tc>
          <w:tcPr>
            <w:tcW w:type="dxa" w:w="4561"/>
          </w:tcPr>
          <w:p>
            <w:r>
              <w:rPr>
                <w:rFonts w:ascii="Times New Roman" w:hAnsi="Times New Roman"/>
                <w:b w:val="0"/>
                <w:sz w:val="20"/>
              </w:rPr>
              <w:t>Écosystème de l'emploi</w:t>
            </w:r>
          </w:p>
        </w:tc>
        <w:tc>
          <w:tcPr>
            <w:tcW w:type="dxa" w:w="4561"/>
          </w:tcPr>
          <w:p>
            <w:r>
              <w:rPr>
                <w:rFonts w:ascii="Times New Roman" w:hAnsi="Times New Roman"/>
                <w:b w:val="0"/>
                <w:sz w:val="20"/>
              </w:rPr>
              <w:t>Dynamisation du marché de l'emploi formel ; visibilité accrue des offres grâce à la plateforme PSIE</w:t>
            </w:r>
          </w:p>
        </w:tc>
      </w:tr>
    </w:tbl>
    <w:p/>
    <w:p>
      <w:r>
        <w:rPr>
          <w:rFonts w:ascii="Times New Roman" w:hAnsi="Times New Roman"/>
          <w:sz w:val="24"/>
        </w:rPr>
      </w:r>
      <w:r>
        <w:rPr>
          <w:rFonts w:ascii="Times New Roman" w:hAnsi="Times New Roman"/>
          <w:b/>
          <w:sz w:val="24"/>
        </w:rPr>
        <w:t>Effets intermédiaires (moyen terme — à la sortie du programme) :</w:t>
      </w:r>
      <w:r>
        <w:rPr>
          <w:rFonts w:ascii="Times New Roman" w:hAnsi="Times New Roman"/>
          <w:sz w:val="24"/>
        </w:rPr>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Bénéficiaire</w:t>
            </w:r>
          </w:p>
        </w:tc>
        <w:tc>
          <w:tcPr>
            <w:tcW w:type="dxa" w:w="4561"/>
            <w:shd w:val="clear" w:color="auto" w:fill="003366"/>
          </w:tcPr>
          <w:p>
            <w:r>
              <w:rPr>
                <w:rFonts w:ascii="Times New Roman" w:hAnsi="Times New Roman"/>
                <w:b/>
                <w:color w:val="FFFFFF"/>
                <w:sz w:val="20"/>
              </w:rPr>
              <w:t>Effet attendu</w:t>
            </w:r>
          </w:p>
        </w:tc>
      </w:tr>
      <w:tr>
        <w:tc>
          <w:tcPr>
            <w:tcW w:type="dxa" w:w="4561"/>
          </w:tcPr>
          <w:p>
            <w:r>
              <w:rPr>
                <w:rFonts w:ascii="Times New Roman" w:hAnsi="Times New Roman"/>
                <w:b w:val="0"/>
                <w:sz w:val="20"/>
              </w:rPr>
              <w:t>Jeunes allocataires</w:t>
            </w:r>
          </w:p>
        </w:tc>
        <w:tc>
          <w:tcPr>
            <w:tcW w:type="dxa" w:w="4561"/>
          </w:tcPr>
          <w:p>
            <w:r>
              <w:rPr>
                <w:rFonts w:ascii="Times New Roman" w:hAnsi="Times New Roman"/>
                <w:b w:val="0"/>
                <w:sz w:val="20"/>
              </w:rPr>
              <w:t>Amélioration de l'employabilité ; insertion durable dans l'emploi salarié ou dans l'auto-emploi ; réduction du chômage de longue durée des jeunes diplômés</w:t>
            </w:r>
          </w:p>
        </w:tc>
      </w:tr>
      <w:tr>
        <w:tc>
          <w:tcPr>
            <w:tcW w:type="dxa" w:w="4561"/>
          </w:tcPr>
          <w:p>
            <w:r>
              <w:rPr>
                <w:rFonts w:ascii="Times New Roman" w:hAnsi="Times New Roman"/>
                <w:b w:val="0"/>
                <w:sz w:val="20"/>
              </w:rPr>
              <w:t>Entreprises bénéficiaires</w:t>
            </w:r>
          </w:p>
        </w:tc>
        <w:tc>
          <w:tcPr>
            <w:tcW w:type="dxa" w:w="4561"/>
          </w:tcPr>
          <w:p>
            <w:r>
              <w:rPr>
                <w:rFonts w:ascii="Times New Roman" w:hAnsi="Times New Roman"/>
                <w:b w:val="0"/>
                <w:sz w:val="20"/>
              </w:rPr>
              <w:t>Modification durable des comportements d'embauche (réduction de la réticence à embaucher des jeunes qualifiés) ; renforcement des capacités de gestion des ressources humaines</w:t>
            </w:r>
          </w:p>
        </w:tc>
      </w:tr>
      <w:tr>
        <w:tc>
          <w:tcPr>
            <w:tcW w:type="dxa" w:w="4561"/>
          </w:tcPr>
          <w:p>
            <w:r>
              <w:rPr>
                <w:rFonts w:ascii="Times New Roman" w:hAnsi="Times New Roman"/>
                <w:b w:val="0"/>
                <w:sz w:val="20"/>
              </w:rPr>
              <w:t>Marché du travail</w:t>
            </w:r>
          </w:p>
        </w:tc>
        <w:tc>
          <w:tcPr>
            <w:tcW w:type="dxa" w:w="4561"/>
          </w:tcPr>
          <w:p>
            <w:r>
              <w:rPr>
                <w:rFonts w:ascii="Times New Roman" w:hAnsi="Times New Roman"/>
                <w:b w:val="0"/>
                <w:sz w:val="20"/>
              </w:rPr>
              <w:t>Réduction du taux de sous-emploi des jeunes ; augmentation du volume d'emplois formels</w:t>
            </w:r>
          </w:p>
        </w:tc>
      </w:tr>
    </w:tbl>
    <w:p/>
    <w:p>
      <w:r>
        <w:rPr>
          <w:rFonts w:ascii="Times New Roman" w:hAnsi="Times New Roman"/>
          <w:sz w:val="24"/>
        </w:rPr>
      </w:r>
      <w:r>
        <w:rPr>
          <w:rFonts w:ascii="Times New Roman" w:hAnsi="Times New Roman"/>
          <w:b/>
          <w:sz w:val="24"/>
        </w:rPr>
        <w:t>Effets à long terme (impact — 3 à 5 ans après le programme) :</w:t>
      </w:r>
      <w:r>
        <w:rPr>
          <w:rFonts w:ascii="Times New Roman" w:hAnsi="Times New Roman"/>
          <w:sz w:val="24"/>
        </w:rPr>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Niveau</w:t>
            </w:r>
          </w:p>
        </w:tc>
        <w:tc>
          <w:tcPr>
            <w:tcW w:type="dxa" w:w="4561"/>
            <w:shd w:val="clear" w:color="auto" w:fill="003366"/>
          </w:tcPr>
          <w:p>
            <w:r>
              <w:rPr>
                <w:rFonts w:ascii="Times New Roman" w:hAnsi="Times New Roman"/>
                <w:b/>
                <w:color w:val="FFFFFF"/>
                <w:sz w:val="20"/>
              </w:rPr>
              <w:t>Impact attendu</w:t>
            </w:r>
          </w:p>
        </w:tc>
      </w:tr>
      <w:tr>
        <w:tc>
          <w:tcPr>
            <w:tcW w:type="dxa" w:w="4561"/>
          </w:tcPr>
          <w:p>
            <w:r>
              <w:rPr>
                <w:rFonts w:ascii="Times New Roman" w:hAnsi="Times New Roman"/>
                <w:b w:val="0"/>
                <w:sz w:val="20"/>
              </w:rPr>
              <w:t>Individuel</w:t>
            </w:r>
          </w:p>
        </w:tc>
        <w:tc>
          <w:tcPr>
            <w:tcW w:type="dxa" w:w="4561"/>
          </w:tcPr>
          <w:p>
            <w:r>
              <w:rPr>
                <w:rFonts w:ascii="Times New Roman" w:hAnsi="Times New Roman"/>
                <w:b w:val="0"/>
                <w:sz w:val="20"/>
              </w:rPr>
              <w:t>Amélioration durable des revenus des anciens bénéficiaires ; réduction de la vulnérabilité économique des ménages</w:t>
            </w:r>
          </w:p>
        </w:tc>
      </w:tr>
      <w:tr>
        <w:tc>
          <w:tcPr>
            <w:tcW w:type="dxa" w:w="4561"/>
          </w:tcPr>
          <w:p>
            <w:r>
              <w:rPr>
                <w:rFonts w:ascii="Times New Roman" w:hAnsi="Times New Roman"/>
                <w:b w:val="0"/>
                <w:sz w:val="20"/>
              </w:rPr>
              <w:t>Sectoriel</w:t>
            </w:r>
          </w:p>
        </w:tc>
        <w:tc>
          <w:tcPr>
            <w:tcW w:type="dxa" w:w="4561"/>
          </w:tcPr>
          <w:p>
            <w:r>
              <w:rPr>
                <w:rFonts w:ascii="Times New Roman" w:hAnsi="Times New Roman"/>
                <w:b w:val="0"/>
                <w:sz w:val="20"/>
              </w:rPr>
              <w:t>Augmentation de la productivité dans les secteurs d'accueil ; diffusion d'une culture du travail qualifié dans les PME/PMI</w:t>
            </w:r>
          </w:p>
        </w:tc>
      </w:tr>
      <w:tr>
        <w:tc>
          <w:tcPr>
            <w:tcW w:type="dxa" w:w="4561"/>
          </w:tcPr>
          <w:p>
            <w:r>
              <w:rPr>
                <w:rFonts w:ascii="Times New Roman" w:hAnsi="Times New Roman"/>
                <w:b w:val="0"/>
                <w:sz w:val="20"/>
              </w:rPr>
              <w:t>Macroéconomique</w:t>
            </w:r>
          </w:p>
        </w:tc>
        <w:tc>
          <w:tcPr>
            <w:tcW w:type="dxa" w:w="4561"/>
          </w:tcPr>
          <w:p>
            <w:r>
              <w:rPr>
                <w:rFonts w:ascii="Times New Roman" w:hAnsi="Times New Roman"/>
                <w:b w:val="0"/>
                <w:sz w:val="20"/>
              </w:rPr>
              <w:t>Contribution à la réduction du taux de sous-emploi des jeunes (actuellement 72 %) ; appui à la réalisation des objectifs du PAG en matière de croissance économique inclusive</w:t>
            </w:r>
          </w:p>
        </w:tc>
      </w:tr>
    </w:tbl>
    <w:p/>
    <w:p>
      <w:pPr>
        <w:pStyle w:val="Heading4"/>
      </w:pPr>
      <w:r>
        <w:rPr>
          <w:rFonts w:ascii="Times New Roman" w:hAnsi="Times New Roman"/>
          <w:color w:val="333333"/>
          <w:sz w:val="24"/>
        </w:rPr>
        <w:t>1.4.4 Théorie de changement du PSIE</w:t>
      </w:r>
    </w:p>
    <w:p>
      <w:r>
        <w:rPr>
          <w:rFonts w:ascii="Times New Roman" w:hAnsi="Times New Roman"/>
          <w:sz w:val="24"/>
        </w:rPr>
        <w:t>La théorie de changement (TdC) du PSIE est la représentation explicite de la logique causale par laquelle le programme entend produire les changements attendus sur le marché du travail béninois. Elle articule le problème central, les hypothèses causales, les mécanismes d'intervention et la chaîne de résultats.</w:t>
      </w:r>
    </w:p>
    <w:p>
      <w:pPr>
        <w:pStyle w:val="Heading4"/>
      </w:pPr>
      <w:r>
        <w:rPr>
          <w:rFonts w:ascii="Times New Roman" w:hAnsi="Times New Roman"/>
          <w:color w:val="333333"/>
          <w:sz w:val="24"/>
        </w:rPr>
        <w:t>A. Énoncé du problème central</w:t>
      </w:r>
    </w:p>
    <w:p>
      <w:r>
        <w:rPr>
          <w:rFonts w:ascii="Times New Roman" w:hAnsi="Times New Roman"/>
          <w:sz w:val="24"/>
        </w:rPr>
        <w:t xml:space="preserve">Le PSIE part d'un </w:t>
      </w:r>
      <w:r>
        <w:rPr>
          <w:rFonts w:ascii="Times New Roman" w:hAnsi="Times New Roman"/>
          <w:b/>
          <w:sz w:val="24"/>
        </w:rPr>
        <w:t>double constat de blocage structurel sur le marché du travail béninois</w:t>
      </w:r>
      <w:r>
        <w:rPr>
          <w:rFonts w:ascii="Times New Roman" w:hAnsi="Times New Roman"/>
          <w:sz w:val="24"/>
        </w:rPr>
        <w:t xml:space="preserve"> :</w:t>
      </w:r>
    </w:p>
    <w:p>
      <w:pPr>
        <w:ind w:left="432"/>
      </w:pPr>
      <w:r>
        <w:rPr>
          <w:rFonts w:ascii="Times New Roman" w:hAnsi="Times New Roman"/>
          <w:sz w:val="24"/>
        </w:rPr>
      </w:r>
      <w:r>
        <w:rPr>
          <w:rFonts w:ascii="Times New Roman" w:hAnsi="Times New Roman"/>
          <w:b/>
          <w:sz w:val="24"/>
        </w:rPr>
        <w:t>Côté offre de travail :</w:t>
      </w:r>
      <w:r>
        <w:rPr>
          <w:rFonts w:ascii="Times New Roman" w:hAnsi="Times New Roman"/>
          <w:sz w:val="24"/>
        </w:rPr>
        <w:t xml:space="preserve"> Les jeunes diplômés béninois (BAC à Master) sont en nombre croissant mais peinent à accéder au marché du travail formel faute d'expérience professionnelle. Sans premier emploi, ils ne peuvent acquérir cette expérience ; sans cette expérience, ils ne peuvent décrocher un premier emploi — un cercle vicieux qui les condamne au sous-emploi informel ou au chômage (72 % de taux de sous-emploi, INSAE 2017).</w:t>
      </w:r>
    </w:p>
    <w:p>
      <w:pPr>
        <w:ind w:left="432"/>
      </w:pPr>
      <w:r>
        <w:rPr>
          <w:rFonts w:ascii="Times New Roman" w:hAnsi="Times New Roman"/>
          <w:sz w:val="24"/>
        </w:rPr>
      </w:r>
      <w:r>
        <w:rPr>
          <w:rFonts w:ascii="Times New Roman" w:hAnsi="Times New Roman"/>
          <w:b/>
          <w:sz w:val="24"/>
        </w:rPr>
        <w:t>Côté demande de travail :</w:t>
      </w:r>
      <w:r>
        <w:rPr>
          <w:rFonts w:ascii="Times New Roman" w:hAnsi="Times New Roman"/>
          <w:sz w:val="24"/>
        </w:rPr>
        <w:t xml:space="preserve"> Les entreprises — en particulier les PME/PMI qui représentent la majeure partie du tissu économique formel béninois — ont des besoins réels en ressources humaines qualifiées, mais hésitent à embaucher en raison de la charge salariale immédiate qu'elles doivent assumer dès le premier jour, sans garantie de retour sur investissement.</w:t>
      </w:r>
    </w:p>
    <w:p>
      <w:r>
        <w:rPr>
          <w:rFonts w:ascii="Times New Roman" w:hAnsi="Times New Roman"/>
          <w:sz w:val="24"/>
        </w:rPr>
      </w:r>
      <w:r>
        <w:rPr>
          <w:rFonts w:ascii="Times New Roman" w:hAnsi="Times New Roman"/>
          <w:b/>
          <w:sz w:val="24"/>
        </w:rPr>
        <w:t>Le nœud causal :</w:t>
      </w:r>
      <w:r>
        <w:rPr>
          <w:rFonts w:ascii="Times New Roman" w:hAnsi="Times New Roman"/>
          <w:sz w:val="24"/>
        </w:rPr>
        <w:t xml:space="preserve"> La rencontre entre l'offre et la demande de travail qualifié est bloquée par une </w:t>
      </w:r>
      <w:r>
        <w:rPr>
          <w:rFonts w:ascii="Times New Roman" w:hAnsi="Times New Roman"/>
          <w:b/>
          <w:sz w:val="24"/>
        </w:rPr>
        <w:t>asymétrie d'information et une contrainte financière à l'embauche</w:t>
      </w:r>
      <w:r>
        <w:rPr>
          <w:rFonts w:ascii="Times New Roman" w:hAnsi="Times New Roman"/>
          <w:sz w:val="24"/>
        </w:rPr>
        <w:t>. Ni les jeunes ne peuvent démontrer leur valeur productive sans accès à un emploi, ni les entreprises ne peuvent s'assurer de la qualité d'un candidat sans l'avoir mis à l'épreuve.</w:t>
      </w:r>
    </w:p>
    <w:p>
      <w:pPr>
        <w:pStyle w:val="Heading4"/>
      </w:pPr>
      <w:r>
        <w:rPr>
          <w:rFonts w:ascii="Times New Roman" w:hAnsi="Times New Roman"/>
          <w:color w:val="333333"/>
          <w:sz w:val="24"/>
        </w:rPr>
        <w:t>B. Logique causale (Si... Alors...)</w:t>
      </w:r>
    </w:p>
    <w:p>
      <w:r>
        <w:rPr>
          <w:rFonts w:ascii="Times New Roman" w:hAnsi="Times New Roman"/>
          <w:sz w:val="24"/>
        </w:rPr>
        <w:t xml:space="preserve">Le PSIE repose sur une </w:t>
      </w:r>
      <w:r>
        <w:rPr>
          <w:rFonts w:ascii="Times New Roman" w:hAnsi="Times New Roman"/>
          <w:b/>
          <w:sz w:val="24"/>
        </w:rPr>
        <w:t>chaîne causale en quatre liens</w:t>
      </w:r>
      <w:r>
        <w:rPr>
          <w:rFonts w:ascii="Times New Roman" w:hAnsi="Times New Roman"/>
          <w:sz w:val="24"/>
        </w:rPr>
        <w:t xml:space="preserve"> :</w:t>
      </w:r>
    </w:p>
    <w:p>
      <w:r>
        <w:rPr>
          <w:rFonts w:ascii="Times New Roman" w:hAnsi="Times New Roman"/>
          <w:sz w:val="24"/>
        </w:rPr>
      </w:r>
      <w:r>
        <w:rPr>
          <w:rFonts w:ascii="Times New Roman" w:hAnsi="Times New Roman"/>
          <w:b/>
          <w:sz w:val="24"/>
        </w:rPr>
        <w:t>Lien 1 :</w:t>
      </w:r>
      <w:r>
        <w:rPr>
          <w:rFonts w:ascii="Times New Roman" w:hAnsi="Times New Roman"/>
          <w:sz w:val="24"/>
        </w:rPr>
        <w:t xml:space="preserve"> </w:t>
      </w:r>
      <w:r>
        <w:rPr>
          <w:rFonts w:ascii="Times New Roman" w:hAnsi="Times New Roman"/>
          <w:i/>
          <w:sz w:val="24"/>
        </w:rPr>
        <w:t>Si</w:t>
      </w:r>
      <w:r>
        <w:rPr>
          <w:rFonts w:ascii="Times New Roman" w:hAnsi="Times New Roman"/>
          <w:sz w:val="24"/>
        </w:rPr>
        <w:t xml:space="preserve"> l'État prend en charge 100 % du coût salarial des nouvelles recrues pendant 24 mois, </w:t>
      </w:r>
      <w:r>
        <w:rPr>
          <w:rFonts w:ascii="Times New Roman" w:hAnsi="Times New Roman"/>
          <w:i/>
          <w:sz w:val="24"/>
        </w:rPr>
        <w:t>alors</w:t>
      </w:r>
      <w:r>
        <w:rPr>
          <w:rFonts w:ascii="Times New Roman" w:hAnsi="Times New Roman"/>
          <w:sz w:val="24"/>
        </w:rPr>
        <w:t xml:space="preserve"> la contrainte financière à l'embauche est levée pour les entreprises.</w:t>
      </w:r>
    </w:p>
    <w:p>
      <w:r>
        <w:rPr>
          <w:rFonts w:ascii="Times New Roman" w:hAnsi="Times New Roman"/>
          <w:sz w:val="24"/>
        </w:rPr>
      </w:r>
      <w:r>
        <w:rPr>
          <w:rFonts w:ascii="Times New Roman" w:hAnsi="Times New Roman"/>
          <w:b/>
          <w:sz w:val="24"/>
        </w:rPr>
        <w:t>Lien 2 :</w:t>
      </w:r>
      <w:r>
        <w:rPr>
          <w:rFonts w:ascii="Times New Roman" w:hAnsi="Times New Roman"/>
          <w:sz w:val="24"/>
        </w:rPr>
        <w:t xml:space="preserve"> </w:t>
      </w:r>
      <w:r>
        <w:rPr>
          <w:rFonts w:ascii="Times New Roman" w:hAnsi="Times New Roman"/>
          <w:i/>
          <w:sz w:val="24"/>
        </w:rPr>
        <w:t>Si</w:t>
      </w:r>
      <w:r>
        <w:rPr>
          <w:rFonts w:ascii="Times New Roman" w:hAnsi="Times New Roman"/>
          <w:sz w:val="24"/>
        </w:rPr>
        <w:t xml:space="preserve"> la contrainte financière est levée </w:t>
      </w:r>
      <w:r>
        <w:rPr>
          <w:rFonts w:ascii="Times New Roman" w:hAnsi="Times New Roman"/>
          <w:i/>
          <w:sz w:val="24"/>
        </w:rPr>
        <w:t>et</w:t>
      </w:r>
      <w:r>
        <w:rPr>
          <w:rFonts w:ascii="Times New Roman" w:hAnsi="Times New Roman"/>
          <w:sz w:val="24"/>
        </w:rPr>
        <w:t xml:space="preserve"> qu'un mécanisme de sélection rigoureux permet d'apparier les profils des candidats avec les besoins réels des entreprises, </w:t>
      </w:r>
      <w:r>
        <w:rPr>
          <w:rFonts w:ascii="Times New Roman" w:hAnsi="Times New Roman"/>
          <w:i/>
          <w:sz w:val="24"/>
        </w:rPr>
        <w:t>alors</w:t>
      </w:r>
      <w:r>
        <w:rPr>
          <w:rFonts w:ascii="Times New Roman" w:hAnsi="Times New Roman"/>
          <w:sz w:val="24"/>
        </w:rPr>
        <w:t xml:space="preserve"> les entreprises augmenteront leur volume d'embauche de jeunes qualifiés.</w:t>
      </w:r>
    </w:p>
    <w:p>
      <w:r>
        <w:rPr>
          <w:rFonts w:ascii="Times New Roman" w:hAnsi="Times New Roman"/>
          <w:sz w:val="24"/>
        </w:rPr>
      </w:r>
      <w:r>
        <w:rPr>
          <w:rFonts w:ascii="Times New Roman" w:hAnsi="Times New Roman"/>
          <w:b/>
          <w:sz w:val="24"/>
        </w:rPr>
        <w:t>Lien 3 :</w:t>
      </w:r>
      <w:r>
        <w:rPr>
          <w:rFonts w:ascii="Times New Roman" w:hAnsi="Times New Roman"/>
          <w:sz w:val="24"/>
        </w:rPr>
        <w:t xml:space="preserve"> </w:t>
      </w:r>
      <w:r>
        <w:rPr>
          <w:rFonts w:ascii="Times New Roman" w:hAnsi="Times New Roman"/>
          <w:i/>
          <w:sz w:val="24"/>
        </w:rPr>
        <w:t>Si</w:t>
      </w:r>
      <w:r>
        <w:rPr>
          <w:rFonts w:ascii="Times New Roman" w:hAnsi="Times New Roman"/>
          <w:sz w:val="24"/>
        </w:rPr>
        <w:t xml:space="preserve"> les jeunes sont mis en immersion dans des entreprises encadrées par des tuteurs/mentors </w:t>
      </w:r>
      <w:r>
        <w:rPr>
          <w:rFonts w:ascii="Times New Roman" w:hAnsi="Times New Roman"/>
          <w:i/>
          <w:sz w:val="24"/>
        </w:rPr>
        <w:t>et</w:t>
      </w:r>
      <w:r>
        <w:rPr>
          <w:rFonts w:ascii="Times New Roman" w:hAnsi="Times New Roman"/>
          <w:sz w:val="24"/>
        </w:rPr>
        <w:t xml:space="preserve"> bénéficient d'un accompagnement à l'employabilité (formation, coaching, ateliers), </w:t>
      </w:r>
      <w:r>
        <w:rPr>
          <w:rFonts w:ascii="Times New Roman" w:hAnsi="Times New Roman"/>
          <w:i/>
          <w:sz w:val="24"/>
        </w:rPr>
        <w:t>alors</w:t>
      </w:r>
      <w:r>
        <w:rPr>
          <w:rFonts w:ascii="Times New Roman" w:hAnsi="Times New Roman"/>
          <w:sz w:val="24"/>
        </w:rPr>
        <w:t xml:space="preserve"> ils acquièrent une expérience professionnelle concrète qui améliore durablement leur employabilité.</w:t>
      </w:r>
    </w:p>
    <w:p>
      <w:r>
        <w:rPr>
          <w:rFonts w:ascii="Times New Roman" w:hAnsi="Times New Roman"/>
          <w:sz w:val="24"/>
        </w:rPr>
      </w:r>
      <w:r>
        <w:rPr>
          <w:rFonts w:ascii="Times New Roman" w:hAnsi="Times New Roman"/>
          <w:b/>
          <w:sz w:val="24"/>
        </w:rPr>
        <w:t>Lien 4 :</w:t>
      </w:r>
      <w:r>
        <w:rPr>
          <w:rFonts w:ascii="Times New Roman" w:hAnsi="Times New Roman"/>
          <w:sz w:val="24"/>
        </w:rPr>
        <w:t xml:space="preserve"> </w:t>
      </w:r>
      <w:r>
        <w:rPr>
          <w:rFonts w:ascii="Times New Roman" w:hAnsi="Times New Roman"/>
          <w:i/>
          <w:sz w:val="24"/>
        </w:rPr>
        <w:t>Si</w:t>
      </w:r>
      <w:r>
        <w:rPr>
          <w:rFonts w:ascii="Times New Roman" w:hAnsi="Times New Roman"/>
          <w:sz w:val="24"/>
        </w:rPr>
        <w:t xml:space="preserve"> les jeunes acquièrent cette expérience et démontrent leur valeur productive </w:t>
      </w:r>
      <w:r>
        <w:rPr>
          <w:rFonts w:ascii="Times New Roman" w:hAnsi="Times New Roman"/>
          <w:i/>
          <w:sz w:val="24"/>
        </w:rPr>
        <w:t>et</w:t>
      </w:r>
      <w:r>
        <w:rPr>
          <w:rFonts w:ascii="Times New Roman" w:hAnsi="Times New Roman"/>
          <w:sz w:val="24"/>
        </w:rPr>
        <w:t xml:space="preserve"> que les entreprises révisent positivement leur perception du risque à l'embauche, </w:t>
      </w:r>
      <w:r>
        <w:rPr>
          <w:rFonts w:ascii="Times New Roman" w:hAnsi="Times New Roman"/>
          <w:i/>
          <w:sz w:val="24"/>
        </w:rPr>
        <w:t>alors</w:t>
      </w:r>
      <w:r>
        <w:rPr>
          <w:rFonts w:ascii="Times New Roman" w:hAnsi="Times New Roman"/>
          <w:sz w:val="24"/>
        </w:rPr>
        <w:t xml:space="preserve"> une insertion professionnelle durable — soit par maintien dans l'entreprise hôte, soit par mobilité vers un autre employeur, soit par auto-emploi — devient plus probable.</w:t>
      </w:r>
    </w:p>
    <w:p>
      <w:pPr>
        <w:pStyle w:val="Heading4"/>
      </w:pPr>
      <w:r>
        <w:rPr>
          <w:rFonts w:ascii="Times New Roman" w:hAnsi="Times New Roman"/>
          <w:color w:val="333333"/>
          <w:sz w:val="24"/>
        </w:rPr>
        <w:t>C. Représentation schématique de la théorie de changement</w:t>
      </w:r>
    </w:p>
    <w:p>
      <w:r>
        <w:rPr>
          <w:rFonts w:ascii="Times New Roman" w:hAnsi="Times New Roman"/>
          <w:sz w:val="24"/>
        </w:rPr>
        <w:t>```</w:t>
      </w:r>
    </w:p>
    <w:p>
      <w:r>
        <w:rPr>
          <w:rFonts w:ascii="Times New Roman" w:hAnsi="Times New Roman"/>
          <w:sz w:val="24"/>
        </w:rPr>
        <w:t>╔══════════════════════════════════════════════════════════════════════╗</w:t>
      </w:r>
    </w:p>
    <w:p>
      <w:r>
        <w:rPr>
          <w:rFonts w:ascii="Times New Roman" w:hAnsi="Times New Roman"/>
          <w:sz w:val="24"/>
        </w:rPr>
        <w:t>║                     PROBLÈME CENTRAL                                 ║</w:t>
      </w:r>
    </w:p>
    <w:p>
      <w:r>
        <w:rPr>
          <w:rFonts w:ascii="Times New Roman" w:hAnsi="Times New Roman"/>
          <w:sz w:val="24"/>
        </w:rPr>
        <w:t>║  Taux de sous-emploi des jeunes : 72 %  (INSAE, 2017)               ║</w:t>
      </w:r>
    </w:p>
    <w:p>
      <w:r>
        <w:rPr>
          <w:rFonts w:ascii="Times New Roman" w:hAnsi="Times New Roman"/>
          <w:sz w:val="24"/>
        </w:rPr>
        <w:t>║  CAUSE 1 : Jeunes diplômés sans expérience → non recrutables        ║</w:t>
      </w:r>
    </w:p>
    <w:p>
      <w:r>
        <w:rPr>
          <w:rFonts w:ascii="Times New Roman" w:hAnsi="Times New Roman"/>
          <w:sz w:val="24"/>
        </w:rPr>
        <w:t>║  CAUSE 2 : Entreprises réticentes à embaucher (charges salariales)  ║</w:t>
      </w:r>
    </w:p>
    <w:p>
      <w:r>
        <w:rPr>
          <w:rFonts w:ascii="Times New Roman" w:hAnsi="Times New Roman"/>
          <w:sz w:val="24"/>
        </w:rPr>
        <w:t>╚══════════════════════════════════════════════════════════════════════╝</w:t>
      </w:r>
    </w:p>
    <w:p>
      <w:r>
        <w:rPr>
          <w:rFonts w:ascii="Times New Roman" w:hAnsi="Times New Roman"/>
          <w:sz w:val="24"/>
        </w:rPr>
        <w:t xml:space="preserve">                               │</w:t>
      </w:r>
    </w:p>
    <w:p>
      <w:r>
        <w:rPr>
          <w:rFonts w:ascii="Times New Roman" w:hAnsi="Times New Roman"/>
          <w:sz w:val="24"/>
        </w:rPr>
        <w:t xml:space="preserve">                               ▼</w:t>
      </w:r>
    </w:p>
    <w:p>
      <w:r>
        <w:rPr>
          <w:rFonts w:ascii="Times New Roman" w:hAnsi="Times New Roman"/>
          <w:sz w:val="24"/>
        </w:rPr>
        <w:t>╔══════════════════════════════════════════════════════════════════════╗</w:t>
      </w:r>
    </w:p>
    <w:p>
      <w:r>
        <w:rPr>
          <w:rFonts w:ascii="Times New Roman" w:hAnsi="Times New Roman"/>
          <w:sz w:val="24"/>
        </w:rPr>
        <w:t>║                         INTRANTS                                     ║</w:t>
      </w:r>
    </w:p>
    <w:p>
      <w:r>
        <w:rPr>
          <w:rFonts w:ascii="Times New Roman" w:hAnsi="Times New Roman"/>
          <w:sz w:val="24"/>
        </w:rPr>
        <w:t>║  • Budget de l'État : 46,60 milliards FCFA sur 5 ans                ║</w:t>
      </w:r>
    </w:p>
    <w:p>
      <w:r>
        <w:rPr>
          <w:rFonts w:ascii="Times New Roman" w:hAnsi="Times New Roman"/>
          <w:sz w:val="24"/>
        </w:rPr>
        <w:t>║  • Infrastructure ANPE : plateforme numérique, réseau territorial   ║</w:t>
      </w:r>
    </w:p>
    <w:p>
      <w:r>
        <w:rPr>
          <w:rFonts w:ascii="Times New Roman" w:hAnsi="Times New Roman"/>
          <w:sz w:val="24"/>
        </w:rPr>
        <w:t>║  • Unité de Coordination PSIE (Présidence de la République)         ║</w:t>
      </w:r>
    </w:p>
    <w:p>
      <w:r>
        <w:rPr>
          <w:rFonts w:ascii="Times New Roman" w:hAnsi="Times New Roman"/>
          <w:sz w:val="24"/>
        </w:rPr>
        <w:t>║  • Panels d'experts recruteurs (6 327 experts cumulés)              ║</w:t>
      </w:r>
    </w:p>
    <w:p>
      <w:r>
        <w:rPr>
          <w:rFonts w:ascii="Times New Roman" w:hAnsi="Times New Roman"/>
          <w:sz w:val="24"/>
        </w:rPr>
        <w:t>╚══════════════════════════════════════════════════════════════════════╝</w:t>
      </w:r>
    </w:p>
    <w:p>
      <w:r>
        <w:rPr>
          <w:rFonts w:ascii="Times New Roman" w:hAnsi="Times New Roman"/>
          <w:sz w:val="24"/>
        </w:rPr>
        <w:t xml:space="preserve">                               │</w:t>
      </w:r>
    </w:p>
    <w:p>
      <w:r>
        <w:rPr>
          <w:rFonts w:ascii="Times New Roman" w:hAnsi="Times New Roman"/>
          <w:sz w:val="24"/>
        </w:rPr>
        <w:t xml:space="preserve">                               ▼</w:t>
      </w:r>
    </w:p>
    <w:p>
      <w:r>
        <w:rPr>
          <w:rFonts w:ascii="Times New Roman" w:hAnsi="Times New Roman"/>
          <w:sz w:val="24"/>
        </w:rPr>
        <w:t>╔══════════════════════════════════════════════════════════════════════╗</w:t>
      </w:r>
    </w:p>
    <w:p>
      <w:r>
        <w:rPr>
          <w:rFonts w:ascii="Times New Roman" w:hAnsi="Times New Roman"/>
          <w:sz w:val="24"/>
        </w:rPr>
        <w:t>║                         ACTIVITÉS                                    ║</w:t>
      </w:r>
    </w:p>
    <w:p>
      <w:r>
        <w:rPr>
          <w:rFonts w:ascii="Times New Roman" w:hAnsi="Times New Roman"/>
          <w:sz w:val="24"/>
        </w:rPr>
        <w:t>║  A1. Information-communication sur le programme                     ║</w:t>
      </w:r>
    </w:p>
    <w:p>
      <w:r>
        <w:rPr>
          <w:rFonts w:ascii="Times New Roman" w:hAnsi="Times New Roman"/>
          <w:sz w:val="24"/>
        </w:rPr>
        <w:t>║  A2. Prospection, inscription et éligibilité des entreprises        ║</w:t>
      </w:r>
    </w:p>
    <w:p>
      <w:r>
        <w:rPr>
          <w:rFonts w:ascii="Times New Roman" w:hAnsi="Times New Roman"/>
          <w:sz w:val="24"/>
        </w:rPr>
        <w:t>║  A3. Inscription, évaluation et éligibilité des candidats           ║</w:t>
      </w:r>
    </w:p>
    <w:p>
      <w:r>
        <w:rPr>
          <w:rFonts w:ascii="Times New Roman" w:hAnsi="Times New Roman"/>
          <w:sz w:val="24"/>
        </w:rPr>
        <w:t>║  A4. Appariement candidats-entreprises par panels d'experts         ║</w:t>
      </w:r>
    </w:p>
    <w:p>
      <w:r>
        <w:rPr>
          <w:rFonts w:ascii="Times New Roman" w:hAnsi="Times New Roman"/>
          <w:sz w:val="24"/>
        </w:rPr>
        <w:t>║  A5. Formation pré-immersion des candidats (3-5 jours)              ║</w:t>
      </w:r>
    </w:p>
    <w:p>
      <w:r>
        <w:rPr>
          <w:rFonts w:ascii="Times New Roman" w:hAnsi="Times New Roman"/>
          <w:sz w:val="24"/>
        </w:rPr>
        <w:t>║  A6. Formation des tuteurs/mentors des entreprises                  ║</w:t>
      </w:r>
    </w:p>
    <w:p>
      <w:r>
        <w:rPr>
          <w:rFonts w:ascii="Times New Roman" w:hAnsi="Times New Roman"/>
          <w:sz w:val="24"/>
        </w:rPr>
        <w:t>║  A7. Mise en emploi + paiement des salaires (Trésor public)         ║</w:t>
      </w:r>
    </w:p>
    <w:p>
      <w:r>
        <w:rPr>
          <w:rFonts w:ascii="Times New Roman" w:hAnsi="Times New Roman"/>
          <w:sz w:val="24"/>
        </w:rPr>
        <w:t>║  A8. Suivi mensuel de présence et performances                      ║</w:t>
      </w:r>
    </w:p>
    <w:p>
      <w:r>
        <w:rPr>
          <w:rFonts w:ascii="Times New Roman" w:hAnsi="Times New Roman"/>
          <w:sz w:val="24"/>
        </w:rPr>
        <w:t>║  A9. Ateliers de renforcement des capacités (TRE, coaching)         ║</w:t>
      </w:r>
    </w:p>
    <w:p>
      <w:r>
        <w:rPr>
          <w:rFonts w:ascii="Times New Roman" w:hAnsi="Times New Roman"/>
          <w:sz w:val="24"/>
        </w:rPr>
        <w:t>║  A10. Dispositif post-programme et suivi alumni                     ║</w:t>
      </w:r>
    </w:p>
    <w:p>
      <w:r>
        <w:rPr>
          <w:rFonts w:ascii="Times New Roman" w:hAnsi="Times New Roman"/>
          <w:sz w:val="24"/>
        </w:rPr>
        <w:t>╚══════════════════════════════════════════════════════════════════════╝</w:t>
      </w:r>
    </w:p>
    <w:p>
      <w:r>
        <w:rPr>
          <w:rFonts w:ascii="Times New Roman" w:hAnsi="Times New Roman"/>
          <w:sz w:val="24"/>
        </w:rPr>
        <w:t xml:space="preserve">                               │</w:t>
      </w:r>
    </w:p>
    <w:p>
      <w:r>
        <w:rPr>
          <w:rFonts w:ascii="Times New Roman" w:hAnsi="Times New Roman"/>
          <w:sz w:val="24"/>
        </w:rPr>
        <w:t xml:space="preserve">                               ▼</w:t>
      </w:r>
    </w:p>
    <w:p>
      <w:r>
        <w:rPr>
          <w:rFonts w:ascii="Times New Roman" w:hAnsi="Times New Roman"/>
          <w:sz w:val="24"/>
        </w:rPr>
        <w:t>╔══════════════════════════════════════════════════════════════════════╗</w:t>
      </w:r>
    </w:p>
    <w:p>
      <w:r>
        <w:rPr>
          <w:rFonts w:ascii="Times New Roman" w:hAnsi="Times New Roman"/>
          <w:sz w:val="24"/>
        </w:rPr>
        <w:t>║                         EXTRANTS (Outputs)                           ║</w:t>
      </w:r>
    </w:p>
    <w:p>
      <w:r>
        <w:rPr>
          <w:rFonts w:ascii="Times New Roman" w:hAnsi="Times New Roman"/>
          <w:sz w:val="24"/>
        </w:rPr>
        <w:t>║  • 2 067 entreprises éligibles et engagées (cumul 2020-sept. 2025)  ║</w:t>
      </w:r>
    </w:p>
    <w:p>
      <w:r>
        <w:rPr>
          <w:rFonts w:ascii="Times New Roman" w:hAnsi="Times New Roman"/>
          <w:sz w:val="24"/>
        </w:rPr>
        <w:t>║  • 11 509 postes validés et publiés                                 ║</w:t>
      </w:r>
    </w:p>
    <w:p>
      <w:r>
        <w:rPr>
          <w:rFonts w:ascii="Times New Roman" w:hAnsi="Times New Roman"/>
          <w:sz w:val="24"/>
        </w:rPr>
        <w:t>║  • 137 086 candidats interviewés                                    ║</w:t>
      </w:r>
    </w:p>
    <w:p>
      <w:r>
        <w:rPr>
          <w:rFonts w:ascii="Times New Roman" w:hAnsi="Times New Roman"/>
          <w:sz w:val="24"/>
        </w:rPr>
        <w:t>║  • 9 263 allocataires mis en emploi                                 ║</w:t>
      </w:r>
    </w:p>
    <w:p>
      <w:r>
        <w:rPr>
          <w:rFonts w:ascii="Times New Roman" w:hAnsi="Times New Roman"/>
          <w:sz w:val="24"/>
        </w:rPr>
        <w:t>║  • 18,3 milliards FCFA de salaires versés                           ║</w:t>
      </w:r>
    </w:p>
    <w:p>
      <w:r>
        <w:rPr>
          <w:rFonts w:ascii="Times New Roman" w:hAnsi="Times New Roman"/>
          <w:sz w:val="24"/>
        </w:rPr>
        <w:t>╚══════════════════════════════════════════════════════════════════════╝</w:t>
      </w:r>
    </w:p>
    <w:p>
      <w:r>
        <w:rPr>
          <w:rFonts w:ascii="Times New Roman" w:hAnsi="Times New Roman"/>
          <w:sz w:val="24"/>
        </w:rPr>
        <w:t xml:space="preserve">                               │</w:t>
      </w:r>
    </w:p>
    <w:p>
      <w:r>
        <w:rPr>
          <w:rFonts w:ascii="Times New Roman" w:hAnsi="Times New Roman"/>
          <w:sz w:val="24"/>
        </w:rPr>
        <w:t xml:space="preserve">                               ▼</w:t>
      </w:r>
    </w:p>
    <w:p>
      <w:r>
        <w:rPr>
          <w:rFonts w:ascii="Times New Roman" w:hAnsi="Times New Roman"/>
          <w:sz w:val="24"/>
        </w:rPr>
        <w:t>╔══════════════════════════════════════════════════════════════════════╗</w:t>
      </w:r>
    </w:p>
    <w:p>
      <w:r>
        <w:rPr>
          <w:rFonts w:ascii="Times New Roman" w:hAnsi="Times New Roman"/>
          <w:sz w:val="24"/>
        </w:rPr>
        <w:t>║                    RÉSULTATS IMMÉDIATS (Outcomes)                    ║</w:t>
      </w:r>
    </w:p>
    <w:p>
      <w:r>
        <w:rPr>
          <w:rFonts w:ascii="Times New Roman" w:hAnsi="Times New Roman"/>
          <w:sz w:val="24"/>
        </w:rPr>
        <w:t>║  R1 : Mesures d'accompagnement à l'employabilité initiées           ║</w:t>
      </w:r>
    </w:p>
    <w:p>
      <w:r>
        <w:rPr>
          <w:rFonts w:ascii="Times New Roman" w:hAnsi="Times New Roman"/>
          <w:sz w:val="24"/>
        </w:rPr>
        <w:t>║       → Jeunes mieux armés pour le marché du travail                ║</w:t>
      </w:r>
    </w:p>
    <w:p>
      <w:r>
        <w:rPr>
          <w:rFonts w:ascii="Times New Roman" w:hAnsi="Times New Roman"/>
          <w:sz w:val="24"/>
        </w:rPr>
        <w:t>║  R2 : 2 000 jeunes/an en emploi formel, rémunéré et protégé         ║</w:t>
      </w:r>
    </w:p>
    <w:p>
      <w:r>
        <w:rPr>
          <w:rFonts w:ascii="Times New Roman" w:hAnsi="Times New Roman"/>
          <w:sz w:val="24"/>
        </w:rPr>
        <w:t>║       → Expérience professionnelle documentée (CV, références)      ║</w:t>
      </w:r>
    </w:p>
    <w:p>
      <w:r>
        <w:rPr>
          <w:rFonts w:ascii="Times New Roman" w:hAnsi="Times New Roman"/>
          <w:sz w:val="24"/>
        </w:rPr>
        <w:t>║  → Entreprises testent le profil des allocataires sans risque       ║</w:t>
      </w:r>
    </w:p>
    <w:p>
      <w:r>
        <w:rPr>
          <w:rFonts w:ascii="Times New Roman" w:hAnsi="Times New Roman"/>
          <w:sz w:val="24"/>
        </w:rPr>
        <w:t>╚══════════════════════════════════════════════════════════════════════╝</w:t>
      </w:r>
    </w:p>
    <w:p>
      <w:r>
        <w:rPr>
          <w:rFonts w:ascii="Times New Roman" w:hAnsi="Times New Roman"/>
          <w:sz w:val="24"/>
        </w:rPr>
        <w:t xml:space="preserve">                               │</w:t>
      </w:r>
    </w:p>
    <w:p>
      <w:r>
        <w:rPr>
          <w:rFonts w:ascii="Times New Roman" w:hAnsi="Times New Roman"/>
          <w:sz w:val="24"/>
        </w:rPr>
        <w:t xml:space="preserve">                               ▼</w:t>
      </w:r>
    </w:p>
    <w:p>
      <w:r>
        <w:rPr>
          <w:rFonts w:ascii="Times New Roman" w:hAnsi="Times New Roman"/>
          <w:sz w:val="24"/>
        </w:rPr>
        <w:t>╔══════════════════════════════════════════════════════════════════════╗</w:t>
      </w:r>
    </w:p>
    <w:p>
      <w:r>
        <w:rPr>
          <w:rFonts w:ascii="Times New Roman" w:hAnsi="Times New Roman"/>
          <w:sz w:val="24"/>
        </w:rPr>
        <w:t>║                  RÉSULTATS INTERMÉDIAIRES                            ║</w:t>
      </w:r>
    </w:p>
    <w:p>
      <w:r>
        <w:rPr>
          <w:rFonts w:ascii="Times New Roman" w:hAnsi="Times New Roman"/>
          <w:sz w:val="24"/>
        </w:rPr>
        <w:t>║  • Taux d'insertion durable post-programme (à mesurer en Phase 2)   ║</w:t>
      </w:r>
    </w:p>
    <w:p>
      <w:r>
        <w:rPr>
          <w:rFonts w:ascii="Times New Roman" w:hAnsi="Times New Roman"/>
          <w:sz w:val="24"/>
        </w:rPr>
        <w:t>║  • Révision à la hausse des comportements d'embauche des entreprises ║</w:t>
      </w:r>
    </w:p>
    <w:p>
      <w:r>
        <w:rPr>
          <w:rFonts w:ascii="Times New Roman" w:hAnsi="Times New Roman"/>
          <w:sz w:val="24"/>
        </w:rPr>
        <w:t>║  • Réduction de l'inadéquation formation-emploi                     ║</w:t>
      </w:r>
    </w:p>
    <w:p>
      <w:r>
        <w:rPr>
          <w:rFonts w:ascii="Times New Roman" w:hAnsi="Times New Roman"/>
          <w:sz w:val="24"/>
        </w:rPr>
        <w:t>║  • Augmentation du volume d'emplois formels dans l'économie         ║</w:t>
      </w:r>
    </w:p>
    <w:p>
      <w:r>
        <w:rPr>
          <w:rFonts w:ascii="Times New Roman" w:hAnsi="Times New Roman"/>
          <w:sz w:val="24"/>
        </w:rPr>
        <w:t>╚══════════════════════════════════════════════════════════════════════╝</w:t>
      </w:r>
    </w:p>
    <w:p>
      <w:r>
        <w:rPr>
          <w:rFonts w:ascii="Times New Roman" w:hAnsi="Times New Roman"/>
          <w:sz w:val="24"/>
        </w:rPr>
        <w:t xml:space="preserve">                               │</w:t>
      </w:r>
    </w:p>
    <w:p>
      <w:r>
        <w:rPr>
          <w:rFonts w:ascii="Times New Roman" w:hAnsi="Times New Roman"/>
          <w:sz w:val="24"/>
        </w:rPr>
        <w:t xml:space="preserve">                               ▼</w:t>
      </w:r>
    </w:p>
    <w:p>
      <w:r>
        <w:rPr>
          <w:rFonts w:ascii="Times New Roman" w:hAnsi="Times New Roman"/>
          <w:sz w:val="24"/>
        </w:rPr>
        <w:t>╔══════════════════════════════════════════════════════════════════════╗</w:t>
      </w:r>
    </w:p>
    <w:p>
      <w:r>
        <w:rPr>
          <w:rFonts w:ascii="Times New Roman" w:hAnsi="Times New Roman"/>
          <w:sz w:val="24"/>
        </w:rPr>
        <w:t>║                         IMPACT VISÉ                                  ║</w:t>
      </w:r>
    </w:p>
    <w:p>
      <w:r>
        <w:rPr>
          <w:rFonts w:ascii="Times New Roman" w:hAnsi="Times New Roman"/>
          <w:sz w:val="24"/>
        </w:rPr>
        <w:t>║  • Réduction durable du taux de sous-emploi des jeunes au Bénin     ║</w:t>
      </w:r>
    </w:p>
    <w:p>
      <w:r>
        <w:rPr>
          <w:rFonts w:ascii="Times New Roman" w:hAnsi="Times New Roman"/>
          <w:sz w:val="24"/>
        </w:rPr>
        <w:t>║  • Augmentation de la compétitivité des entreprises béninoises      ║</w:t>
      </w:r>
    </w:p>
    <w:p>
      <w:r>
        <w:rPr>
          <w:rFonts w:ascii="Times New Roman" w:hAnsi="Times New Roman"/>
          <w:sz w:val="24"/>
        </w:rPr>
        <w:t>║  • Contribution à la croissance économique inclusive (ODD 8)        ║</w:t>
      </w:r>
    </w:p>
    <w:p>
      <w:r>
        <w:rPr>
          <w:rFonts w:ascii="Times New Roman" w:hAnsi="Times New Roman"/>
          <w:sz w:val="24"/>
        </w:rPr>
        <w:t>║  • Réalisation des objectifs du PAG sur l'emploi des jeunes         ║</w:t>
      </w:r>
    </w:p>
    <w:p>
      <w:r>
        <w:rPr>
          <w:rFonts w:ascii="Times New Roman" w:hAnsi="Times New Roman"/>
          <w:sz w:val="24"/>
        </w:rPr>
        <w:t>╚══════════════════════════════════════════════════════════════════════╝</w:t>
      </w:r>
    </w:p>
    <w:p>
      <w:r>
        <w:rPr>
          <w:rFonts w:ascii="Times New Roman" w:hAnsi="Times New Roman"/>
          <w:sz w:val="24"/>
        </w:rPr>
        <w:t>```</w:t>
      </w:r>
    </w:p>
    <w:p>
      <w:pPr>
        <w:pStyle w:val="Heading4"/>
      </w:pPr>
      <w:r>
        <w:rPr>
          <w:rFonts w:ascii="Times New Roman" w:hAnsi="Times New Roman"/>
          <w:color w:val="333333"/>
          <w:sz w:val="24"/>
        </w:rPr>
        <w:t>D. Hypothèses clés et risques</w:t>
      </w:r>
    </w:p>
    <w:p>
      <w:r>
        <w:rPr>
          <w:rFonts w:ascii="Times New Roman" w:hAnsi="Times New Roman"/>
          <w:sz w:val="24"/>
        </w:rPr>
        <w:t>La validité de la théorie de changement repose sur un ensemble d'hypothèses critiques identifiées dès la conception du programme. Leur tenue conditionne directement l'atteinte des résultats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Hypothèse</w:t>
            </w:r>
          </w:p>
        </w:tc>
        <w:tc>
          <w:tcPr>
            <w:tcW w:type="dxa" w:w="3041"/>
            <w:shd w:val="clear" w:color="auto" w:fill="003366"/>
          </w:tcPr>
          <w:p>
            <w:r>
              <w:rPr>
                <w:rFonts w:ascii="Times New Roman" w:hAnsi="Times New Roman"/>
                <w:b/>
                <w:color w:val="FFFFFF"/>
                <w:sz w:val="20"/>
              </w:rPr>
              <w:t>Niveau de risque</w:t>
            </w:r>
          </w:p>
        </w:tc>
        <w:tc>
          <w:tcPr>
            <w:tcW w:type="dxa" w:w="3041"/>
            <w:shd w:val="clear" w:color="auto" w:fill="003366"/>
          </w:tcPr>
          <w:p>
            <w:r>
              <w:rPr>
                <w:rFonts w:ascii="Times New Roman" w:hAnsi="Times New Roman"/>
                <w:b/>
                <w:color w:val="FFFFFF"/>
                <w:sz w:val="20"/>
              </w:rPr>
              <w:t>Statut (au regard des données disponibles)</w:t>
            </w:r>
          </w:p>
        </w:tc>
      </w:tr>
      <w:tr>
        <w:tc>
          <w:tcPr>
            <w:tcW w:type="dxa" w:w="3041"/>
          </w:tcPr>
          <w:p>
            <w:r>
              <w:rPr>
                <w:rFonts w:ascii="Times New Roman" w:hAnsi="Times New Roman"/>
                <w:b w:val="0"/>
                <w:sz w:val="20"/>
              </w:rPr>
              <w:t>H1 : Les entreprises s'engagent réellement comme tuteurs/mentors — et ne se contentent pas d'utiliser les allocataires comme main-d'œuvre à bas coût</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Partiellement confirmé : le suivi des contrats existe, mais des cas de non-respect documentés subsistent (Rapport MO 2025)</w:t>
            </w:r>
          </w:p>
        </w:tc>
      </w:tr>
      <w:tr>
        <w:tc>
          <w:tcPr>
            <w:tcW w:type="dxa" w:w="3041"/>
          </w:tcPr>
          <w:p>
            <w:r>
              <w:rPr>
                <w:rFonts w:ascii="Times New Roman" w:hAnsi="Times New Roman"/>
                <w:b w:val="0"/>
                <w:sz w:val="20"/>
              </w:rPr>
              <w:t>H2 : Le financement de l'État est disponible et versé à temps — les allocataires reçoivent leur salaire chaque mois</w:t>
            </w:r>
          </w:p>
        </w:tc>
        <w:tc>
          <w:tcPr>
            <w:tcW w:type="dxa" w:w="3041"/>
          </w:tcPr>
          <w:p>
            <w:r>
              <w:rPr>
                <w:rFonts w:ascii="Times New Roman" w:hAnsi="Times New Roman"/>
                <w:b w:val="0"/>
                <w:sz w:val="20"/>
              </w:rPr>
              <w:t>Moyen</w:t>
            </w:r>
          </w:p>
        </w:tc>
        <w:tc>
          <w:tcPr>
            <w:tcW w:type="dxa" w:w="3041"/>
          </w:tcPr>
          <w:p>
            <w:r>
              <w:rPr>
                <w:rFonts w:ascii="Times New Roman" w:hAnsi="Times New Roman"/>
                <w:b w:val="0"/>
                <w:sz w:val="20"/>
              </w:rPr>
              <w:t>Confirmé : paiements réguliers par le Trésor (18,3 mds FCFA versés sans rupture documentée)</w:t>
            </w:r>
          </w:p>
        </w:tc>
      </w:tr>
      <w:tr>
        <w:tc>
          <w:tcPr>
            <w:tcW w:type="dxa" w:w="3041"/>
          </w:tcPr>
          <w:p>
            <w:r>
              <w:rPr>
                <w:rFonts w:ascii="Times New Roman" w:hAnsi="Times New Roman"/>
                <w:b w:val="0"/>
                <w:sz w:val="20"/>
              </w:rPr>
              <w:t>H3 : Les jeunes bénéficiaires restent engagés pendant 24 mois — et ne se retirent pas prématurément</w:t>
            </w:r>
          </w:p>
        </w:tc>
        <w:tc>
          <w:tcPr>
            <w:tcW w:type="dxa" w:w="3041"/>
          </w:tcPr>
          <w:p>
            <w:r>
              <w:rPr>
                <w:rFonts w:ascii="Times New Roman" w:hAnsi="Times New Roman"/>
                <w:b w:val="0"/>
                <w:sz w:val="20"/>
              </w:rPr>
              <w:t>Moyen</w:t>
            </w:r>
          </w:p>
        </w:tc>
        <w:tc>
          <w:tcPr>
            <w:tcW w:type="dxa" w:w="3041"/>
          </w:tcPr>
          <w:p>
            <w:r>
              <w:rPr>
                <w:rFonts w:ascii="Times New Roman" w:hAnsi="Times New Roman"/>
                <w:b w:val="0"/>
                <w:sz w:val="20"/>
              </w:rPr>
              <w:t>Partiellement documenté : le taux d'abandon est mentionné dans les défis du programme mais non quantifié dans les sources</w:t>
            </w:r>
          </w:p>
        </w:tc>
      </w:tr>
      <w:tr>
        <w:tc>
          <w:tcPr>
            <w:tcW w:type="dxa" w:w="3041"/>
          </w:tcPr>
          <w:p>
            <w:r>
              <w:rPr>
                <w:rFonts w:ascii="Times New Roman" w:hAnsi="Times New Roman"/>
                <w:b w:val="0"/>
                <w:sz w:val="20"/>
              </w:rPr>
              <w:t>H4 : Les allocataires sont maintenus en emploi à l'issue de la période d'immersion — ou trouvent un autre emploi formel rapidement</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Non mesurable à ce stade (données post-programme indisponibles) — constitue la principale lacune de la TdC</w:t>
            </w:r>
          </w:p>
        </w:tc>
      </w:tr>
      <w:tr>
        <w:tc>
          <w:tcPr>
            <w:tcW w:type="dxa" w:w="3041"/>
          </w:tcPr>
          <w:p>
            <w:r>
              <w:rPr>
                <w:rFonts w:ascii="Times New Roman" w:hAnsi="Times New Roman"/>
                <w:b w:val="0"/>
                <w:sz w:val="20"/>
              </w:rPr>
              <w:t>H5 : L'environnement économique et réglementaire reste stable — pas de crise majeure perturbant l'activité des entreprises</w:t>
            </w:r>
          </w:p>
        </w:tc>
        <w:tc>
          <w:tcPr>
            <w:tcW w:type="dxa" w:w="3041"/>
          </w:tcPr>
          <w:p>
            <w:r>
              <w:rPr>
                <w:rFonts w:ascii="Times New Roman" w:hAnsi="Times New Roman"/>
                <w:b w:val="0"/>
                <w:sz w:val="20"/>
              </w:rPr>
              <w:t>Faible</w:t>
            </w:r>
          </w:p>
        </w:tc>
        <w:tc>
          <w:tcPr>
            <w:tcW w:type="dxa" w:w="3041"/>
          </w:tcPr>
          <w:p>
            <w:r>
              <w:rPr>
                <w:rFonts w:ascii="Times New Roman" w:hAnsi="Times New Roman"/>
                <w:b w:val="0"/>
                <w:sz w:val="20"/>
              </w:rPr>
              <w:t>Contexte relativement stable sur la période 2020-2025</w:t>
            </w:r>
          </w:p>
        </w:tc>
      </w:tr>
      <w:tr>
        <w:tc>
          <w:tcPr>
            <w:tcW w:type="dxa" w:w="3041"/>
          </w:tcPr>
          <w:p>
            <w:r>
              <w:rPr>
                <w:rFonts w:ascii="Times New Roman" w:hAnsi="Times New Roman"/>
                <w:b w:val="0"/>
                <w:sz w:val="20"/>
              </w:rPr>
              <w:t>H6 : La plateforme numérique et les outils de sélection garantissent un appariement de qualité — candidats en adéquation avec les besoins des entreprises</w:t>
            </w:r>
          </w:p>
        </w:tc>
        <w:tc>
          <w:tcPr>
            <w:tcW w:type="dxa" w:w="3041"/>
          </w:tcPr>
          <w:p>
            <w:r>
              <w:rPr>
                <w:rFonts w:ascii="Times New Roman" w:hAnsi="Times New Roman"/>
                <w:b w:val="0"/>
                <w:sz w:val="20"/>
              </w:rPr>
              <w:t>Moyen</w:t>
            </w:r>
          </w:p>
        </w:tc>
        <w:tc>
          <w:tcPr>
            <w:tcW w:type="dxa" w:w="3041"/>
          </w:tcPr>
          <w:p>
            <w:r>
              <w:rPr>
                <w:rFonts w:ascii="Times New Roman" w:hAnsi="Times New Roman"/>
                <w:b w:val="0"/>
                <w:sz w:val="20"/>
              </w:rPr>
              <w:t>Confirmé partiellement : taux de sélection par les entreprises de 109,7 % (Sept 2025) indique une bonne adéquation</w:t>
            </w:r>
          </w:p>
        </w:tc>
      </w:tr>
    </w:tbl>
    <w:p/>
    <w:p>
      <w:pPr>
        <w:pStyle w:val="Heading4"/>
      </w:pPr>
      <w:r>
        <w:rPr>
          <w:rFonts w:ascii="Times New Roman" w:hAnsi="Times New Roman"/>
          <w:color w:val="333333"/>
          <w:sz w:val="24"/>
        </w:rPr>
        <w:t>E. Limites de la théorie de changement</w:t>
      </w:r>
    </w:p>
    <w:p>
      <w:r>
        <w:rPr>
          <w:rFonts w:ascii="Times New Roman" w:hAnsi="Times New Roman"/>
          <w:sz w:val="24"/>
        </w:rPr>
        <w:t xml:space="preserve">L'analyse de la TdC du PSIE révèle deux </w:t>
      </w:r>
      <w:r>
        <w:rPr>
          <w:rFonts w:ascii="Times New Roman" w:hAnsi="Times New Roman"/>
          <w:b/>
          <w:sz w:val="24"/>
        </w:rPr>
        <w:t>angles morts</w:t>
      </w:r>
      <w:r>
        <w:rPr>
          <w:rFonts w:ascii="Times New Roman" w:hAnsi="Times New Roman"/>
          <w:sz w:val="24"/>
        </w:rPr>
        <w:t xml:space="preserve"> qu'une évaluation robuste devra adresser en Phase 2 :</w:t>
      </w:r>
    </w:p>
    <w:p>
      <w:pPr>
        <w:ind w:left="432"/>
      </w:pPr>
      <w:r>
        <w:rPr>
          <w:rFonts w:ascii="Times New Roman" w:hAnsi="Times New Roman"/>
          <w:sz w:val="24"/>
        </w:rPr>
      </w:r>
      <w:r>
        <w:rPr>
          <w:rFonts w:ascii="Times New Roman" w:hAnsi="Times New Roman"/>
          <w:b/>
          <w:sz w:val="24"/>
        </w:rPr>
        <w:t>Le maillon de la durabilité reste opaque :</w:t>
      </w:r>
      <w:r>
        <w:rPr>
          <w:rFonts w:ascii="Times New Roman" w:hAnsi="Times New Roman"/>
          <w:sz w:val="24"/>
        </w:rPr>
        <w:t xml:space="preserve"> La TdC suppose que l'expérience acquise pendant 24 mois est suffisante pour assurer une insertion durable post-programme, mais aucune donnée sur le taux de rétention des allocataires après la fin de leur contrat n'est disponible. Si les entreprises utilisent le programme uniquement comme source de main-d'œuvre temporaire à coût nul, sans intégrer durablement les jeunes, l'impact de long terme serait limité.</w:t>
      </w:r>
    </w:p>
    <w:p>
      <w:pPr>
        <w:ind w:left="432"/>
      </w:pPr>
      <w:r>
        <w:rPr>
          <w:rFonts w:ascii="Times New Roman" w:hAnsi="Times New Roman"/>
          <w:sz w:val="24"/>
        </w:rPr>
      </w:r>
      <w:r>
        <w:rPr>
          <w:rFonts w:ascii="Times New Roman" w:hAnsi="Times New Roman"/>
          <w:b/>
          <w:sz w:val="24"/>
        </w:rPr>
        <w:t>Le changement de comportement des entreprises n'est pas suffisamment documenté :</w:t>
      </w:r>
      <w:r>
        <w:rPr>
          <w:rFonts w:ascii="Times New Roman" w:hAnsi="Times New Roman"/>
          <w:sz w:val="24"/>
        </w:rPr>
        <w:t xml:space="preserve"> La TdC postule un changement durable dans les comportements d'embauche des entreprises (réduction de la réticence à embaucher des jeunes qualifiés). Or, le rapport de mise en œuvre ne documente pas explicitement si les entreprises qui ont participé au PSIE ont effectivement augmenté leurs embauches propres (hors PSIE) à l'issue des cycles d'immersion.</w:t>
      </w:r>
    </w:p>
    <w:p/>
    <w:p>
      <w:pPr>
        <w:pStyle w:val="Heading2"/>
      </w:pPr>
      <w:r>
        <w:rPr>
          <w:rFonts w:ascii="Times New Roman" w:hAnsi="Times New Roman"/>
          <w:color w:val="003366"/>
          <w:sz w:val="28"/>
        </w:rPr>
        <w:t>2. DESCRIPTION DU PROGRAMME PSIE</w:t>
      </w:r>
    </w:p>
    <w:p>
      <w:pPr>
        <w:pStyle w:val="Heading3"/>
      </w:pPr>
      <w:r>
        <w:rPr>
          <w:rFonts w:ascii="Times New Roman" w:hAnsi="Times New Roman"/>
          <w:color w:val="1F4E79"/>
          <w:sz w:val="26"/>
        </w:rPr>
        <w:t>2.1 Historique et origine du programme</w:t>
      </w:r>
    </w:p>
    <w:p>
      <w:r>
        <w:rPr>
          <w:rFonts w:ascii="Times New Roman" w:hAnsi="Times New Roman"/>
          <w:sz w:val="24"/>
        </w:rPr>
        <w:t xml:space="preserve">Le PSIE est une </w:t>
      </w:r>
      <w:r>
        <w:rPr>
          <w:rFonts w:ascii="Times New Roman" w:hAnsi="Times New Roman"/>
          <w:b/>
          <w:sz w:val="24"/>
        </w:rPr>
        <w:t>initiative présidentielle</w:t>
      </w:r>
      <w:r>
        <w:rPr>
          <w:rFonts w:ascii="Times New Roman" w:hAnsi="Times New Roman"/>
          <w:sz w:val="24"/>
        </w:rPr>
        <w:t xml:space="preserve"> annoncée le 31 juillet 2019 par le Président Patrice Talon lors du 59ème anniversaire de l'indépendance du Bénin. Elle s'inscrit dans une volonté de traitement systématique de la question de l'emploi des jeunes dans le cadre du Programme d'Actions du Gouvernement (PAG 2016-2021).</w:t>
      </w:r>
    </w:p>
    <w:p>
      <w:r>
        <w:rPr>
          <w:rFonts w:ascii="Times New Roman" w:hAnsi="Times New Roman"/>
          <w:sz w:val="24"/>
        </w:rPr>
        <w:t>L'initiative tire les leçons des expériences antérieures de programmes d'emploi (notamment le Programme d'Appui à l'Emploi Salarié - PAES, éditions 2009-2011) et introduit un modèle novateur centré sur les entreprises comme pilier de l'insertion. Le document provisoire du programme a été formulé entre décembre 2019 et mars 2020, validé en juin 2020, et un décret instituant le PSIE a été pris en août 2020.</w:t>
      </w:r>
    </w:p>
    <w:p>
      <w:r>
        <w:rPr>
          <w:rFonts w:ascii="Times New Roman" w:hAnsi="Times New Roman"/>
          <w:sz w:val="24"/>
        </w:rPr>
        <w:t xml:space="preserve">En février 2025, face aux résultats probants, le Conseil des ministres a autorisé la </w:t>
      </w:r>
      <w:r>
        <w:rPr>
          <w:rFonts w:ascii="Times New Roman" w:hAnsi="Times New Roman"/>
          <w:b/>
          <w:sz w:val="24"/>
        </w:rPr>
        <w:t>prolongation du programme au-delà de son échéance initiale de décembre 2025</w:t>
      </w:r>
      <w:r>
        <w:rPr>
          <w:rFonts w:ascii="Times New Roman" w:hAnsi="Times New Roman"/>
          <w:sz w:val="24"/>
        </w:rPr>
        <w:t>.</w:t>
      </w:r>
    </w:p>
    <w:p>
      <w:pPr>
        <w:pStyle w:val="Heading3"/>
      </w:pPr>
      <w:r>
        <w:rPr>
          <w:rFonts w:ascii="Times New Roman" w:hAnsi="Times New Roman"/>
          <w:color w:val="1F4E79"/>
          <w:sz w:val="26"/>
        </w:rPr>
        <w:t>2.2 Objectifs du programme</w:t>
      </w:r>
    </w:p>
    <w:p>
      <w:r>
        <w:rPr>
          <w:rFonts w:ascii="Times New Roman" w:hAnsi="Times New Roman"/>
          <w:sz w:val="24"/>
        </w:rPr>
      </w:r>
      <w:r>
        <w:rPr>
          <w:rFonts w:ascii="Times New Roman" w:hAnsi="Times New Roman"/>
          <w:b/>
          <w:sz w:val="24"/>
        </w:rPr>
        <w:t>Objectif général :</w:t>
      </w:r>
      <w:r>
        <w:rPr>
          <w:rFonts w:ascii="Times New Roman" w:hAnsi="Times New Roman"/>
          <w:sz w:val="24"/>
        </w:rPr>
      </w:r>
    </w:p>
    <w:p>
      <w:r>
        <w:rPr>
          <w:rFonts w:ascii="Times New Roman" w:hAnsi="Times New Roman"/>
          <w:sz w:val="24"/>
        </w:rPr>
        <w:t xml:space="preserve">Faciliter l'insertion professionnelle de </w:t>
      </w:r>
      <w:r>
        <w:rPr>
          <w:rFonts w:ascii="Times New Roman" w:hAnsi="Times New Roman"/>
          <w:b/>
          <w:sz w:val="24"/>
        </w:rPr>
        <w:t>deux mille (2 000) jeunes diplômés par an</w:t>
      </w:r>
      <w:r>
        <w:rPr>
          <w:rFonts w:ascii="Times New Roman" w:hAnsi="Times New Roman"/>
          <w:sz w:val="24"/>
        </w:rPr>
        <w:t xml:space="preserve"> dans les entreprises publiques et privées au Bénin.</w:t>
      </w:r>
    </w:p>
    <w:p>
      <w:r>
        <w:rPr>
          <w:rFonts w:ascii="Times New Roman" w:hAnsi="Times New Roman"/>
          <w:sz w:val="24"/>
        </w:rPr>
      </w:r>
      <w:r>
        <w:rPr>
          <w:rFonts w:ascii="Times New Roman" w:hAnsi="Times New Roman"/>
          <w:b/>
          <w:sz w:val="24"/>
        </w:rPr>
        <w:t>Objectifs spécifiques :</w:t>
      </w:r>
      <w:r>
        <w:rPr>
          <w:rFonts w:ascii="Times New Roman" w:hAnsi="Times New Roman"/>
          <w:sz w:val="24"/>
        </w:rPr>
      </w:r>
    </w:p>
    <w:p>
      <w:pPr>
        <w:ind w:left="432"/>
      </w:pPr>
      <w:r>
        <w:rPr>
          <w:rFonts w:ascii="Times New Roman" w:hAnsi="Times New Roman"/>
          <w:sz w:val="24"/>
        </w:rPr>
      </w:r>
      <w:r>
        <w:rPr>
          <w:rFonts w:ascii="Times New Roman" w:hAnsi="Times New Roman"/>
          <w:b/>
          <w:sz w:val="24"/>
        </w:rPr>
        <w:t>OS1 :</w:t>
      </w:r>
      <w:r>
        <w:rPr>
          <w:rFonts w:ascii="Times New Roman" w:hAnsi="Times New Roman"/>
          <w:sz w:val="24"/>
        </w:rPr>
        <w:t xml:space="preserve"> Améliorer l'employabilité des bénéficiaires du programme en vue de leur insertion professionnelle durable dans les nouveaux postes d'emploi créés, grâce aux actions d'immersion et d'encadrement.</w:t>
      </w:r>
    </w:p>
    <w:p>
      <w:pPr>
        <w:ind w:left="432"/>
      </w:pPr>
      <w:r>
        <w:rPr>
          <w:rFonts w:ascii="Times New Roman" w:hAnsi="Times New Roman"/>
          <w:sz w:val="24"/>
        </w:rPr>
      </w:r>
      <w:r>
        <w:rPr>
          <w:rFonts w:ascii="Times New Roman" w:hAnsi="Times New Roman"/>
          <w:b/>
          <w:sz w:val="24"/>
        </w:rPr>
        <w:t>OS2 :</w:t>
      </w:r>
      <w:r>
        <w:rPr>
          <w:rFonts w:ascii="Times New Roman" w:hAnsi="Times New Roman"/>
          <w:sz w:val="24"/>
        </w:rPr>
        <w:t xml:space="preserve"> Soutenir financièrement la prise en charge totale des salaires des titulaires des nouveaux emplois créés par les entreprises dans le cadre du programme.</w:t>
      </w:r>
    </w:p>
    <w:p>
      <w:pPr>
        <w:pStyle w:val="Heading3"/>
      </w:pPr>
      <w:r>
        <w:rPr>
          <w:rFonts w:ascii="Times New Roman" w:hAnsi="Times New Roman"/>
          <w:color w:val="1F4E79"/>
          <w:sz w:val="26"/>
        </w:rPr>
        <w:t>2.3 Population cible</w:t>
      </w:r>
    </w:p>
    <w:p>
      <w:r>
        <w:rPr>
          <w:rFonts w:ascii="Times New Roman" w:hAnsi="Times New Roman"/>
          <w:sz w:val="24"/>
        </w:rPr>
      </w:r>
      <w:r>
        <w:rPr>
          <w:rFonts w:ascii="Times New Roman" w:hAnsi="Times New Roman"/>
          <w:b/>
          <w:sz w:val="24"/>
        </w:rPr>
        <w:t>Bénéficiaires directs :</w:t>
      </w:r>
      <w:r>
        <w:rPr>
          <w:rFonts w:ascii="Times New Roman" w:hAnsi="Times New Roman"/>
          <w:sz w:val="24"/>
        </w:rPr>
      </w:r>
    </w:p>
    <w:p>
      <w:pPr>
        <w:ind w:left="432"/>
      </w:pPr>
      <w:r>
        <w:rPr>
          <w:rFonts w:ascii="Times New Roman" w:hAnsi="Times New Roman"/>
          <w:sz w:val="24"/>
        </w:rPr>
      </w:r>
      <w:r>
        <w:rPr>
          <w:rFonts w:ascii="Times New Roman" w:hAnsi="Times New Roman"/>
          <w:b/>
          <w:sz w:val="24"/>
        </w:rPr>
        <w:t>Jeunes diplômés chercheurs d'emploi</w:t>
      </w:r>
      <w:r>
        <w:rPr>
          <w:rFonts w:ascii="Times New Roman" w:hAnsi="Times New Roman"/>
          <w:sz w:val="24"/>
        </w:rPr>
        <w:t xml:space="preserve"> : Béninois, âgés de 18 à 35 ans, titulaires d'un diplôme de l'enseignement supérieur (BAC professionnel, BTS/DUT, DTS/Licence, Master/Ingénieur), disponibles immédiatement et non en cours de formation.</w:t>
      </w:r>
    </w:p>
    <w:p>
      <w:pPr>
        <w:ind w:left="432"/>
      </w:pPr>
      <w:r>
        <w:rPr>
          <w:rFonts w:ascii="Times New Roman" w:hAnsi="Times New Roman"/>
          <w:sz w:val="24"/>
        </w:rPr>
      </w:r>
      <w:r>
        <w:rPr>
          <w:rFonts w:ascii="Times New Roman" w:hAnsi="Times New Roman"/>
          <w:b/>
          <w:sz w:val="24"/>
        </w:rPr>
        <w:t>Entreprises publiques et privées</w:t>
      </w:r>
      <w:r>
        <w:rPr>
          <w:rFonts w:ascii="Times New Roman" w:hAnsi="Times New Roman"/>
          <w:sz w:val="24"/>
        </w:rPr>
        <w:t xml:space="preserve"> : légalement constituées, ayant exercé au moins une année, à jour vis-à-vis des impôts et affiliées à la CNSS, avec des besoins exprimés en ressources humaines.</w:t>
      </w:r>
    </w:p>
    <w:p>
      <w:r>
        <w:rPr>
          <w:rFonts w:ascii="Times New Roman" w:hAnsi="Times New Roman"/>
          <w:sz w:val="24"/>
        </w:rPr>
      </w:r>
      <w:r>
        <w:rPr>
          <w:rFonts w:ascii="Times New Roman" w:hAnsi="Times New Roman"/>
          <w:b/>
          <w:sz w:val="24"/>
        </w:rPr>
        <w:t>Répartition prévue des chercheurs d'emploi par qualification (par cohorte de 2 000) :</w:t>
      </w:r>
      <w:r>
        <w:rPr>
          <w:rFonts w:ascii="Times New Roman" w:hAnsi="Times New Roman"/>
          <w:sz w:val="24"/>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Qualification</w:t>
            </w:r>
          </w:p>
        </w:tc>
        <w:tc>
          <w:tcPr>
            <w:tcW w:type="dxa" w:w="3041"/>
            <w:shd w:val="clear" w:color="auto" w:fill="003366"/>
          </w:tcPr>
          <w:p>
            <w:r>
              <w:rPr>
                <w:rFonts w:ascii="Times New Roman" w:hAnsi="Times New Roman"/>
                <w:b/>
                <w:color w:val="FFFFFF"/>
                <w:sz w:val="20"/>
              </w:rPr>
              <w:t>Proportion</w:t>
            </w:r>
          </w:p>
        </w:tc>
        <w:tc>
          <w:tcPr>
            <w:tcW w:type="dxa" w:w="3041"/>
            <w:shd w:val="clear" w:color="auto" w:fill="003366"/>
          </w:tcPr>
          <w:p>
            <w:r>
              <w:rPr>
                <w:rFonts w:ascii="Times New Roman" w:hAnsi="Times New Roman"/>
                <w:b/>
                <w:color w:val="FFFFFF"/>
                <w:sz w:val="20"/>
              </w:rPr>
              <w:t>Nombre</w:t>
            </w:r>
          </w:p>
        </w:tc>
      </w:tr>
      <w:tr>
        <w:tc>
          <w:tcPr>
            <w:tcW w:type="dxa" w:w="3041"/>
          </w:tcPr>
          <w:p>
            <w:r>
              <w:rPr>
                <w:rFonts w:ascii="Times New Roman" w:hAnsi="Times New Roman"/>
                <w:b w:val="0"/>
                <w:sz w:val="20"/>
              </w:rPr>
              <w:t>BAC professionnel (BAC technique/professionnel)</w:t>
            </w:r>
          </w:p>
        </w:tc>
        <w:tc>
          <w:tcPr>
            <w:tcW w:type="dxa" w:w="3041"/>
          </w:tcPr>
          <w:p>
            <w:r>
              <w:rPr>
                <w:rFonts w:ascii="Times New Roman" w:hAnsi="Times New Roman"/>
                <w:b w:val="0"/>
                <w:sz w:val="20"/>
              </w:rPr>
              <w:t>10 %</w:t>
            </w:r>
          </w:p>
        </w:tc>
        <w:tc>
          <w:tcPr>
            <w:tcW w:type="dxa" w:w="3041"/>
          </w:tcPr>
          <w:p>
            <w:r>
              <w:rPr>
                <w:rFonts w:ascii="Times New Roman" w:hAnsi="Times New Roman"/>
                <w:b w:val="0"/>
                <w:sz w:val="20"/>
              </w:rPr>
              <w:t>200</w:t>
            </w:r>
          </w:p>
        </w:tc>
      </w:tr>
      <w:tr>
        <w:tc>
          <w:tcPr>
            <w:tcW w:type="dxa" w:w="3041"/>
          </w:tcPr>
          <w:p>
            <w:r>
              <w:rPr>
                <w:rFonts w:ascii="Times New Roman" w:hAnsi="Times New Roman"/>
                <w:b w:val="0"/>
                <w:sz w:val="20"/>
              </w:rPr>
              <w:t>BTS/DUT (BAC+2)</w:t>
            </w:r>
          </w:p>
        </w:tc>
        <w:tc>
          <w:tcPr>
            <w:tcW w:type="dxa" w:w="3041"/>
          </w:tcPr>
          <w:p>
            <w:r>
              <w:rPr>
                <w:rFonts w:ascii="Times New Roman" w:hAnsi="Times New Roman"/>
                <w:b w:val="0"/>
                <w:sz w:val="20"/>
              </w:rPr>
              <w:t>30 %</w:t>
            </w:r>
          </w:p>
        </w:tc>
        <w:tc>
          <w:tcPr>
            <w:tcW w:type="dxa" w:w="3041"/>
          </w:tcPr>
          <w:p>
            <w:r>
              <w:rPr>
                <w:rFonts w:ascii="Times New Roman" w:hAnsi="Times New Roman"/>
                <w:b w:val="0"/>
                <w:sz w:val="20"/>
              </w:rPr>
              <w:t>600</w:t>
            </w:r>
          </w:p>
        </w:tc>
      </w:tr>
      <w:tr>
        <w:tc>
          <w:tcPr>
            <w:tcW w:type="dxa" w:w="3041"/>
          </w:tcPr>
          <w:p>
            <w:r>
              <w:rPr>
                <w:rFonts w:ascii="Times New Roman" w:hAnsi="Times New Roman"/>
                <w:b w:val="0"/>
                <w:sz w:val="20"/>
              </w:rPr>
              <w:t>DTS/Licence professionnelle / Maîtrise (BAC+3/4)</w:t>
            </w:r>
          </w:p>
        </w:tc>
        <w:tc>
          <w:tcPr>
            <w:tcW w:type="dxa" w:w="3041"/>
          </w:tcPr>
          <w:p>
            <w:r>
              <w:rPr>
                <w:rFonts w:ascii="Times New Roman" w:hAnsi="Times New Roman"/>
                <w:b w:val="0"/>
                <w:sz w:val="20"/>
              </w:rPr>
              <w:t>40 %</w:t>
            </w:r>
          </w:p>
        </w:tc>
        <w:tc>
          <w:tcPr>
            <w:tcW w:type="dxa" w:w="3041"/>
          </w:tcPr>
          <w:p>
            <w:r>
              <w:rPr>
                <w:rFonts w:ascii="Times New Roman" w:hAnsi="Times New Roman"/>
                <w:b w:val="0"/>
                <w:sz w:val="20"/>
              </w:rPr>
              <w:t>800</w:t>
            </w:r>
          </w:p>
        </w:tc>
      </w:tr>
      <w:tr>
        <w:tc>
          <w:tcPr>
            <w:tcW w:type="dxa" w:w="3041"/>
          </w:tcPr>
          <w:p>
            <w:r>
              <w:rPr>
                <w:rFonts w:ascii="Times New Roman" w:hAnsi="Times New Roman"/>
                <w:b w:val="0"/>
                <w:sz w:val="20"/>
              </w:rPr>
              <w:t>Master/Ingénieur (BAC+5)</w:t>
            </w:r>
          </w:p>
        </w:tc>
        <w:tc>
          <w:tcPr>
            <w:tcW w:type="dxa" w:w="3041"/>
          </w:tcPr>
          <w:p>
            <w:r>
              <w:rPr>
                <w:rFonts w:ascii="Times New Roman" w:hAnsi="Times New Roman"/>
                <w:b w:val="0"/>
                <w:sz w:val="20"/>
              </w:rPr>
              <w:t>20 %</w:t>
            </w:r>
          </w:p>
        </w:tc>
        <w:tc>
          <w:tcPr>
            <w:tcW w:type="dxa" w:w="3041"/>
          </w:tcPr>
          <w:p>
            <w:r>
              <w:rPr>
                <w:rFonts w:ascii="Times New Roman" w:hAnsi="Times New Roman"/>
                <w:b w:val="0"/>
                <w:sz w:val="20"/>
              </w:rPr>
              <w:t>400</w:t>
            </w:r>
          </w:p>
        </w:tc>
      </w:tr>
      <w:tr>
        <w:tc>
          <w:tcPr>
            <w:tcW w:type="dxa" w:w="3041"/>
          </w:tcPr>
          <w:p>
            <w:r>
              <w:rPr>
                <w:rFonts w:ascii="Times New Roman" w:hAnsi="Times New Roman"/>
                <w:b w:val="0"/>
                <w:sz w:val="20"/>
              </w:rPr>
              <w:t>Total</w:t>
            </w:r>
          </w:p>
        </w:tc>
        <w:tc>
          <w:tcPr>
            <w:tcW w:type="dxa" w:w="3041"/>
          </w:tcPr>
          <w:p>
            <w:r>
              <w:rPr>
                <w:rFonts w:ascii="Times New Roman" w:hAnsi="Times New Roman"/>
                <w:b w:val="0"/>
                <w:sz w:val="20"/>
              </w:rPr>
              <w:t>100 %</w:t>
            </w:r>
          </w:p>
        </w:tc>
        <w:tc>
          <w:tcPr>
            <w:tcW w:type="dxa" w:w="3041"/>
          </w:tcPr>
          <w:p>
            <w:r>
              <w:rPr>
                <w:rFonts w:ascii="Times New Roman" w:hAnsi="Times New Roman"/>
                <w:b w:val="0"/>
                <w:sz w:val="20"/>
              </w:rPr>
              <w:t>2 000</w:t>
            </w:r>
          </w:p>
        </w:tc>
      </w:tr>
    </w:tbl>
    <w:p/>
    <w:p>
      <w:r>
        <w:rPr>
          <w:rFonts w:ascii="Times New Roman" w:hAnsi="Times New Roman"/>
          <w:sz w:val="24"/>
        </w:rPr>
      </w:r>
      <w:r>
        <w:rPr>
          <w:rFonts w:ascii="Times New Roman" w:hAnsi="Times New Roman"/>
          <w:b/>
          <w:sz w:val="24"/>
        </w:rPr>
        <w:t>Secteurs éligibles :</w:t>
      </w:r>
      <w:r>
        <w:rPr>
          <w:rFonts w:ascii="Times New Roman" w:hAnsi="Times New Roman"/>
          <w:sz w:val="24"/>
        </w:rPr>
        <w:t xml:space="preserve"> Tous secteurs et branches, hors santé, éducation, production agricole, artisanat — sauf pour les emplois de support (administratif, financier, commercial, qualité, R&amp;D). Secteurs prioritaires : agriculture, industrie (agro-transformation, chimie, matériaux de construction, énergies renouvelables, textile), services (tourisme-hôtellerie, TIC).</w:t>
      </w:r>
    </w:p>
    <w:p>
      <w:r>
        <w:rPr>
          <w:rFonts w:ascii="Times New Roman" w:hAnsi="Times New Roman"/>
          <w:sz w:val="24"/>
        </w:rPr>
      </w:r>
      <w:r>
        <w:rPr>
          <w:rFonts w:ascii="Times New Roman" w:hAnsi="Times New Roman"/>
          <w:b/>
          <w:sz w:val="24"/>
        </w:rPr>
        <w:t>Secteurs exclus des emplois directs</w:t>
      </w:r>
      <w:r>
        <w:rPr>
          <w:rFonts w:ascii="Times New Roman" w:hAnsi="Times New Roman"/>
          <w:sz w:val="24"/>
        </w:rPr>
        <w:t xml:space="preserve"> (mais éligibles pour fonctions de support) : santé, éducation, production agricole, artisanat.</w:t>
      </w:r>
    </w:p>
    <w:p>
      <w:pPr>
        <w:pStyle w:val="Heading3"/>
      </w:pPr>
      <w:r>
        <w:rPr>
          <w:rFonts w:ascii="Times New Roman" w:hAnsi="Times New Roman"/>
          <w:color w:val="1F4E79"/>
          <w:sz w:val="26"/>
        </w:rPr>
        <w:t>2.4 Zone géographique couverte</w:t>
      </w:r>
    </w:p>
    <w:p>
      <w:r>
        <w:rPr>
          <w:rFonts w:ascii="Times New Roman" w:hAnsi="Times New Roman"/>
          <w:sz w:val="24"/>
        </w:rPr>
      </w:r>
      <w:r>
        <w:rPr>
          <w:rFonts w:ascii="Times New Roman" w:hAnsi="Times New Roman"/>
          <w:b/>
          <w:sz w:val="24"/>
        </w:rPr>
        <w:t>Tout le territoire national de la République du Bénin</w:t>
      </w:r>
      <w:r>
        <w:rPr>
          <w:rFonts w:ascii="Times New Roman" w:hAnsi="Times New Roman"/>
          <w:sz w:val="24"/>
        </w:rPr>
        <w:t>, avec une présence de l'ANPE et de ses antennes dans tous les départements.</w:t>
      </w:r>
    </w:p>
    <w:p>
      <w:pPr>
        <w:pStyle w:val="Heading3"/>
      </w:pPr>
      <w:r>
        <w:rPr>
          <w:rFonts w:ascii="Times New Roman" w:hAnsi="Times New Roman"/>
          <w:color w:val="1F4E79"/>
          <w:sz w:val="26"/>
        </w:rPr>
        <w:t>2.5 Composantes et activités principales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Composante</w:t>
            </w:r>
          </w:p>
        </w:tc>
        <w:tc>
          <w:tcPr>
            <w:tcW w:type="dxa" w:w="3041"/>
            <w:shd w:val="clear" w:color="auto" w:fill="003366"/>
          </w:tcPr>
          <w:p>
            <w:r>
              <w:rPr>
                <w:rFonts w:ascii="Times New Roman" w:hAnsi="Times New Roman"/>
                <w:b/>
                <w:color w:val="FFFFFF"/>
                <w:sz w:val="20"/>
              </w:rPr>
              <w:t>Description</w:t>
            </w:r>
          </w:p>
        </w:tc>
        <w:tc>
          <w:tcPr>
            <w:tcW w:type="dxa" w:w="3041"/>
            <w:shd w:val="clear" w:color="auto" w:fill="003366"/>
          </w:tcPr>
          <w:p>
            <w:r>
              <w:rPr>
                <w:rFonts w:ascii="Times New Roman" w:hAnsi="Times New Roman"/>
                <w:b/>
                <w:color w:val="FFFFFF"/>
                <w:sz w:val="20"/>
              </w:rPr>
              <w:t>Résultats attendus</w:t>
            </w:r>
          </w:p>
        </w:tc>
      </w:tr>
      <w:tr>
        <w:tc>
          <w:tcPr>
            <w:tcW w:type="dxa" w:w="3041"/>
          </w:tcPr>
          <w:p>
            <w:r>
              <w:rPr>
                <w:rFonts w:ascii="Times New Roman" w:hAnsi="Times New Roman"/>
                <w:b w:val="0"/>
                <w:sz w:val="20"/>
              </w:rPr>
              <w:t>Gestion et pilotage</w:t>
            </w:r>
          </w:p>
        </w:tc>
        <w:tc>
          <w:tcPr>
            <w:tcW w:type="dxa" w:w="3041"/>
          </w:tcPr>
          <w:p>
            <w:r>
              <w:rPr>
                <w:rFonts w:ascii="Times New Roman" w:hAnsi="Times New Roman"/>
                <w:b w:val="0"/>
                <w:sz w:val="20"/>
              </w:rPr>
              <w:t>Mise en place de la plateforme, comités de pilotage et technique, coordination PSIE</w:t>
            </w:r>
          </w:p>
        </w:tc>
        <w:tc>
          <w:tcPr>
            <w:tcW w:type="dxa" w:w="3041"/>
          </w:tcPr>
          <w:p>
            <w:r>
              <w:rPr>
                <w:rFonts w:ascii="Times New Roman" w:hAnsi="Times New Roman"/>
                <w:b w:val="0"/>
                <w:sz w:val="20"/>
              </w:rPr>
              <w:t>Programme opérationnel, gouvernance fonctionnelle</w:t>
            </w:r>
          </w:p>
        </w:tc>
      </w:tr>
      <w:tr>
        <w:tc>
          <w:tcPr>
            <w:tcW w:type="dxa" w:w="3041"/>
          </w:tcPr>
          <w:p>
            <w:r>
              <w:rPr>
                <w:rFonts w:ascii="Times New Roman" w:hAnsi="Times New Roman"/>
                <w:b w:val="0"/>
                <w:sz w:val="20"/>
              </w:rPr>
              <w:t>Prospection et enregistrement</w:t>
            </w:r>
          </w:p>
        </w:tc>
        <w:tc>
          <w:tcPr>
            <w:tcW w:type="dxa" w:w="3041"/>
          </w:tcPr>
          <w:p>
            <w:r>
              <w:rPr>
                <w:rFonts w:ascii="Times New Roman" w:hAnsi="Times New Roman"/>
                <w:b w:val="0"/>
                <w:sz w:val="20"/>
              </w:rPr>
              <w:t>Enregistrement des entreprises et candidats sur la plateforme ; publication des offres</w:t>
            </w:r>
          </w:p>
        </w:tc>
        <w:tc>
          <w:tcPr>
            <w:tcW w:type="dxa" w:w="3041"/>
          </w:tcPr>
          <w:p>
            <w:r>
              <w:rPr>
                <w:rFonts w:ascii="Times New Roman" w:hAnsi="Times New Roman"/>
                <w:b w:val="0"/>
                <w:sz w:val="20"/>
              </w:rPr>
              <w:t>Base de données constituée, offres publiées</w:t>
            </w:r>
          </w:p>
        </w:tc>
      </w:tr>
      <w:tr>
        <w:tc>
          <w:tcPr>
            <w:tcW w:type="dxa" w:w="3041"/>
          </w:tcPr>
          <w:p>
            <w:r>
              <w:rPr>
                <w:rFonts w:ascii="Times New Roman" w:hAnsi="Times New Roman"/>
                <w:b w:val="0"/>
                <w:sz w:val="20"/>
              </w:rPr>
              <w:t>Sélection et appariement</w:t>
            </w:r>
          </w:p>
        </w:tc>
        <w:tc>
          <w:tcPr>
            <w:tcW w:type="dxa" w:w="3041"/>
          </w:tcPr>
          <w:p>
            <w:r>
              <w:rPr>
                <w:rFonts w:ascii="Times New Roman" w:hAnsi="Times New Roman"/>
                <w:b w:val="0"/>
                <w:sz w:val="20"/>
              </w:rPr>
              <w:t>Présélection sur dossiers, évaluation écrite, interviews par panels d'experts, sélection finale par les entreprises</w:t>
            </w:r>
          </w:p>
        </w:tc>
        <w:tc>
          <w:tcPr>
            <w:tcW w:type="dxa" w:w="3041"/>
          </w:tcPr>
          <w:p>
            <w:r>
              <w:rPr>
                <w:rFonts w:ascii="Times New Roman" w:hAnsi="Times New Roman"/>
                <w:b w:val="0"/>
                <w:sz w:val="20"/>
              </w:rPr>
              <w:t>Listes d'aptitude validées, candidats sélectionnés et affectés</w:t>
            </w:r>
          </w:p>
        </w:tc>
      </w:tr>
      <w:tr>
        <w:tc>
          <w:tcPr>
            <w:tcW w:type="dxa" w:w="3041"/>
          </w:tcPr>
          <w:p>
            <w:r>
              <w:rPr>
                <w:rFonts w:ascii="Times New Roman" w:hAnsi="Times New Roman"/>
                <w:b w:val="0"/>
                <w:sz w:val="20"/>
              </w:rPr>
              <w:t>Préparation à l'insertion</w:t>
            </w:r>
          </w:p>
        </w:tc>
        <w:tc>
          <w:tcPr>
            <w:tcW w:type="dxa" w:w="3041"/>
          </w:tcPr>
          <w:p>
            <w:r>
              <w:rPr>
                <w:rFonts w:ascii="Times New Roman" w:hAnsi="Times New Roman"/>
                <w:b w:val="0"/>
                <w:sz w:val="20"/>
              </w:rPr>
              <w:t>Formation de 3-5 jours des candidats (culture d'entreprise, déontologie, savoir-vivre) ; formation des tuteurs/mentors des entreprises</w:t>
            </w:r>
          </w:p>
        </w:tc>
        <w:tc>
          <w:tcPr>
            <w:tcW w:type="dxa" w:w="3041"/>
          </w:tcPr>
          <w:p>
            <w:r>
              <w:rPr>
                <w:rFonts w:ascii="Times New Roman" w:hAnsi="Times New Roman"/>
                <w:b w:val="0"/>
                <w:sz w:val="20"/>
              </w:rPr>
              <w:t>Candidats et entreprises prêts pour l'immersion</w:t>
            </w:r>
          </w:p>
        </w:tc>
      </w:tr>
      <w:tr>
        <w:tc>
          <w:tcPr>
            <w:tcW w:type="dxa" w:w="3041"/>
          </w:tcPr>
          <w:p>
            <w:r>
              <w:rPr>
                <w:rFonts w:ascii="Times New Roman" w:hAnsi="Times New Roman"/>
                <w:b w:val="0"/>
                <w:sz w:val="20"/>
              </w:rPr>
              <w:t>Immersion et prise en charge salariale</w:t>
            </w:r>
          </w:p>
        </w:tc>
        <w:tc>
          <w:tcPr>
            <w:tcW w:type="dxa" w:w="3041"/>
          </w:tcPr>
          <w:p>
            <w:r>
              <w:rPr>
                <w:rFonts w:ascii="Times New Roman" w:hAnsi="Times New Roman"/>
                <w:b w:val="0"/>
                <w:sz w:val="20"/>
              </w:rPr>
              <w:t>Contrats de travail ; paiement des salaires par le Trésor (État tiers-payant) ; suivi mensuel de présence</w:t>
            </w:r>
          </w:p>
        </w:tc>
        <w:tc>
          <w:tcPr>
            <w:tcW w:type="dxa" w:w="3041"/>
          </w:tcPr>
          <w:p>
            <w:r>
              <w:rPr>
                <w:rFonts w:ascii="Times New Roman" w:hAnsi="Times New Roman"/>
                <w:b w:val="0"/>
                <w:sz w:val="20"/>
              </w:rPr>
              <w:t>2 000 jeunes en emploi par an, salaires versés</w:t>
            </w:r>
          </w:p>
        </w:tc>
      </w:tr>
      <w:tr>
        <w:tc>
          <w:tcPr>
            <w:tcW w:type="dxa" w:w="3041"/>
          </w:tcPr>
          <w:p>
            <w:r>
              <w:rPr>
                <w:rFonts w:ascii="Times New Roman" w:hAnsi="Times New Roman"/>
                <w:b w:val="0"/>
                <w:sz w:val="20"/>
              </w:rPr>
              <w:t>Suivi et renforcement des capacités</w:t>
            </w:r>
          </w:p>
        </w:tc>
        <w:tc>
          <w:tcPr>
            <w:tcW w:type="dxa" w:w="3041"/>
          </w:tcPr>
          <w:p>
            <w:r>
              <w:rPr>
                <w:rFonts w:ascii="Times New Roman" w:hAnsi="Times New Roman"/>
                <w:b w:val="0"/>
                <w:sz w:val="20"/>
              </w:rPr>
              <w:t>Visites terrain, ateliers de renforcement (TRE, déontologie, valorisation du poste) ; suivi semestriel</w:t>
            </w:r>
          </w:p>
        </w:tc>
        <w:tc>
          <w:tcPr>
            <w:tcW w:type="dxa" w:w="3041"/>
          </w:tcPr>
          <w:p>
            <w:r>
              <w:rPr>
                <w:rFonts w:ascii="Times New Roman" w:hAnsi="Times New Roman"/>
                <w:b w:val="0"/>
                <w:sz w:val="20"/>
              </w:rPr>
              <w:t>Allocataires encadrés, indicateurs renseignés</w:t>
            </w:r>
          </w:p>
        </w:tc>
      </w:tr>
      <w:tr>
        <w:tc>
          <w:tcPr>
            <w:tcW w:type="dxa" w:w="3041"/>
          </w:tcPr>
          <w:p>
            <w:r>
              <w:rPr>
                <w:rFonts w:ascii="Times New Roman" w:hAnsi="Times New Roman"/>
                <w:b w:val="0"/>
                <w:sz w:val="20"/>
              </w:rPr>
              <w:t>Dispositif post-programme</w:t>
            </w:r>
          </w:p>
        </w:tc>
        <w:tc>
          <w:tcPr>
            <w:tcW w:type="dxa" w:w="3041"/>
          </w:tcPr>
          <w:p>
            <w:r>
              <w:rPr>
                <w:rFonts w:ascii="Times New Roman" w:hAnsi="Times New Roman"/>
                <w:b w:val="0"/>
                <w:sz w:val="20"/>
              </w:rPr>
              <w:t>Orientation vers l'emploi salarié ou indépendant ; salon annuel de recrutement ; suivi alumni à 6, 12 et 24 mois</w:t>
            </w:r>
          </w:p>
        </w:tc>
        <w:tc>
          <w:tcPr>
            <w:tcW w:type="dxa" w:w="3041"/>
          </w:tcPr>
          <w:p>
            <w:r>
              <w:rPr>
                <w:rFonts w:ascii="Times New Roman" w:hAnsi="Times New Roman"/>
                <w:b w:val="0"/>
                <w:sz w:val="20"/>
              </w:rPr>
              <w:t>Durabilité de l'insertion mesurée</w:t>
            </w:r>
          </w:p>
        </w:tc>
      </w:tr>
    </w:tbl>
    <w:p/>
    <w:p>
      <w:pPr>
        <w:pStyle w:val="Heading3"/>
      </w:pPr>
      <w:r>
        <w:rPr>
          <w:rFonts w:ascii="Times New Roman" w:hAnsi="Times New Roman"/>
          <w:color w:val="1F4E79"/>
          <w:sz w:val="26"/>
        </w:rPr>
        <w:t>2.6 Cadre institutionnel et acteurs</w:t>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Acteur</w:t>
            </w:r>
          </w:p>
        </w:tc>
        <w:tc>
          <w:tcPr>
            <w:tcW w:type="dxa" w:w="4561"/>
            <w:shd w:val="clear" w:color="auto" w:fill="003366"/>
          </w:tcPr>
          <w:p>
            <w:r>
              <w:rPr>
                <w:rFonts w:ascii="Times New Roman" w:hAnsi="Times New Roman"/>
                <w:b/>
                <w:color w:val="FFFFFF"/>
                <w:sz w:val="20"/>
              </w:rPr>
              <w:t>Rôle</w:t>
            </w:r>
          </w:p>
        </w:tc>
      </w:tr>
      <w:tr>
        <w:tc>
          <w:tcPr>
            <w:tcW w:type="dxa" w:w="4561"/>
          </w:tcPr>
          <w:p>
            <w:r>
              <w:rPr>
                <w:rFonts w:ascii="Times New Roman" w:hAnsi="Times New Roman"/>
                <w:b w:val="0"/>
                <w:sz w:val="20"/>
              </w:rPr>
              <w:t>Présidence de la République / BAI</w:t>
            </w:r>
          </w:p>
        </w:tc>
        <w:tc>
          <w:tcPr>
            <w:tcW w:type="dxa" w:w="4561"/>
          </w:tcPr>
          <w:p>
            <w:r>
              <w:rPr>
                <w:rFonts w:ascii="Times New Roman" w:hAnsi="Times New Roman"/>
                <w:b w:val="0"/>
                <w:sz w:val="20"/>
              </w:rPr>
              <w:t>Autorité de tutelle, financement, mise à disposition de l'Unité de Coordination</w:t>
            </w:r>
          </w:p>
        </w:tc>
      </w:tr>
      <w:tr>
        <w:tc>
          <w:tcPr>
            <w:tcW w:type="dxa" w:w="4561"/>
          </w:tcPr>
          <w:p>
            <w:r>
              <w:rPr>
                <w:rFonts w:ascii="Times New Roman" w:hAnsi="Times New Roman"/>
                <w:b w:val="0"/>
                <w:sz w:val="20"/>
              </w:rPr>
              <w:t>Ministère en charge de l'Emploi</w:t>
            </w:r>
          </w:p>
        </w:tc>
        <w:tc>
          <w:tcPr>
            <w:tcW w:type="dxa" w:w="4561"/>
          </w:tcPr>
          <w:p>
            <w:r>
              <w:rPr>
                <w:rFonts w:ascii="Times New Roman" w:hAnsi="Times New Roman"/>
                <w:b w:val="0"/>
                <w:sz w:val="20"/>
              </w:rPr>
              <w:t>Supervision politique</w:t>
            </w:r>
          </w:p>
        </w:tc>
      </w:tr>
      <w:tr>
        <w:tc>
          <w:tcPr>
            <w:tcW w:type="dxa" w:w="4561"/>
          </w:tcPr>
          <w:p>
            <w:r>
              <w:rPr>
                <w:rFonts w:ascii="Times New Roman" w:hAnsi="Times New Roman"/>
                <w:b w:val="0"/>
                <w:sz w:val="20"/>
              </w:rPr>
              <w:t>ANPE</w:t>
            </w:r>
          </w:p>
        </w:tc>
        <w:tc>
          <w:tcPr>
            <w:tcW w:type="dxa" w:w="4561"/>
          </w:tcPr>
          <w:p>
            <w:r>
              <w:rPr>
                <w:rFonts w:ascii="Times New Roman" w:hAnsi="Times New Roman"/>
                <w:b w:val="0"/>
                <w:sz w:val="20"/>
              </w:rPr>
              <w:t>Agence d'exécution : plateforme, bases de données, conseillers en emploi, réseau territorial</w:t>
            </w:r>
          </w:p>
        </w:tc>
      </w:tr>
      <w:tr>
        <w:tc>
          <w:tcPr>
            <w:tcW w:type="dxa" w:w="4561"/>
          </w:tcPr>
          <w:p>
            <w:r>
              <w:rPr>
                <w:rFonts w:ascii="Times New Roman" w:hAnsi="Times New Roman"/>
                <w:b w:val="0"/>
                <w:sz w:val="20"/>
              </w:rPr>
              <w:t>Comité de pilotage (CA ANPE)</w:t>
            </w:r>
          </w:p>
        </w:tc>
        <w:tc>
          <w:tcPr>
            <w:tcW w:type="dxa" w:w="4561"/>
          </w:tcPr>
          <w:p>
            <w:r>
              <w:rPr>
                <w:rFonts w:ascii="Times New Roman" w:hAnsi="Times New Roman"/>
                <w:b w:val="0"/>
                <w:sz w:val="20"/>
              </w:rPr>
              <w:t>Orientations stratégiques, validation des rapports, approbation des budgets</w:t>
            </w:r>
          </w:p>
        </w:tc>
      </w:tr>
      <w:tr>
        <w:tc>
          <w:tcPr>
            <w:tcW w:type="dxa" w:w="4561"/>
          </w:tcPr>
          <w:p>
            <w:r>
              <w:rPr>
                <w:rFonts w:ascii="Times New Roman" w:hAnsi="Times New Roman"/>
                <w:b w:val="0"/>
                <w:sz w:val="20"/>
              </w:rPr>
              <w:t>Comité technique (DG ANPE)</w:t>
            </w:r>
          </w:p>
        </w:tc>
        <w:tc>
          <w:tcPr>
            <w:tcW w:type="dxa" w:w="4561"/>
          </w:tcPr>
          <w:p>
            <w:r>
              <w:rPr>
                <w:rFonts w:ascii="Times New Roman" w:hAnsi="Times New Roman"/>
                <w:b w:val="0"/>
                <w:sz w:val="20"/>
              </w:rPr>
              <w:t>Validation technique, supervision mensuelle des opérations</w:t>
            </w:r>
          </w:p>
        </w:tc>
      </w:tr>
      <w:tr>
        <w:tc>
          <w:tcPr>
            <w:tcW w:type="dxa" w:w="4561"/>
          </w:tcPr>
          <w:p>
            <w:r>
              <w:rPr>
                <w:rFonts w:ascii="Times New Roman" w:hAnsi="Times New Roman"/>
                <w:b w:val="0"/>
                <w:sz w:val="20"/>
              </w:rPr>
              <w:t>Coordination du PSIE</w:t>
            </w:r>
          </w:p>
        </w:tc>
        <w:tc>
          <w:tcPr>
            <w:tcW w:type="dxa" w:w="4561"/>
          </w:tcPr>
          <w:p>
            <w:r>
              <w:rPr>
                <w:rFonts w:ascii="Times New Roman" w:hAnsi="Times New Roman"/>
                <w:b w:val="0"/>
                <w:sz w:val="20"/>
              </w:rPr>
              <w:t>Coordinateur, spécialiste S-E, administrateur plateforme — gestion opérationnelle quotidienne</w:t>
            </w:r>
          </w:p>
        </w:tc>
      </w:tr>
      <w:tr>
        <w:tc>
          <w:tcPr>
            <w:tcW w:type="dxa" w:w="4561"/>
          </w:tcPr>
          <w:p>
            <w:r>
              <w:rPr>
                <w:rFonts w:ascii="Times New Roman" w:hAnsi="Times New Roman"/>
                <w:b w:val="0"/>
                <w:sz w:val="20"/>
              </w:rPr>
              <w:t>Organisations d'employeurs</w:t>
            </w:r>
          </w:p>
        </w:tc>
        <w:tc>
          <w:tcPr>
            <w:tcW w:type="dxa" w:w="4561"/>
          </w:tcPr>
          <w:p>
            <w:r>
              <w:rPr>
                <w:rFonts w:ascii="Times New Roman" w:hAnsi="Times New Roman"/>
                <w:b w:val="0"/>
                <w:sz w:val="20"/>
              </w:rPr>
              <w:t>Caution morale des entreprises membres (CCIB, CNPB, CONEB, groupements professionnels)</w:t>
            </w:r>
          </w:p>
        </w:tc>
      </w:tr>
      <w:tr>
        <w:tc>
          <w:tcPr>
            <w:tcW w:type="dxa" w:w="4561"/>
          </w:tcPr>
          <w:p>
            <w:r>
              <w:rPr>
                <w:rFonts w:ascii="Times New Roman" w:hAnsi="Times New Roman"/>
                <w:b w:val="0"/>
                <w:sz w:val="20"/>
              </w:rPr>
              <w:t>Entreprises bénéficiaires</w:t>
            </w:r>
          </w:p>
        </w:tc>
        <w:tc>
          <w:tcPr>
            <w:tcW w:type="dxa" w:w="4561"/>
          </w:tcPr>
          <w:p>
            <w:r>
              <w:rPr>
                <w:rFonts w:ascii="Times New Roman" w:hAnsi="Times New Roman"/>
                <w:b w:val="0"/>
                <w:sz w:val="20"/>
              </w:rPr>
              <w:t>Sélection finale des candidats, tuteurs/mentors, encadrement, déclaration CNSS/IRPP</w:t>
            </w:r>
          </w:p>
        </w:tc>
      </w:tr>
      <w:tr>
        <w:tc>
          <w:tcPr>
            <w:tcW w:type="dxa" w:w="4561"/>
          </w:tcPr>
          <w:p>
            <w:r>
              <w:rPr>
                <w:rFonts w:ascii="Times New Roman" w:hAnsi="Times New Roman"/>
                <w:b w:val="0"/>
                <w:sz w:val="20"/>
              </w:rPr>
              <w:t>Trésor public</w:t>
            </w:r>
          </w:p>
        </w:tc>
        <w:tc>
          <w:tcPr>
            <w:tcW w:type="dxa" w:w="4561"/>
          </w:tcPr>
          <w:p>
            <w:r>
              <w:rPr>
                <w:rFonts w:ascii="Times New Roman" w:hAnsi="Times New Roman"/>
                <w:b w:val="0"/>
                <w:sz w:val="20"/>
              </w:rPr>
              <w:t>Paiement direct des salaires sur les comptes des allocataires</w:t>
            </w:r>
          </w:p>
        </w:tc>
      </w:tr>
    </w:tbl>
    <w:p/>
    <w:p>
      <w:pPr>
        <w:pStyle w:val="Heading3"/>
      </w:pPr>
      <w:r>
        <w:rPr>
          <w:rFonts w:ascii="Times New Roman" w:hAnsi="Times New Roman"/>
          <w:color w:val="1F4E79"/>
          <w:sz w:val="26"/>
        </w:rPr>
        <w:t>2.7 Budget et financement</w:t>
      </w:r>
    </w:p>
    <w:p>
      <w:r>
        <w:rPr>
          <w:rFonts w:ascii="Times New Roman" w:hAnsi="Times New Roman"/>
          <w:sz w:val="24"/>
        </w:rPr>
      </w:r>
      <w:r>
        <w:rPr>
          <w:rFonts w:ascii="Times New Roman" w:hAnsi="Times New Roman"/>
          <w:b/>
          <w:sz w:val="24"/>
        </w:rPr>
        <w:t>Financement : 100 % ressources nationales (budget de l'État béninois)</w:t>
      </w:r>
      <w:r>
        <w:rPr>
          <w:rFonts w:ascii="Times New Roman" w:hAnsi="Times New Roman"/>
          <w:sz w:val="24"/>
        </w:rPr>
        <w:t>. Aucune contribution numéraire n'est attendue des entreprises.</w:t>
      </w:r>
    </w:p>
    <w:p>
      <w:r>
        <w:rPr>
          <w:rFonts w:ascii="Times New Roman" w:hAnsi="Times New Roman"/>
          <w:sz w:val="24"/>
        </w:rPr>
      </w:r>
      <w:r>
        <w:rPr>
          <w:rFonts w:ascii="Times New Roman" w:hAnsi="Times New Roman"/>
          <w:b/>
          <w:sz w:val="24"/>
        </w:rPr>
        <w:t>Budget global prévisionnel sur 5 ans : 46,60 milliards FCFA</w:t>
      </w:r>
      <w:r>
        <w:rPr>
          <w:rFonts w:ascii="Times New Roman" w:hAnsi="Times New Roman"/>
          <w:sz w:val="24"/>
        </w:rPr>
        <w:t>, dont :</w:t>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Rubrique</w:t>
            </w:r>
          </w:p>
        </w:tc>
        <w:tc>
          <w:tcPr>
            <w:tcW w:type="dxa" w:w="4561"/>
            <w:shd w:val="clear" w:color="auto" w:fill="003366"/>
          </w:tcPr>
          <w:p>
            <w:r>
              <w:rPr>
                <w:rFonts w:ascii="Times New Roman" w:hAnsi="Times New Roman"/>
                <w:b/>
                <w:color w:val="FFFFFF"/>
                <w:sz w:val="20"/>
              </w:rPr>
              <w:t>Part estimée</w:t>
            </w:r>
          </w:p>
        </w:tc>
      </w:tr>
      <w:tr>
        <w:tc>
          <w:tcPr>
            <w:tcW w:type="dxa" w:w="4561"/>
          </w:tcPr>
          <w:p>
            <w:r>
              <w:rPr>
                <w:rFonts w:ascii="Times New Roman" w:hAnsi="Times New Roman"/>
                <w:b w:val="0"/>
                <w:sz w:val="20"/>
              </w:rPr>
              <w:t>Salaires et charges sociales des allocataires (43,57 milliards)</w:t>
            </w:r>
          </w:p>
        </w:tc>
        <w:tc>
          <w:tcPr>
            <w:tcW w:type="dxa" w:w="4561"/>
          </w:tcPr>
          <w:p>
            <w:r>
              <w:rPr>
                <w:rFonts w:ascii="Times New Roman" w:hAnsi="Times New Roman"/>
                <w:b w:val="0"/>
                <w:sz w:val="20"/>
              </w:rPr>
              <w:t>~93,5 %</w:t>
            </w:r>
          </w:p>
        </w:tc>
      </w:tr>
      <w:tr>
        <w:tc>
          <w:tcPr>
            <w:tcW w:type="dxa" w:w="4561"/>
          </w:tcPr>
          <w:p>
            <w:r>
              <w:rPr>
                <w:rFonts w:ascii="Times New Roman" w:hAnsi="Times New Roman"/>
                <w:b w:val="0"/>
                <w:sz w:val="20"/>
              </w:rPr>
              <w:t>Formation et encadrement</w:t>
            </w:r>
          </w:p>
        </w:tc>
        <w:tc>
          <w:tcPr>
            <w:tcW w:type="dxa" w:w="4561"/>
          </w:tcPr>
          <w:p>
            <w:r>
              <w:rPr>
                <w:rFonts w:ascii="Times New Roman" w:hAnsi="Times New Roman"/>
                <w:b w:val="0"/>
                <w:sz w:val="20"/>
              </w:rPr>
              <w:t>~3 %</w:t>
            </w:r>
          </w:p>
        </w:tc>
      </w:tr>
      <w:tr>
        <w:tc>
          <w:tcPr>
            <w:tcW w:type="dxa" w:w="4561"/>
          </w:tcPr>
          <w:p>
            <w:r>
              <w:rPr>
                <w:rFonts w:ascii="Times New Roman" w:hAnsi="Times New Roman"/>
                <w:b w:val="0"/>
                <w:sz w:val="20"/>
              </w:rPr>
              <w:t>Fonctionnement et frais de gestion administrative</w:t>
            </w:r>
          </w:p>
        </w:tc>
        <w:tc>
          <w:tcPr>
            <w:tcW w:type="dxa" w:w="4561"/>
          </w:tcPr>
          <w:p>
            <w:r>
              <w:rPr>
                <w:rFonts w:ascii="Times New Roman" w:hAnsi="Times New Roman"/>
                <w:b w:val="0"/>
                <w:sz w:val="20"/>
              </w:rPr>
              <w:t>~3,5 %</w:t>
            </w:r>
          </w:p>
        </w:tc>
      </w:tr>
    </w:tbl>
    <w:p/>
    <w:p>
      <w:r>
        <w:rPr>
          <w:rFonts w:ascii="Times New Roman" w:hAnsi="Times New Roman"/>
          <w:sz w:val="24"/>
        </w:rPr>
      </w:r>
      <w:r>
        <w:rPr>
          <w:rFonts w:ascii="Times New Roman" w:hAnsi="Times New Roman"/>
          <w:b/>
          <w:sz w:val="24"/>
        </w:rPr>
        <w:t>Exécution financière cumulative (juillet 2020 – septembre 2025) :</w:t>
      </w:r>
      <w:r>
        <w:rPr>
          <w:rFonts w:ascii="Times New Roman" w:hAnsi="Times New Roman"/>
          <w:sz w:val="24"/>
        </w:rPr>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366"/>
          </w:tcPr>
          <w:p>
            <w:r>
              <w:rPr>
                <w:rFonts w:ascii="Times New Roman" w:hAnsi="Times New Roman"/>
                <w:b/>
                <w:color w:val="FFFFFF"/>
                <w:sz w:val="20"/>
              </w:rPr>
              <w:t>Nature de dépense</w:t>
            </w:r>
          </w:p>
        </w:tc>
        <w:tc>
          <w:tcPr>
            <w:tcW w:type="dxa" w:w="2280"/>
            <w:shd w:val="clear" w:color="auto" w:fill="003366"/>
          </w:tcPr>
          <w:p>
            <w:r>
              <w:rPr>
                <w:rFonts w:ascii="Times New Roman" w:hAnsi="Times New Roman"/>
                <w:b/>
                <w:color w:val="FFFFFF"/>
                <w:sz w:val="20"/>
              </w:rPr>
              <w:t>Prévisions</w:t>
            </w:r>
          </w:p>
        </w:tc>
        <w:tc>
          <w:tcPr>
            <w:tcW w:type="dxa" w:w="2280"/>
            <w:shd w:val="clear" w:color="auto" w:fill="003366"/>
          </w:tcPr>
          <w:p>
            <w:r>
              <w:rPr>
                <w:rFonts w:ascii="Times New Roman" w:hAnsi="Times New Roman"/>
                <w:b/>
                <w:color w:val="FFFFFF"/>
                <w:sz w:val="20"/>
              </w:rPr>
              <w:t>Réalisations</w:t>
            </w:r>
          </w:p>
        </w:tc>
        <w:tc>
          <w:tcPr>
            <w:tcW w:type="dxa" w:w="2280"/>
            <w:shd w:val="clear" w:color="auto" w:fill="003366"/>
          </w:tcPr>
          <w:p>
            <w:r>
              <w:rPr>
                <w:rFonts w:ascii="Times New Roman" w:hAnsi="Times New Roman"/>
                <w:b/>
                <w:color w:val="FFFFFF"/>
                <w:sz w:val="20"/>
              </w:rPr>
              <w:t>Taux</w:t>
            </w:r>
          </w:p>
        </w:tc>
      </w:tr>
      <w:tr>
        <w:tc>
          <w:tcPr>
            <w:tcW w:type="dxa" w:w="2280"/>
          </w:tcPr>
          <w:p>
            <w:r>
              <w:rPr>
                <w:rFonts w:ascii="Times New Roman" w:hAnsi="Times New Roman"/>
                <w:b w:val="0"/>
                <w:sz w:val="20"/>
              </w:rPr>
              <w:t>Salaires, charges sociales et fiscales</w:t>
            </w:r>
          </w:p>
        </w:tc>
        <w:tc>
          <w:tcPr>
            <w:tcW w:type="dxa" w:w="2280"/>
          </w:tcPr>
          <w:p>
            <w:r>
              <w:rPr>
                <w:rFonts w:ascii="Times New Roman" w:hAnsi="Times New Roman"/>
                <w:b w:val="0"/>
                <w:sz w:val="20"/>
              </w:rPr>
              <w:t>24,8 milliards FCFA</w:t>
            </w:r>
          </w:p>
        </w:tc>
        <w:tc>
          <w:tcPr>
            <w:tcW w:type="dxa" w:w="2280"/>
          </w:tcPr>
          <w:p>
            <w:r>
              <w:rPr>
                <w:rFonts w:ascii="Times New Roman" w:hAnsi="Times New Roman"/>
                <w:b w:val="0"/>
                <w:sz w:val="20"/>
              </w:rPr>
              <w:t>18,3 milliards FCFA</w:t>
            </w:r>
          </w:p>
        </w:tc>
        <w:tc>
          <w:tcPr>
            <w:tcW w:type="dxa" w:w="2280"/>
          </w:tcPr>
          <w:p>
            <w:r>
              <w:rPr>
                <w:rFonts w:ascii="Times New Roman" w:hAnsi="Times New Roman"/>
                <w:b w:val="0"/>
                <w:sz w:val="20"/>
              </w:rPr>
              <w:t>~74 %</w:t>
            </w:r>
          </w:p>
        </w:tc>
      </w:tr>
      <w:tr>
        <w:tc>
          <w:tcPr>
            <w:tcW w:type="dxa" w:w="2280"/>
          </w:tcPr>
          <w:p>
            <w:r>
              <w:rPr>
                <w:rFonts w:ascii="Times New Roman" w:hAnsi="Times New Roman"/>
                <w:b w:val="0"/>
                <w:sz w:val="20"/>
              </w:rPr>
              <w:t>Fonctionnement et opérations</w:t>
            </w:r>
          </w:p>
        </w:tc>
        <w:tc>
          <w:tcPr>
            <w:tcW w:type="dxa" w:w="2280"/>
          </w:tcPr>
          <w:p>
            <w:r>
              <w:rPr>
                <w:rFonts w:ascii="Times New Roman" w:hAnsi="Times New Roman"/>
                <w:b w:val="0"/>
                <w:sz w:val="20"/>
              </w:rPr>
              <w:t>3,1 milliards FCFA</w:t>
            </w:r>
          </w:p>
        </w:tc>
        <w:tc>
          <w:tcPr>
            <w:tcW w:type="dxa" w:w="2280"/>
          </w:tcPr>
          <w:p>
            <w:r>
              <w:rPr>
                <w:rFonts w:ascii="Times New Roman" w:hAnsi="Times New Roman"/>
                <w:b w:val="0"/>
                <w:sz w:val="20"/>
              </w:rPr>
              <w:t>2,25 milliards FCFA</w:t>
            </w:r>
          </w:p>
        </w:tc>
        <w:tc>
          <w:tcPr>
            <w:tcW w:type="dxa" w:w="2280"/>
          </w:tcPr>
          <w:p>
            <w:r>
              <w:rPr>
                <w:rFonts w:ascii="Times New Roman" w:hAnsi="Times New Roman"/>
                <w:b w:val="0"/>
                <w:sz w:val="20"/>
              </w:rPr>
              <w:t>~72 %</w:t>
            </w:r>
          </w:p>
        </w:tc>
      </w:tr>
      <w:tr>
        <w:tc>
          <w:tcPr>
            <w:tcW w:type="dxa" w:w="2280"/>
          </w:tcPr>
          <w:p>
            <w:r>
              <w:rPr>
                <w:rFonts w:ascii="Times New Roman" w:hAnsi="Times New Roman"/>
                <w:b w:val="0"/>
                <w:sz w:val="20"/>
              </w:rPr>
              <w:t>Total</w:t>
            </w:r>
          </w:p>
        </w:tc>
        <w:tc>
          <w:tcPr>
            <w:tcW w:type="dxa" w:w="2280"/>
          </w:tcPr>
          <w:p>
            <w:r>
              <w:rPr>
                <w:rFonts w:ascii="Times New Roman" w:hAnsi="Times New Roman"/>
                <w:b w:val="0"/>
                <w:sz w:val="20"/>
              </w:rPr>
              <w:t>~27,9 milliards FCFA</w:t>
            </w:r>
          </w:p>
        </w:tc>
        <w:tc>
          <w:tcPr>
            <w:tcW w:type="dxa" w:w="2280"/>
          </w:tcPr>
          <w:p>
            <w:r>
              <w:rPr>
                <w:rFonts w:ascii="Times New Roman" w:hAnsi="Times New Roman"/>
                <w:b w:val="0"/>
                <w:sz w:val="20"/>
              </w:rPr>
              <w:t>~20,6 milliards FCFA</w:t>
            </w:r>
          </w:p>
        </w:tc>
        <w:tc>
          <w:tcPr>
            <w:tcW w:type="dxa" w:w="2280"/>
          </w:tcPr>
          <w:p>
            <w:r>
              <w:rPr>
                <w:rFonts w:ascii="Times New Roman" w:hAnsi="Times New Roman"/>
                <w:b w:val="0"/>
                <w:sz w:val="20"/>
              </w:rPr>
              <w:t>79,6 %</w:t>
            </w:r>
          </w:p>
        </w:tc>
      </w:tr>
    </w:tbl>
    <w:p/>
    <w:p>
      <w:pPr>
        <w:pStyle w:val="Heading3"/>
      </w:pPr>
      <w:r>
        <w:rPr>
          <w:rFonts w:ascii="Times New Roman" w:hAnsi="Times New Roman"/>
          <w:color w:val="1F4E79"/>
          <w:sz w:val="26"/>
        </w:rPr>
        <w:t>2.8 Cadre logique / Théorie du changement</w:t>
      </w:r>
    </w:p>
    <w:p>
      <w:r>
        <w:rPr>
          <w:rFonts w:ascii="Times New Roman" w:hAnsi="Times New Roman"/>
          <w:sz w:val="24"/>
        </w:rPr>
        <w:t>La théorie du changement du PSIE suit la logique suivante :</w:t>
      </w:r>
    </w:p>
    <w:p>
      <w:r>
        <w:rPr>
          <w:rFonts w:ascii="Times New Roman" w:hAnsi="Times New Roman"/>
          <w:sz w:val="24"/>
        </w:rPr>
      </w:r>
      <w:r>
        <w:rPr>
          <w:rFonts w:ascii="Times New Roman" w:hAnsi="Times New Roman"/>
          <w:b/>
          <w:sz w:val="24"/>
        </w:rPr>
        <w:t>Problème identifié :</w:t>
      </w:r>
      <w:r>
        <w:rPr>
          <w:rFonts w:ascii="Times New Roman" w:hAnsi="Times New Roman"/>
          <w:sz w:val="24"/>
        </w:rPr>
        <w:t xml:space="preserve"> Les jeunes diplômés n'accèdent pas à l'emploi en raison de (1) l'inadéquation entre leur profil et les besoins des entreprises, et (2) la réticence des entreprises à embaucher, due aux charges salariales.</w:t>
      </w:r>
    </w:p>
    <w:p>
      <w:r>
        <w:rPr>
          <w:rFonts w:ascii="Times New Roman" w:hAnsi="Times New Roman"/>
          <w:sz w:val="24"/>
        </w:rPr>
      </w:r>
      <w:r>
        <w:rPr>
          <w:rFonts w:ascii="Times New Roman" w:hAnsi="Times New Roman"/>
          <w:b/>
          <w:sz w:val="24"/>
        </w:rPr>
        <w:t>Réponse programmatique :</w:t>
      </w:r>
      <w:r>
        <w:rPr>
          <w:rFonts w:ascii="Times New Roman" w:hAnsi="Times New Roman"/>
          <w:sz w:val="24"/>
        </w:rPr>
        <w:t xml:space="preserve"> L'État prend en charge 100 % des salaires pendant la période d'immersion (24 mois), levant ainsi la contrainte financière pour les entreprises, tandis que les jeunes acquièrent une expérience professionnelle encadrée améliorant leur employabilité durable.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003366"/>
          </w:tcPr>
          <w:p>
            <w:r>
              <w:rPr>
                <w:rFonts w:ascii="Times New Roman" w:hAnsi="Times New Roman"/>
                <w:b/>
                <w:color w:val="FFFFFF"/>
                <w:sz w:val="20"/>
              </w:rPr>
              <w:t>Intrants</w:t>
            </w:r>
          </w:p>
        </w:tc>
        <w:tc>
          <w:tcPr>
            <w:tcW w:type="dxa" w:w="1824"/>
            <w:shd w:val="clear" w:color="auto" w:fill="003366"/>
          </w:tcPr>
          <w:p>
            <w:r>
              <w:rPr>
                <w:rFonts w:ascii="Times New Roman" w:hAnsi="Times New Roman"/>
                <w:b/>
                <w:color w:val="FFFFFF"/>
                <w:sz w:val="20"/>
              </w:rPr>
              <w:t>Activités</w:t>
            </w:r>
          </w:p>
        </w:tc>
        <w:tc>
          <w:tcPr>
            <w:tcW w:type="dxa" w:w="1824"/>
            <w:shd w:val="clear" w:color="auto" w:fill="003366"/>
          </w:tcPr>
          <w:p>
            <w:r>
              <w:rPr>
                <w:rFonts w:ascii="Times New Roman" w:hAnsi="Times New Roman"/>
                <w:b/>
                <w:color w:val="FFFFFF"/>
                <w:sz w:val="20"/>
              </w:rPr>
              <w:t>Extrants</w:t>
            </w:r>
          </w:p>
        </w:tc>
        <w:tc>
          <w:tcPr>
            <w:tcW w:type="dxa" w:w="1824"/>
            <w:shd w:val="clear" w:color="auto" w:fill="003366"/>
          </w:tcPr>
          <w:p>
            <w:r>
              <w:rPr>
                <w:rFonts w:ascii="Times New Roman" w:hAnsi="Times New Roman"/>
                <w:b/>
                <w:color w:val="FFFFFF"/>
                <w:sz w:val="20"/>
              </w:rPr>
              <w:t>Résultats</w:t>
            </w:r>
          </w:p>
        </w:tc>
        <w:tc>
          <w:tcPr>
            <w:tcW w:type="dxa" w:w="1824"/>
            <w:shd w:val="clear" w:color="auto" w:fill="003366"/>
          </w:tcPr>
          <w:p>
            <w:r>
              <w:rPr>
                <w:rFonts w:ascii="Times New Roman" w:hAnsi="Times New Roman"/>
                <w:b/>
                <w:color w:val="FFFFFF"/>
                <w:sz w:val="20"/>
              </w:rPr>
              <w:t>Impact visé</w:t>
            </w:r>
          </w:p>
        </w:tc>
      </w:tr>
      <w:tr>
        <w:tc>
          <w:tcPr>
            <w:tcW w:type="dxa" w:w="1824"/>
          </w:tcPr>
          <w:p>
            <w:r>
              <w:rPr>
                <w:rFonts w:ascii="Times New Roman" w:hAnsi="Times New Roman"/>
                <w:b w:val="0"/>
                <w:sz w:val="20"/>
              </w:rPr>
              <w:t>Budget de l'État (46,6 mds FCFA)</w:t>
            </w:r>
          </w:p>
        </w:tc>
        <w:tc>
          <w:tcPr>
            <w:tcW w:type="dxa" w:w="1824"/>
          </w:tcPr>
          <w:p>
            <w:r>
              <w:rPr>
                <w:rFonts w:ascii="Times New Roman" w:hAnsi="Times New Roman"/>
                <w:b w:val="0"/>
                <w:sz w:val="20"/>
              </w:rPr>
              <w:t>Prospection entreprises, sélection candidats</w:t>
            </w:r>
          </w:p>
        </w:tc>
        <w:tc>
          <w:tcPr>
            <w:tcW w:type="dxa" w:w="1824"/>
          </w:tcPr>
          <w:p>
            <w:r>
              <w:rPr>
                <w:rFonts w:ascii="Times New Roman" w:hAnsi="Times New Roman"/>
                <w:b w:val="0"/>
                <w:sz w:val="20"/>
              </w:rPr>
              <w:t>Entreprises enregistrées, offres publiées, candidats insérés</w:t>
            </w:r>
          </w:p>
        </w:tc>
        <w:tc>
          <w:tcPr>
            <w:tcW w:type="dxa" w:w="1824"/>
          </w:tcPr>
          <w:p>
            <w:r>
              <w:rPr>
                <w:rFonts w:ascii="Times New Roman" w:hAnsi="Times New Roman"/>
                <w:b w:val="0"/>
                <w:sz w:val="20"/>
              </w:rPr>
              <w:t>R1 : 2000 jeunes/an mieux qualifiés et insérés</w:t>
            </w:r>
          </w:p>
        </w:tc>
        <w:tc>
          <w:tcPr>
            <w:tcW w:type="dxa" w:w="1824"/>
          </w:tcPr>
          <w:p>
            <w:r>
              <w:rPr>
                <w:rFonts w:ascii="Times New Roman" w:hAnsi="Times New Roman"/>
                <w:b w:val="0"/>
                <w:sz w:val="20"/>
              </w:rPr>
              <w:t>Réduction du chômage et sous-emploi des jeunes au Bénin</w:t>
            </w:r>
          </w:p>
        </w:tc>
      </w:tr>
      <w:tr>
        <w:tc>
          <w:tcPr>
            <w:tcW w:type="dxa" w:w="1824"/>
          </w:tcPr>
          <w:p>
            <w:r>
              <w:rPr>
                <w:rFonts w:ascii="Times New Roman" w:hAnsi="Times New Roman"/>
                <w:b w:val="0"/>
                <w:sz w:val="20"/>
              </w:rPr>
              <w:t>ANPE (plateforme, RH, réseau)</w:t>
            </w:r>
          </w:p>
        </w:tc>
        <w:tc>
          <w:tcPr>
            <w:tcW w:type="dxa" w:w="1824"/>
          </w:tcPr>
          <w:p>
            <w:r>
              <w:rPr>
                <w:rFonts w:ascii="Times New Roman" w:hAnsi="Times New Roman"/>
                <w:b w:val="0"/>
                <w:sz w:val="20"/>
              </w:rPr>
              <w:t>Prise en charge salariale, encadrement tutorat</w:t>
            </w:r>
          </w:p>
        </w:tc>
        <w:tc>
          <w:tcPr>
            <w:tcW w:type="dxa" w:w="1824"/>
          </w:tcPr>
          <w:p>
            <w:r>
              <w:rPr>
                <w:rFonts w:ascii="Times New Roman" w:hAnsi="Times New Roman"/>
                <w:b w:val="0"/>
                <w:sz w:val="20"/>
              </w:rPr>
              <w:t>Contrats signés, salaires versés</w:t>
            </w:r>
          </w:p>
        </w:tc>
        <w:tc>
          <w:tcPr>
            <w:tcW w:type="dxa" w:w="1824"/>
          </w:tcPr>
          <w:p>
            <w:r>
              <w:rPr>
                <w:rFonts w:ascii="Times New Roman" w:hAnsi="Times New Roman"/>
                <w:b w:val="0"/>
                <w:sz w:val="20"/>
              </w:rPr>
              <w:t>R2 : 2000 jeunes/an rémunérés par l'État</w:t>
            </w:r>
          </w:p>
        </w:tc>
        <w:tc>
          <w:tcPr>
            <w:tcW w:type="dxa" w:w="1824"/>
          </w:tcPr>
          <w:p>
            <w:r>
              <w:rPr>
                <w:rFonts w:ascii="Times New Roman" w:hAnsi="Times New Roman"/>
                <w:b w:val="0"/>
                <w:sz w:val="20"/>
              </w:rPr>
              <w:t>Amélioration de la compétitivité des entreprises</w:t>
            </w:r>
          </w:p>
        </w:tc>
      </w:tr>
      <w:tr>
        <w:tc>
          <w:tcPr>
            <w:tcW w:type="dxa" w:w="1824"/>
          </w:tcPr>
          <w:p>
            <w:r>
              <w:rPr>
                <w:rFonts w:ascii="Times New Roman" w:hAnsi="Times New Roman"/>
                <w:b w:val="0"/>
                <w:sz w:val="20"/>
              </w:rPr>
              <w:t>Unité de coordination</w:t>
            </w:r>
          </w:p>
        </w:tc>
        <w:tc>
          <w:tcPr>
            <w:tcW w:type="dxa" w:w="1824"/>
          </w:tcPr>
          <w:p>
            <w:r>
              <w:rPr>
                <w:rFonts w:ascii="Times New Roman" w:hAnsi="Times New Roman"/>
                <w:b w:val="0"/>
                <w:sz w:val="20"/>
              </w:rPr>
              <w:t>Suivi mensuel, formation</w:t>
            </w:r>
          </w:p>
        </w:tc>
        <w:tc>
          <w:tcPr>
            <w:tcW w:type="dxa" w:w="1824"/>
          </w:tcPr>
          <w:p>
            <w:r>
              <w:rPr>
                <w:rFonts w:ascii="Times New Roman" w:hAnsi="Times New Roman"/>
                <w:b w:val="0"/>
                <w:sz w:val="20"/>
              </w:rPr>
              <w:t>Rapports de suivi, ateliers réalisés</w:t>
            </w:r>
          </w:p>
        </w:tc>
        <w:tc>
          <w:tcPr>
            <w:tcW w:type="dxa" w:w="1824"/>
          </w:tcPr>
          <w:p>
            <w:r>
              <w:rPr>
                <w:rFonts w:ascii="Times New Roman" w:hAnsi="Times New Roman"/>
                <w:b w:val="0"/>
                <w:sz w:val="20"/>
              </w:rPr>
              <w:t>—</w:t>
            </w:r>
          </w:p>
        </w:tc>
        <w:tc>
          <w:tcPr>
            <w:tcW w:type="dxa" w:w="1824"/>
          </w:tcPr>
          <w:p>
            <w:r>
              <w:rPr>
                <w:rFonts w:ascii="Times New Roman" w:hAnsi="Times New Roman"/>
                <w:b w:val="0"/>
                <w:sz w:val="20"/>
              </w:rPr>
              <w:t>Croissance économique inclusive</w:t>
            </w:r>
          </w:p>
        </w:tc>
      </w:tr>
    </w:tbl>
    <w:p/>
    <w:p/>
    <w:p>
      <w:pPr>
        <w:pStyle w:val="Heading2"/>
      </w:pPr>
      <w:r>
        <w:rPr>
          <w:rFonts w:ascii="Times New Roman" w:hAnsi="Times New Roman"/>
          <w:color w:val="003366"/>
          <w:sz w:val="28"/>
        </w:rPr>
        <w:t>3. MÉTHODOLOGIE DE L'ÉVALUATION</w:t>
      </w:r>
    </w:p>
    <w:p>
      <w:r>
        <w:rPr>
          <w:rFonts w:ascii="Times New Roman" w:hAnsi="Times New Roman"/>
          <w:sz w:val="24"/>
        </w:rPr>
        <w:t xml:space="preserve">La méthodologie globale de la présente évaluation adopte une </w:t>
      </w:r>
      <w:r>
        <w:rPr>
          <w:rFonts w:ascii="Times New Roman" w:hAnsi="Times New Roman"/>
          <w:b/>
          <w:sz w:val="24"/>
        </w:rPr>
        <w:t>approche inclusive et participative</w:t>
      </w:r>
      <w:r>
        <w:rPr>
          <w:rFonts w:ascii="Times New Roman" w:hAnsi="Times New Roman"/>
          <w:sz w:val="24"/>
        </w:rPr>
        <w:t xml:space="preserve">, conforme au </w:t>
      </w:r>
      <w:r>
        <w:rPr>
          <w:rFonts w:ascii="Times New Roman" w:hAnsi="Times New Roman"/>
          <w:b/>
          <w:sz w:val="24"/>
        </w:rPr>
        <w:t>Guide Méthodologique National d'Évaluation (GMNE)</w:t>
      </w:r>
      <w:r>
        <w:rPr>
          <w:rFonts w:ascii="Times New Roman" w:hAnsi="Times New Roman"/>
          <w:sz w:val="24"/>
        </w:rPr>
        <w:t xml:space="preserve"> des politiques publiques en République du Bénin. La recherche du consensus a été de mise tout au long du processus, entre l'équipe d'évaluation, le commanditaire (ANPE) et les parties prenantes institutionnelles.</w:t>
      </w:r>
    </w:p>
    <w:p>
      <w:r>
        <w:rPr>
          <w:rFonts w:ascii="Times New Roman" w:hAnsi="Times New Roman"/>
          <w:sz w:val="24"/>
        </w:rPr>
        <w:t>Elle résume (i) la démarche méthodologique de conduite de la mission et (ii) la démarche de collecte et d'analyse des données.</w:t>
      </w:r>
    </w:p>
    <w:p/>
    <w:p>
      <w:pPr>
        <w:pStyle w:val="Heading3"/>
      </w:pPr>
      <w:r>
        <w:rPr>
          <w:rFonts w:ascii="Times New Roman" w:hAnsi="Times New Roman"/>
          <w:color w:val="1F4E79"/>
          <w:sz w:val="26"/>
        </w:rPr>
        <w:t>3.1. Approche méthodologique adoptée</w:t>
      </w:r>
    </w:p>
    <w:p>
      <w:pPr>
        <w:pStyle w:val="Heading4"/>
      </w:pPr>
      <w:r>
        <w:rPr>
          <w:rFonts w:ascii="Times New Roman" w:hAnsi="Times New Roman"/>
          <w:color w:val="333333"/>
          <w:sz w:val="24"/>
        </w:rPr>
        <w:t>3.1.1. Démarche méthodologique de conduite de la mission</w:t>
      </w:r>
    </w:p>
    <w:p>
      <w:r>
        <w:rPr>
          <w:rFonts w:ascii="Times New Roman" w:hAnsi="Times New Roman"/>
          <w:sz w:val="24"/>
        </w:rPr>
        <w:t xml:space="preserve">Le processus de la présente évaluation a été scindé en </w:t>
      </w:r>
      <w:r>
        <w:rPr>
          <w:rFonts w:ascii="Times New Roman" w:hAnsi="Times New Roman"/>
          <w:b/>
          <w:sz w:val="24"/>
        </w:rPr>
        <w:t>cinq phases</w:t>
      </w:r>
      <w:r>
        <w:rPr>
          <w:rFonts w:ascii="Times New Roman" w:hAnsi="Times New Roman"/>
          <w:sz w:val="24"/>
        </w:rPr>
        <w:t xml:space="preserve"> définies comme suit : (i) Phase préparatoire ; (ii) Élaboration et validation du référentiel d'évaluation ; (iii) Collecte et analyse de données ; (iv) Élaboration du rapport provisoire et examen par l'instance d'évaluation ; (v) Validation nationale du rapport d'évaluation et son approbation.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366"/>
          </w:tcPr>
          <w:p>
            <w:r>
              <w:rPr>
                <w:rFonts w:ascii="Times New Roman" w:hAnsi="Times New Roman"/>
                <w:b/>
                <w:color w:val="FFFFFF"/>
                <w:sz w:val="20"/>
              </w:rPr>
              <w:t>Phase</w:t>
            </w:r>
          </w:p>
        </w:tc>
        <w:tc>
          <w:tcPr>
            <w:tcW w:type="dxa" w:w="2280"/>
            <w:shd w:val="clear" w:color="auto" w:fill="003366"/>
          </w:tcPr>
          <w:p>
            <w:r>
              <w:rPr>
                <w:rFonts w:ascii="Times New Roman" w:hAnsi="Times New Roman"/>
                <w:b/>
                <w:color w:val="FFFFFF"/>
                <w:sz w:val="20"/>
              </w:rPr>
              <w:t>Intitulé</w:t>
            </w:r>
          </w:p>
        </w:tc>
        <w:tc>
          <w:tcPr>
            <w:tcW w:type="dxa" w:w="2280"/>
            <w:shd w:val="clear" w:color="auto" w:fill="003366"/>
          </w:tcPr>
          <w:p>
            <w:r>
              <w:rPr>
                <w:rFonts w:ascii="Times New Roman" w:hAnsi="Times New Roman"/>
                <w:b/>
                <w:color w:val="FFFFFF"/>
                <w:sz w:val="20"/>
              </w:rPr>
              <w:t>Activités principales</w:t>
            </w:r>
          </w:p>
        </w:tc>
        <w:tc>
          <w:tcPr>
            <w:tcW w:type="dxa" w:w="2280"/>
            <w:shd w:val="clear" w:color="auto" w:fill="003366"/>
          </w:tcPr>
          <w:p>
            <w:r>
              <w:rPr>
                <w:rFonts w:ascii="Times New Roman" w:hAnsi="Times New Roman"/>
                <w:b/>
                <w:color w:val="FFFFFF"/>
                <w:sz w:val="20"/>
              </w:rPr>
              <w:t>Statut</w:t>
            </w:r>
          </w:p>
        </w:tc>
      </w:tr>
      <w:tr>
        <w:tc>
          <w:tcPr>
            <w:tcW w:type="dxa" w:w="2280"/>
          </w:tcPr>
          <w:p>
            <w:r>
              <w:rPr>
                <w:rFonts w:ascii="Times New Roman" w:hAnsi="Times New Roman"/>
                <w:b w:val="0"/>
                <w:sz w:val="20"/>
              </w:rPr>
              <w:t>Phase 1</w:t>
            </w:r>
          </w:p>
        </w:tc>
        <w:tc>
          <w:tcPr>
            <w:tcW w:type="dxa" w:w="2280"/>
          </w:tcPr>
          <w:p>
            <w:r>
              <w:rPr>
                <w:rFonts w:ascii="Times New Roman" w:hAnsi="Times New Roman"/>
                <w:b w:val="0"/>
                <w:sz w:val="20"/>
              </w:rPr>
              <w:t>Phase préparatoire</w:t>
            </w:r>
          </w:p>
        </w:tc>
        <w:tc>
          <w:tcPr>
            <w:tcW w:type="dxa" w:w="2280"/>
          </w:tcPr>
          <w:p>
            <w:r>
              <w:rPr>
                <w:rFonts w:ascii="Times New Roman" w:hAnsi="Times New Roman"/>
                <w:b w:val="0"/>
                <w:sz w:val="20"/>
              </w:rPr>
              <w:t>Recrutement de l'équipe d'évaluation ; séance de cadrage avec le commanditaire (ANPE)</w:t>
            </w:r>
          </w:p>
        </w:tc>
        <w:tc>
          <w:tcPr>
            <w:tcW w:type="dxa" w:w="2280"/>
          </w:tcPr>
          <w:p>
            <w:r>
              <w:rPr>
                <w:rFonts w:ascii="Times New Roman" w:hAnsi="Times New Roman"/>
                <w:b w:val="0"/>
                <w:sz w:val="20"/>
              </w:rPr>
              <w:t>✅ Réalisée</w:t>
            </w:r>
          </w:p>
        </w:tc>
      </w:tr>
      <w:tr>
        <w:tc>
          <w:tcPr>
            <w:tcW w:type="dxa" w:w="2280"/>
          </w:tcPr>
          <w:p>
            <w:r>
              <w:rPr>
                <w:rFonts w:ascii="Times New Roman" w:hAnsi="Times New Roman"/>
                <w:b w:val="0"/>
                <w:sz w:val="20"/>
              </w:rPr>
              <w:t>Phase 2</w:t>
            </w:r>
          </w:p>
        </w:tc>
        <w:tc>
          <w:tcPr>
            <w:tcW w:type="dxa" w:w="2280"/>
          </w:tcPr>
          <w:p>
            <w:r>
              <w:rPr>
                <w:rFonts w:ascii="Times New Roman" w:hAnsi="Times New Roman"/>
                <w:b w:val="0"/>
                <w:sz w:val="20"/>
              </w:rPr>
              <w:t>Élaboration et validation du référentiel d'évaluation</w:t>
            </w:r>
          </w:p>
        </w:tc>
        <w:tc>
          <w:tcPr>
            <w:tcW w:type="dxa" w:w="2280"/>
          </w:tcPr>
          <w:p>
            <w:r>
              <w:rPr>
                <w:rFonts w:ascii="Times New Roman" w:hAnsi="Times New Roman"/>
                <w:b w:val="0"/>
                <w:sz w:val="20"/>
              </w:rPr>
              <w:t>Rédaction du référentiel (contexte, méthodologie, matrice, TdC, outils) ; validation par le Comité de pilotage</w:t>
            </w:r>
          </w:p>
        </w:tc>
        <w:tc>
          <w:tcPr>
            <w:tcW w:type="dxa" w:w="2280"/>
          </w:tcPr>
          <w:p>
            <w:r>
              <w:rPr>
                <w:rFonts w:ascii="Times New Roman" w:hAnsi="Times New Roman"/>
                <w:b w:val="0"/>
                <w:sz w:val="20"/>
              </w:rPr>
              <w:t>✅ Réalisée</w:t>
            </w:r>
          </w:p>
        </w:tc>
      </w:tr>
      <w:tr>
        <w:tc>
          <w:tcPr>
            <w:tcW w:type="dxa" w:w="2280"/>
          </w:tcPr>
          <w:p>
            <w:r>
              <w:rPr>
                <w:rFonts w:ascii="Times New Roman" w:hAnsi="Times New Roman"/>
                <w:b w:val="0"/>
                <w:sz w:val="20"/>
              </w:rPr>
              <w:t>Phase 3</w:t>
            </w:r>
          </w:p>
        </w:tc>
        <w:tc>
          <w:tcPr>
            <w:tcW w:type="dxa" w:w="2280"/>
          </w:tcPr>
          <w:p>
            <w:r>
              <w:rPr>
                <w:rFonts w:ascii="Times New Roman" w:hAnsi="Times New Roman"/>
                <w:b w:val="0"/>
                <w:sz w:val="20"/>
              </w:rPr>
              <w:t>Collecte et analyse de données</w:t>
            </w:r>
          </w:p>
        </w:tc>
        <w:tc>
          <w:tcPr>
            <w:tcW w:type="dxa" w:w="2280"/>
          </w:tcPr>
          <w:p>
            <w:r>
              <w:rPr>
                <w:rFonts w:ascii="Times New Roman" w:hAnsi="Times New Roman"/>
                <w:b w:val="0"/>
                <w:sz w:val="20"/>
              </w:rPr>
              <w:t>Enquête quantitative (allocataires, groupe témoin, entreprises) ; entretiens individuels et focus groups</w:t>
            </w:r>
          </w:p>
        </w:tc>
        <w:tc>
          <w:tcPr>
            <w:tcW w:type="dxa" w:w="2280"/>
          </w:tcPr>
          <w:p>
            <w:r>
              <w:rPr>
                <w:rFonts w:ascii="Times New Roman" w:hAnsi="Times New Roman"/>
                <w:b w:val="0"/>
                <w:sz w:val="20"/>
              </w:rPr>
              <w:t>🔲 À réaliser</w:t>
            </w:r>
          </w:p>
        </w:tc>
      </w:tr>
      <w:tr>
        <w:tc>
          <w:tcPr>
            <w:tcW w:type="dxa" w:w="2280"/>
          </w:tcPr>
          <w:p>
            <w:r>
              <w:rPr>
                <w:rFonts w:ascii="Times New Roman" w:hAnsi="Times New Roman"/>
                <w:b w:val="0"/>
                <w:sz w:val="20"/>
              </w:rPr>
              <w:t>Phase 4</w:t>
            </w:r>
          </w:p>
        </w:tc>
        <w:tc>
          <w:tcPr>
            <w:tcW w:type="dxa" w:w="2280"/>
          </w:tcPr>
          <w:p>
            <w:r>
              <w:rPr>
                <w:rFonts w:ascii="Times New Roman" w:hAnsi="Times New Roman"/>
                <w:b w:val="0"/>
                <w:sz w:val="20"/>
              </w:rPr>
              <w:t>Élaboration du rapport provisoire</w:t>
            </w:r>
          </w:p>
        </w:tc>
        <w:tc>
          <w:tcPr>
            <w:tcW w:type="dxa" w:w="2280"/>
          </w:tcPr>
          <w:p>
            <w:r>
              <w:rPr>
                <w:rFonts w:ascii="Times New Roman" w:hAnsi="Times New Roman"/>
                <w:b w:val="0"/>
                <w:sz w:val="20"/>
              </w:rPr>
              <w:t>Rédaction du rapport intégral ; soumission au Comité de pilotage pour examen et enrichissement</w:t>
            </w:r>
          </w:p>
        </w:tc>
        <w:tc>
          <w:tcPr>
            <w:tcW w:type="dxa" w:w="2280"/>
          </w:tcPr>
          <w:p>
            <w:r>
              <w:rPr>
                <w:rFonts w:ascii="Times New Roman" w:hAnsi="Times New Roman"/>
                <w:b w:val="0"/>
                <w:sz w:val="20"/>
              </w:rPr>
              <w:t>🔲 À réaliser</w:t>
            </w:r>
          </w:p>
        </w:tc>
      </w:tr>
      <w:tr>
        <w:tc>
          <w:tcPr>
            <w:tcW w:type="dxa" w:w="2280"/>
          </w:tcPr>
          <w:p>
            <w:r>
              <w:rPr>
                <w:rFonts w:ascii="Times New Roman" w:hAnsi="Times New Roman"/>
                <w:b w:val="0"/>
                <w:sz w:val="20"/>
              </w:rPr>
              <w:t>Phase 5</w:t>
            </w:r>
          </w:p>
        </w:tc>
        <w:tc>
          <w:tcPr>
            <w:tcW w:type="dxa" w:w="2280"/>
          </w:tcPr>
          <w:p>
            <w:r>
              <w:rPr>
                <w:rFonts w:ascii="Times New Roman" w:hAnsi="Times New Roman"/>
                <w:b w:val="0"/>
                <w:sz w:val="20"/>
              </w:rPr>
              <w:t>Validation nationale et approbation</w:t>
            </w:r>
          </w:p>
        </w:tc>
        <w:tc>
          <w:tcPr>
            <w:tcW w:type="dxa" w:w="2280"/>
          </w:tcPr>
          <w:p>
            <w:r>
              <w:rPr>
                <w:rFonts w:ascii="Times New Roman" w:hAnsi="Times New Roman"/>
                <w:b w:val="0"/>
                <w:sz w:val="20"/>
              </w:rPr>
              <w:t>Prise en compte des observations ; validation par le Comité de pilotage ; approbation du rapport final</w:t>
            </w:r>
          </w:p>
        </w:tc>
        <w:tc>
          <w:tcPr>
            <w:tcW w:type="dxa" w:w="2280"/>
          </w:tcPr>
          <w:p>
            <w:r>
              <w:rPr>
                <w:rFonts w:ascii="Times New Roman" w:hAnsi="Times New Roman"/>
                <w:b w:val="0"/>
                <w:sz w:val="20"/>
              </w:rPr>
              <w:t>🔲 À réaliser</w:t>
            </w:r>
          </w:p>
        </w:tc>
      </w:tr>
    </w:tbl>
    <w:p/>
    <w:p>
      <w:r>
        <w:rPr>
          <w:rFonts w:ascii="Times New Roman" w:hAnsi="Times New Roman"/>
          <w:sz w:val="24"/>
        </w:rPr>
      </w:r>
      <w:r>
        <w:rPr>
          <w:rFonts w:ascii="Times New Roman" w:hAnsi="Times New Roman"/>
          <w:b/>
          <w:sz w:val="24"/>
        </w:rPr>
        <w:t>Phase préparatoire</w:t>
      </w:r>
      <w:r>
        <w:rPr>
          <w:rFonts w:ascii="Times New Roman" w:hAnsi="Times New Roman"/>
          <w:sz w:val="24"/>
        </w:rPr>
      </w:r>
    </w:p>
    <w:p>
      <w:r>
        <w:rPr>
          <w:rFonts w:ascii="Times New Roman" w:hAnsi="Times New Roman"/>
          <w:sz w:val="24"/>
        </w:rPr>
        <w:t xml:space="preserve">Cette phase a porté sur le recrutement de l'équipe de consultants chargée de conduire l'évaluation, effectué conformément aux </w:t>
      </w:r>
      <w:r>
        <w:rPr>
          <w:rFonts w:ascii="Times New Roman" w:hAnsi="Times New Roman"/>
          <w:b/>
          <w:sz w:val="24"/>
        </w:rPr>
        <w:t>dispositions de passation des marchés publics en vigueur en République du Bénin</w:t>
      </w:r>
      <w:r>
        <w:rPr>
          <w:rFonts w:ascii="Times New Roman" w:hAnsi="Times New Roman"/>
          <w:sz w:val="24"/>
        </w:rPr>
        <w:t>. Les termes de référence validés par le commanditaire constituent le document fondateur de la mission.</w:t>
      </w:r>
    </w:p>
    <w:p>
      <w:r>
        <w:rPr>
          <w:rFonts w:ascii="Times New Roman" w:hAnsi="Times New Roman"/>
          <w:sz w:val="24"/>
        </w:rPr>
        <w:t xml:space="preserve">Une </w:t>
      </w:r>
      <w:r>
        <w:rPr>
          <w:rFonts w:ascii="Times New Roman" w:hAnsi="Times New Roman"/>
          <w:b/>
          <w:sz w:val="24"/>
        </w:rPr>
        <w:t>séance de cadrage</w:t>
      </w:r>
      <w:r>
        <w:rPr>
          <w:rFonts w:ascii="Times New Roman" w:hAnsi="Times New Roman"/>
          <w:sz w:val="24"/>
        </w:rPr>
        <w:t xml:space="preserve"> s'est tenue dans les locaux de l'ANPE le </w:t>
      </w:r>
      <w:r>
        <w:rPr>
          <w:rFonts w:ascii="Times New Roman" w:hAnsi="Times New Roman"/>
          <w:b/>
          <w:sz w:val="24"/>
        </w:rPr>
        <w:t>mardi 24 novembre 2025</w:t>
      </w:r>
      <w:r>
        <w:rPr>
          <w:rFonts w:ascii="Times New Roman" w:hAnsi="Times New Roman"/>
          <w:sz w:val="24"/>
        </w:rPr>
        <w:t>. Cette séance a réuni l'équipe d'évaluation, la Coordination du PSIE et les représentants de la Direction Générale de l'ANPE. Elle a permis de : présenter et discuter l'approche méthodologique proposée ; clarifier les attentes du commanditaire ; et identifier les sources documentaires disponibles. Les observations issues de cette séance ont été intégralement prises en compte dans l'élaboration du référentiel d'évaluation.</w:t>
      </w:r>
    </w:p>
    <w:p>
      <w:r>
        <w:rPr>
          <w:rFonts w:ascii="Times New Roman" w:hAnsi="Times New Roman"/>
          <w:sz w:val="24"/>
        </w:rPr>
      </w:r>
      <w:r>
        <w:rPr>
          <w:rFonts w:ascii="Times New Roman" w:hAnsi="Times New Roman"/>
          <w:b/>
          <w:sz w:val="24"/>
        </w:rPr>
        <w:t>Élaboration et validation du référentiel d'évaluation</w:t>
      </w:r>
      <w:r>
        <w:rPr>
          <w:rFonts w:ascii="Times New Roman" w:hAnsi="Times New Roman"/>
          <w:sz w:val="24"/>
        </w:rPr>
      </w:r>
    </w:p>
    <w:p>
      <w:r>
        <w:rPr>
          <w:rFonts w:ascii="Times New Roman" w:hAnsi="Times New Roman"/>
          <w:sz w:val="24"/>
        </w:rPr>
        <w:t xml:space="preserve">Au terme de la séance de cadrage, l'équipe d'évaluation a élaboré le présent </w:t>
      </w:r>
      <w:r>
        <w:rPr>
          <w:rFonts w:ascii="Times New Roman" w:hAnsi="Times New Roman"/>
          <w:b/>
          <w:sz w:val="24"/>
        </w:rPr>
        <w:t>référentiel d'évaluation</w:t>
      </w:r>
      <w:r>
        <w:rPr>
          <w:rFonts w:ascii="Times New Roman" w:hAnsi="Times New Roman"/>
          <w:sz w:val="24"/>
        </w:rPr>
        <w:t>, qui comprend : le contexte et la description du programme (Section 1) ; la présente méthodologie (Section 3) ; la matrice d'évaluation intégrée aux Sections 4, 5 et 6 ; la théorie de changement reconstituée (Section 1.4.4) ; les outils de collecte de données (à finaliser en Phase 3) ; et le protocole de traitement et d'analyse des données (Section 3.1.2).</w:t>
      </w:r>
    </w:p>
    <w:p>
      <w:r>
        <w:rPr>
          <w:rFonts w:ascii="Times New Roman" w:hAnsi="Times New Roman"/>
          <w:sz w:val="24"/>
        </w:rPr>
        <w:t>Ce référentiel est soumis au Comité de pilotage pour lecture, amendement et validation avant le démarrage de la Phase 3.</w:t>
      </w:r>
    </w:p>
    <w:p>
      <w:r>
        <w:rPr>
          <w:rFonts w:ascii="Times New Roman" w:hAnsi="Times New Roman"/>
          <w:sz w:val="24"/>
        </w:rPr>
      </w:r>
      <w:r>
        <w:rPr>
          <w:rFonts w:ascii="Times New Roman" w:hAnsi="Times New Roman"/>
          <w:b/>
          <w:sz w:val="24"/>
        </w:rPr>
        <w:t>Élaboration du rapport provisoire et validation nationale</w:t>
      </w:r>
      <w:r>
        <w:rPr>
          <w:rFonts w:ascii="Times New Roman" w:hAnsi="Times New Roman"/>
          <w:sz w:val="24"/>
        </w:rPr>
      </w:r>
    </w:p>
    <w:p>
      <w:r>
        <w:rPr>
          <w:rFonts w:ascii="Times New Roman" w:hAnsi="Times New Roman"/>
          <w:sz w:val="24"/>
        </w:rPr>
        <w:t>À l'issue du traitement et de l'analyse des données primaires et secondaires (Phase 3), le rapport provisoire sera rédigé et soumis au Comité de pilotage pour examen et enrichissement. Le rapport définitif, enrichi sur la base des observations du Comité, sera soumis à la validation nationale avant son approbation finale par le commanditaire.</w:t>
      </w:r>
    </w:p>
    <w:p/>
    <w:p>
      <w:pPr>
        <w:pStyle w:val="Heading4"/>
      </w:pPr>
      <w:r>
        <w:rPr>
          <w:rFonts w:ascii="Times New Roman" w:hAnsi="Times New Roman"/>
          <w:color w:val="333333"/>
          <w:sz w:val="24"/>
        </w:rPr>
        <w:t>3.1.2. Démarche méthodologique de collecte et d'analyse des données</w:t>
      </w:r>
    </w:p>
    <w:p>
      <w:r>
        <w:rPr>
          <w:rFonts w:ascii="Times New Roman" w:hAnsi="Times New Roman"/>
          <w:sz w:val="24"/>
        </w:rPr>
        <w:t>Elle prend en compte la méthode de collecte et de traitement des données ainsi que les modèles d'évaluation utilisés dans la présente mission.</w:t>
      </w:r>
    </w:p>
    <w:p>
      <w:r>
        <w:rPr>
          <w:rFonts w:ascii="Times New Roman" w:hAnsi="Times New Roman"/>
          <w:sz w:val="24"/>
        </w:rPr>
      </w:r>
      <w:r>
        <w:rPr>
          <w:rFonts w:ascii="Times New Roman" w:hAnsi="Times New Roman"/>
          <w:b/>
          <w:sz w:val="24"/>
        </w:rPr>
        <w:t>Collecte et traitement de données</w:t>
      </w:r>
      <w:r>
        <w:rPr>
          <w:rFonts w:ascii="Times New Roman" w:hAnsi="Times New Roman"/>
          <w:sz w:val="24"/>
        </w:rPr>
      </w:r>
    </w:p>
    <w:p>
      <w:r>
        <w:rPr>
          <w:rFonts w:ascii="Times New Roman" w:hAnsi="Times New Roman"/>
          <w:sz w:val="24"/>
        </w:rPr>
        <w:t xml:space="preserve">Sur la base du référentiel validé, l'équipe d'évaluation procédera à la collecte des données en adoptant une </w:t>
      </w:r>
      <w:r>
        <w:rPr>
          <w:rFonts w:ascii="Times New Roman" w:hAnsi="Times New Roman"/>
          <w:b/>
          <w:sz w:val="24"/>
        </w:rPr>
        <w:t>approche mixte</w:t>
      </w:r>
      <w:r>
        <w:rPr>
          <w:rFonts w:ascii="Times New Roman" w:hAnsi="Times New Roman"/>
          <w:sz w:val="24"/>
        </w:rPr>
        <w:t xml:space="preserve"> combinant : une revue documentaire systématique des sources officielles (Phase 1 — en cours) ; une enquête quantitative auprès des allocataires, du groupe témoin et des entreprises ; des entretiens individuels et des focus groups auprès des acteurs clés (Phase 2 — à venir).</w:t>
      </w:r>
    </w:p>
    <w:p>
      <w:r>
        <w:rPr>
          <w:rFonts w:ascii="Times New Roman" w:hAnsi="Times New Roman"/>
          <w:sz w:val="24"/>
        </w:rPr>
      </w:r>
      <w:r>
        <w:rPr>
          <w:rFonts w:ascii="Times New Roman" w:hAnsi="Times New Roman"/>
          <w:i/>
          <w:sz w:val="24"/>
        </w:rPr>
        <w:t>Phase 1 — Revue documentaire systématique (en cours)</w:t>
      </w:r>
      <w:r>
        <w:rPr>
          <w:rFonts w:ascii="Times New Roman" w:hAnsi="Times New Roman"/>
          <w:sz w:val="24"/>
        </w:rPr>
      </w:r>
    </w:p>
    <w:p>
      <w:r>
        <w:rPr>
          <w:rFonts w:ascii="Times New Roman" w:hAnsi="Times New Roman"/>
          <w:sz w:val="24"/>
        </w:rPr>
        <w:t xml:space="preserve">La Phase 1 repose sur l'analyse systématique de </w:t>
      </w:r>
      <w:r>
        <w:rPr>
          <w:rFonts w:ascii="Times New Roman" w:hAnsi="Times New Roman"/>
          <w:b/>
          <w:sz w:val="24"/>
        </w:rPr>
        <w:t>trois documents officiels</w:t>
      </w:r>
      <w:r>
        <w:rPr>
          <w:rFonts w:ascii="Times New Roman" w:hAnsi="Times New Roman"/>
          <w:sz w:val="24"/>
        </w:rPr>
        <w:t xml:space="preserve"> du programme :</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366"/>
          </w:tcPr>
          <w:p>
            <w:r>
              <w:rPr>
                <w:rFonts w:ascii="Times New Roman" w:hAnsi="Times New Roman"/>
                <w:b/>
                <w:color w:val="FFFFFF"/>
                <w:sz w:val="20"/>
              </w:rPr>
              <w:t>N°</w:t>
            </w:r>
          </w:p>
        </w:tc>
        <w:tc>
          <w:tcPr>
            <w:tcW w:type="dxa" w:w="2280"/>
            <w:shd w:val="clear" w:color="auto" w:fill="003366"/>
          </w:tcPr>
          <w:p>
            <w:r>
              <w:rPr>
                <w:rFonts w:ascii="Times New Roman" w:hAnsi="Times New Roman"/>
                <w:b/>
                <w:color w:val="FFFFFF"/>
                <w:sz w:val="20"/>
              </w:rPr>
              <w:t>Document</w:t>
            </w:r>
          </w:p>
        </w:tc>
        <w:tc>
          <w:tcPr>
            <w:tcW w:type="dxa" w:w="2280"/>
            <w:shd w:val="clear" w:color="auto" w:fill="003366"/>
          </w:tcPr>
          <w:p>
            <w:r>
              <w:rPr>
                <w:rFonts w:ascii="Times New Roman" w:hAnsi="Times New Roman"/>
                <w:b/>
                <w:color w:val="FFFFFF"/>
                <w:sz w:val="20"/>
              </w:rPr>
              <w:t>Nature</w:t>
            </w:r>
          </w:p>
        </w:tc>
        <w:tc>
          <w:tcPr>
            <w:tcW w:type="dxa" w:w="2280"/>
            <w:shd w:val="clear" w:color="auto" w:fill="003366"/>
          </w:tcPr>
          <w:p>
            <w:r>
              <w:rPr>
                <w:rFonts w:ascii="Times New Roman" w:hAnsi="Times New Roman"/>
                <w:b/>
                <w:color w:val="FFFFFF"/>
                <w:sz w:val="20"/>
              </w:rPr>
              <w:t>Couverture</w:t>
            </w:r>
          </w:p>
        </w:tc>
      </w:tr>
      <w:tr>
        <w:tc>
          <w:tcPr>
            <w:tcW w:type="dxa" w:w="2280"/>
          </w:tcPr>
          <w:p>
            <w:r>
              <w:rPr>
                <w:rFonts w:ascii="Times New Roman" w:hAnsi="Times New Roman"/>
                <w:b w:val="0"/>
                <w:sz w:val="20"/>
              </w:rPr>
              <w:t>D1</w:t>
            </w:r>
          </w:p>
        </w:tc>
        <w:tc>
          <w:tcPr>
            <w:tcW w:type="dxa" w:w="2280"/>
          </w:tcPr>
          <w:p>
            <w:r>
              <w:rPr>
                <w:rFonts w:ascii="Times New Roman" w:hAnsi="Times New Roman"/>
                <w:b w:val="0"/>
                <w:sz w:val="20"/>
              </w:rPr>
              <w:t>Prodoc PSIE-BéninF (revu) 03.04.20</w:t>
            </w:r>
          </w:p>
        </w:tc>
        <w:tc>
          <w:tcPr>
            <w:tcW w:type="dxa" w:w="2280"/>
          </w:tcPr>
          <w:p>
            <w:r>
              <w:rPr>
                <w:rFonts w:ascii="Times New Roman" w:hAnsi="Times New Roman"/>
                <w:b w:val="0"/>
                <w:sz w:val="20"/>
              </w:rPr>
              <w:t>Document de projet (59 pages)</w:t>
            </w:r>
          </w:p>
        </w:tc>
        <w:tc>
          <w:tcPr>
            <w:tcW w:type="dxa" w:w="2280"/>
          </w:tcPr>
          <w:p>
            <w:r>
              <w:rPr>
                <w:rFonts w:ascii="Times New Roman" w:hAnsi="Times New Roman"/>
                <w:b w:val="0"/>
                <w:sz w:val="20"/>
              </w:rPr>
              <w:t>Conception, objectifs, architecture institutionnelle, budget prévisionnel (mars 2020)</w:t>
            </w:r>
          </w:p>
        </w:tc>
      </w:tr>
      <w:tr>
        <w:tc>
          <w:tcPr>
            <w:tcW w:type="dxa" w:w="2280"/>
          </w:tcPr>
          <w:p>
            <w:r>
              <w:rPr>
                <w:rFonts w:ascii="Times New Roman" w:hAnsi="Times New Roman"/>
                <w:b w:val="0"/>
                <w:sz w:val="20"/>
              </w:rPr>
              <w:t>D2</w:t>
            </w:r>
          </w:p>
        </w:tc>
        <w:tc>
          <w:tcPr>
            <w:tcW w:type="dxa" w:w="2280"/>
          </w:tcPr>
          <w:p>
            <w:r>
              <w:rPr>
                <w:rFonts w:ascii="Times New Roman" w:hAnsi="Times New Roman"/>
                <w:b w:val="0"/>
                <w:sz w:val="20"/>
              </w:rPr>
              <w:t>Cadre Logique PSIE</w:t>
            </w:r>
          </w:p>
        </w:tc>
        <w:tc>
          <w:tcPr>
            <w:tcW w:type="dxa" w:w="2280"/>
          </w:tcPr>
          <w:p>
            <w:r>
              <w:rPr>
                <w:rFonts w:ascii="Times New Roman" w:hAnsi="Times New Roman"/>
                <w:b w:val="0"/>
                <w:sz w:val="20"/>
              </w:rPr>
              <w:t>Matrice officielle de résultats (4 pages)</w:t>
            </w:r>
          </w:p>
        </w:tc>
        <w:tc>
          <w:tcPr>
            <w:tcW w:type="dxa" w:w="2280"/>
          </w:tcPr>
          <w:p>
            <w:r>
              <w:rPr>
                <w:rFonts w:ascii="Times New Roman" w:hAnsi="Times New Roman"/>
                <w:b w:val="0"/>
                <w:sz w:val="20"/>
              </w:rPr>
              <w:t>Objectifs spécifiques, résultats, indicateurs, hypothèses, moyens de vérification</w:t>
            </w:r>
          </w:p>
        </w:tc>
      </w:tr>
      <w:tr>
        <w:tc>
          <w:tcPr>
            <w:tcW w:type="dxa" w:w="2280"/>
          </w:tcPr>
          <w:p>
            <w:r>
              <w:rPr>
                <w:rFonts w:ascii="Times New Roman" w:hAnsi="Times New Roman"/>
                <w:b w:val="0"/>
                <w:sz w:val="20"/>
              </w:rPr>
              <w:t>D3</w:t>
            </w:r>
          </w:p>
        </w:tc>
        <w:tc>
          <w:tcPr>
            <w:tcW w:type="dxa" w:w="2280"/>
          </w:tcPr>
          <w:p>
            <w:r>
              <w:rPr>
                <w:rFonts w:ascii="Times New Roman" w:hAnsi="Times New Roman"/>
                <w:b w:val="0"/>
                <w:sz w:val="20"/>
              </w:rPr>
              <w:t>Rapport actualisé de mise en œuvre du PSIE (juil. 2020 – sept. 2025)</w:t>
            </w:r>
          </w:p>
        </w:tc>
        <w:tc>
          <w:tcPr>
            <w:tcW w:type="dxa" w:w="2280"/>
          </w:tcPr>
          <w:p>
            <w:r>
              <w:rPr>
                <w:rFonts w:ascii="Times New Roman" w:hAnsi="Times New Roman"/>
                <w:b w:val="0"/>
                <w:sz w:val="20"/>
              </w:rPr>
              <w:t>Rapport de performance (oct. 2025)</w:t>
            </w:r>
          </w:p>
        </w:tc>
        <w:tc>
          <w:tcPr>
            <w:tcW w:type="dxa" w:w="2280"/>
          </w:tcPr>
          <w:p>
            <w:r>
              <w:rPr>
                <w:rFonts w:ascii="Times New Roman" w:hAnsi="Times New Roman"/>
                <w:b w:val="0"/>
                <w:sz w:val="20"/>
              </w:rPr>
              <w:t>Données de réalisation, extrants, exécution financière, défis et perspectives</w:t>
            </w:r>
          </w:p>
        </w:tc>
      </w:tr>
    </w:tbl>
    <w:p/>
    <w:p>
      <w:r>
        <w:rPr>
          <w:rFonts w:ascii="Times New Roman" w:hAnsi="Times New Roman"/>
          <w:sz w:val="24"/>
        </w:rPr>
        <w:t>Ces documents ont été analysés selon un protocole en quatre étapes : (1) lecture analytique des données factuelles et chiffrées ; (2) extraction thématique par critère OCDE/CAD et par question évaluative ; (3) triangulation inter-documents pour détecter convergences, divergences et lacunes ; (4) formulation de constats assortis d'un niveau de confiance explicite. En cas de divergence entre sources, la source la plus récente (D3) est retenue comme référence pour les données chiffrées.</w:t>
      </w:r>
    </w:p>
    <w:p>
      <w:r>
        <w:rPr>
          <w:rFonts w:ascii="Times New Roman" w:hAnsi="Times New Roman"/>
          <w:sz w:val="24"/>
        </w:rPr>
      </w:r>
      <w:r>
        <w:rPr>
          <w:rFonts w:ascii="Times New Roman" w:hAnsi="Times New Roman"/>
          <w:i/>
          <w:sz w:val="24"/>
        </w:rPr>
        <w:t>Phase 2 — Collecte de données de terrain (à venir)</w:t>
      </w:r>
      <w:r>
        <w:rPr>
          <w:rFonts w:ascii="Times New Roman" w:hAnsi="Times New Roman"/>
          <w:sz w:val="24"/>
        </w:rPr>
      </w:r>
    </w:p>
    <w:p>
      <w:r>
        <w:rPr>
          <w:rFonts w:ascii="Times New Roman" w:hAnsi="Times New Roman"/>
          <w:sz w:val="24"/>
        </w:rPr>
        <w:t>Les outils de collecte mobilisés lors de la Phase 2 seront les suivants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Outil</w:t>
            </w:r>
          </w:p>
        </w:tc>
        <w:tc>
          <w:tcPr>
            <w:tcW w:type="dxa" w:w="3041"/>
            <w:shd w:val="clear" w:color="auto" w:fill="003366"/>
          </w:tcPr>
          <w:p>
            <w:r>
              <w:rPr>
                <w:rFonts w:ascii="Times New Roman" w:hAnsi="Times New Roman"/>
                <w:b/>
                <w:color w:val="FFFFFF"/>
                <w:sz w:val="20"/>
              </w:rPr>
              <w:t>Cible</w:t>
            </w:r>
          </w:p>
        </w:tc>
        <w:tc>
          <w:tcPr>
            <w:tcW w:type="dxa" w:w="3041"/>
            <w:shd w:val="clear" w:color="auto" w:fill="003366"/>
          </w:tcPr>
          <w:p>
            <w:r>
              <w:rPr>
                <w:rFonts w:ascii="Times New Roman" w:hAnsi="Times New Roman"/>
                <w:b/>
                <w:color w:val="FFFFFF"/>
                <w:sz w:val="20"/>
              </w:rPr>
              <w:t>Données collectées</w:t>
            </w:r>
          </w:p>
        </w:tc>
      </w:tr>
      <w:tr>
        <w:tc>
          <w:tcPr>
            <w:tcW w:type="dxa" w:w="3041"/>
          </w:tcPr>
          <w:p>
            <w:r>
              <w:rPr>
                <w:rFonts w:ascii="Times New Roman" w:hAnsi="Times New Roman"/>
                <w:b w:val="0"/>
                <w:sz w:val="20"/>
              </w:rPr>
              <w:t>Fiche d'analyse de la documentation</w:t>
            </w:r>
          </w:p>
        </w:tc>
        <w:tc>
          <w:tcPr>
            <w:tcW w:type="dxa" w:w="3041"/>
          </w:tcPr>
          <w:p>
            <w:r>
              <w:rPr>
                <w:rFonts w:ascii="Times New Roman" w:hAnsi="Times New Roman"/>
                <w:b w:val="0"/>
                <w:sz w:val="20"/>
              </w:rPr>
              <w:t>Documents additionnels identifiés lors du terrain</w:t>
            </w:r>
          </w:p>
        </w:tc>
        <w:tc>
          <w:tcPr>
            <w:tcW w:type="dxa" w:w="3041"/>
          </w:tcPr>
          <w:p>
            <w:r>
              <w:rPr>
                <w:rFonts w:ascii="Times New Roman" w:hAnsi="Times New Roman"/>
                <w:b w:val="0"/>
                <w:sz w:val="20"/>
              </w:rPr>
              <w:t>Données complémentaires sur les effets et l'efficience</w:t>
            </w:r>
          </w:p>
        </w:tc>
      </w:tr>
      <w:tr>
        <w:tc>
          <w:tcPr>
            <w:tcW w:type="dxa" w:w="3041"/>
          </w:tcPr>
          <w:p>
            <w:r>
              <w:rPr>
                <w:rFonts w:ascii="Times New Roman" w:hAnsi="Times New Roman"/>
                <w:b w:val="0"/>
                <w:sz w:val="20"/>
              </w:rPr>
              <w:t>Questionnaire structuré (CSPRO)</w:t>
            </w:r>
          </w:p>
        </w:tc>
        <w:tc>
          <w:tcPr>
            <w:tcW w:type="dxa" w:w="3041"/>
          </w:tcPr>
          <w:p>
            <w:r>
              <w:rPr>
                <w:rFonts w:ascii="Times New Roman" w:hAnsi="Times New Roman"/>
                <w:b w:val="0"/>
                <w:sz w:val="20"/>
              </w:rPr>
              <w:t>Allocataires, groupe témoin, entreprises</w:t>
            </w:r>
          </w:p>
        </w:tc>
        <w:tc>
          <w:tcPr>
            <w:tcW w:type="dxa" w:w="3041"/>
          </w:tcPr>
          <w:p>
            <w:r>
              <w:rPr>
                <w:rFonts w:ascii="Times New Roman" w:hAnsi="Times New Roman"/>
                <w:b w:val="0"/>
                <w:sz w:val="20"/>
              </w:rPr>
              <w:t>Données quantitatives sur l'emploi, les revenus, les comportements d'embauche</w:t>
            </w:r>
          </w:p>
        </w:tc>
      </w:tr>
      <w:tr>
        <w:tc>
          <w:tcPr>
            <w:tcW w:type="dxa" w:w="3041"/>
          </w:tcPr>
          <w:p>
            <w:r>
              <w:rPr>
                <w:rFonts w:ascii="Times New Roman" w:hAnsi="Times New Roman"/>
                <w:b w:val="0"/>
                <w:sz w:val="20"/>
              </w:rPr>
              <w:t>Guide d'entretien individuel</w:t>
            </w:r>
          </w:p>
        </w:tc>
        <w:tc>
          <w:tcPr>
            <w:tcW w:type="dxa" w:w="3041"/>
          </w:tcPr>
          <w:p>
            <w:r>
              <w:rPr>
                <w:rFonts w:ascii="Times New Roman" w:hAnsi="Times New Roman"/>
                <w:b w:val="0"/>
                <w:sz w:val="20"/>
              </w:rPr>
              <w:t>Acteurs institutionnels clés</w:t>
            </w:r>
          </w:p>
        </w:tc>
        <w:tc>
          <w:tcPr>
            <w:tcW w:type="dxa" w:w="3041"/>
          </w:tcPr>
          <w:p>
            <w:r>
              <w:rPr>
                <w:rFonts w:ascii="Times New Roman" w:hAnsi="Times New Roman"/>
                <w:b w:val="0"/>
                <w:sz w:val="20"/>
              </w:rPr>
              <w:t>Données qualitatives sur la mise en œuvre, les facteurs de succès et les obstacles</w:t>
            </w:r>
          </w:p>
        </w:tc>
      </w:tr>
      <w:tr>
        <w:tc>
          <w:tcPr>
            <w:tcW w:type="dxa" w:w="3041"/>
          </w:tcPr>
          <w:p>
            <w:r>
              <w:rPr>
                <w:rFonts w:ascii="Times New Roman" w:hAnsi="Times New Roman"/>
                <w:b w:val="0"/>
                <w:sz w:val="20"/>
              </w:rPr>
              <w:t>Guide de focus group</w:t>
            </w:r>
          </w:p>
        </w:tc>
        <w:tc>
          <w:tcPr>
            <w:tcW w:type="dxa" w:w="3041"/>
          </w:tcPr>
          <w:p>
            <w:r>
              <w:rPr>
                <w:rFonts w:ascii="Times New Roman" w:hAnsi="Times New Roman"/>
                <w:b w:val="0"/>
                <w:sz w:val="20"/>
              </w:rPr>
              <w:t>Administratifs PSIE, Comité de pilotage, acteurs CNSS/Trésor</w:t>
            </w:r>
          </w:p>
        </w:tc>
        <w:tc>
          <w:tcPr>
            <w:tcW w:type="dxa" w:w="3041"/>
          </w:tcPr>
          <w:p>
            <w:r>
              <w:rPr>
                <w:rFonts w:ascii="Times New Roman" w:hAnsi="Times New Roman"/>
                <w:b w:val="0"/>
                <w:sz w:val="20"/>
              </w:rPr>
              <w:t>Données qualitatives sur la gouvernance, les processus et les perspectives</w:t>
            </w:r>
          </w:p>
        </w:tc>
      </w:tr>
    </w:tbl>
    <w:p/>
    <w:p>
      <w:r>
        <w:rPr>
          <w:rFonts w:ascii="Times New Roman" w:hAnsi="Times New Roman"/>
          <w:sz w:val="24"/>
        </w:rPr>
      </w:r>
      <w:r>
        <w:rPr>
          <w:rFonts w:ascii="Times New Roman" w:hAnsi="Times New Roman"/>
          <w:b/>
          <w:sz w:val="24"/>
        </w:rPr>
        <w:t>Échantillonnage</w:t>
      </w:r>
      <w:r>
        <w:rPr>
          <w:rFonts w:ascii="Times New Roman" w:hAnsi="Times New Roman"/>
          <w:sz w:val="24"/>
        </w:rPr>
      </w:r>
    </w:p>
    <w:p>
      <w:r>
        <w:rPr>
          <w:rFonts w:ascii="Times New Roman" w:hAnsi="Times New Roman"/>
          <w:sz w:val="24"/>
        </w:rPr>
        <w:t xml:space="preserve">La collecte de données quantitatives reposera sur une méthode </w:t>
      </w:r>
      <w:r>
        <w:rPr>
          <w:rFonts w:ascii="Times New Roman" w:hAnsi="Times New Roman"/>
          <w:b/>
          <w:sz w:val="24"/>
        </w:rPr>
        <w:t>d'échantillonnage aléatoire stratifié</w:t>
      </w:r>
      <w:r>
        <w:rPr>
          <w:rFonts w:ascii="Times New Roman" w:hAnsi="Times New Roman"/>
          <w:sz w:val="24"/>
        </w:rPr>
        <w:t xml:space="preserve"> afin de garantir la représentativité des différentes catégories démographiques et géographiques. L'objectif est de </w:t>
      </w:r>
      <w:r>
        <w:rPr>
          <w:rFonts w:ascii="Times New Roman" w:hAnsi="Times New Roman"/>
          <w:b/>
          <w:sz w:val="24"/>
        </w:rPr>
        <w:t>constituer un groupe de comparaison (groupe témoin)</w:t>
      </w:r>
      <w:r>
        <w:rPr>
          <w:rFonts w:ascii="Times New Roman" w:hAnsi="Times New Roman"/>
          <w:sz w:val="24"/>
        </w:rPr>
        <w:t xml:space="preserve"> composé de jeunes diplômés n'ayant pas bénéficié du programme, pour mesurer les changements réellement attribuables au PSIE par la méthode de double différence.</w:t>
      </w:r>
    </w:p>
    <w:p>
      <w:r>
        <w:rPr>
          <w:rFonts w:ascii="Times New Roman" w:hAnsi="Times New Roman"/>
          <w:sz w:val="24"/>
        </w:rPr>
        <w:t xml:space="preserve">La taille de l'échantillon est calculée selon la </w:t>
      </w:r>
      <w:r>
        <w:rPr>
          <w:rFonts w:ascii="Times New Roman" w:hAnsi="Times New Roman"/>
          <w:b/>
          <w:sz w:val="24"/>
        </w:rPr>
        <w:t>formule de Cochran</w:t>
      </w:r>
      <w:r>
        <w:rPr>
          <w:rFonts w:ascii="Times New Roman" w:hAnsi="Times New Roman"/>
          <w:sz w:val="24"/>
        </w:rPr>
        <w:t xml:space="preserve"> : </w:t>
      </w:r>
      <w:r>
        <w:rPr>
          <w:rFonts w:ascii="Times New Roman" w:hAnsi="Times New Roman"/>
          <w:b/>
          <w:sz w:val="24"/>
        </w:rPr>
        <w:t>n₀ = (z² × P(1-P) × deff) / d²</w:t>
      </w:r>
      <w:r>
        <w:rPr>
          <w:rFonts w:ascii="Times New Roman" w:hAnsi="Times New Roman"/>
          <w:sz w:val="24"/>
        </w:rPr>
        <w:t>, avec z = 1,96 (seuil de confiance 95 %), P = 6,76 % (proportion des jeunes allocataires), d = 5 % (marge d'erreur), deff = 1,5 (effet de design), N = 137 086 (Base de données PSIE, 2025).</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366"/>
          </w:tcPr>
          <w:p>
            <w:r>
              <w:rPr>
                <w:rFonts w:ascii="Times New Roman" w:hAnsi="Times New Roman"/>
                <w:b/>
                <w:color w:val="FFFFFF"/>
                <w:sz w:val="20"/>
              </w:rPr>
              <w:t>Cible</w:t>
            </w:r>
          </w:p>
        </w:tc>
        <w:tc>
          <w:tcPr>
            <w:tcW w:type="dxa" w:w="2280"/>
            <w:shd w:val="clear" w:color="auto" w:fill="003366"/>
          </w:tcPr>
          <w:p>
            <w:r>
              <w:rPr>
                <w:rFonts w:ascii="Times New Roman" w:hAnsi="Times New Roman"/>
                <w:b/>
                <w:color w:val="FFFFFF"/>
                <w:sz w:val="20"/>
              </w:rPr>
              <w:t>Taille brute calculée</w:t>
            </w:r>
          </w:p>
        </w:tc>
        <w:tc>
          <w:tcPr>
            <w:tcW w:type="dxa" w:w="2280"/>
            <w:shd w:val="clear" w:color="auto" w:fill="003366"/>
          </w:tcPr>
          <w:p>
            <w:r>
              <w:rPr>
                <w:rFonts w:ascii="Times New Roman" w:hAnsi="Times New Roman"/>
                <w:b/>
                <w:color w:val="FFFFFF"/>
                <w:sz w:val="20"/>
              </w:rPr>
              <w:t>Ajustement (+ 20 % refus)</w:t>
            </w:r>
          </w:p>
        </w:tc>
        <w:tc>
          <w:tcPr>
            <w:tcW w:type="dxa" w:w="2280"/>
            <w:shd w:val="clear" w:color="auto" w:fill="003366"/>
          </w:tcPr>
          <w:p>
            <w:r>
              <w:rPr>
                <w:rFonts w:ascii="Times New Roman" w:hAnsi="Times New Roman"/>
                <w:b/>
                <w:color w:val="FFFFFF"/>
                <w:sz w:val="20"/>
              </w:rPr>
              <w:t>Taille finale retenue</w:t>
            </w:r>
          </w:p>
        </w:tc>
      </w:tr>
      <w:tr>
        <w:tc>
          <w:tcPr>
            <w:tcW w:type="dxa" w:w="2280"/>
          </w:tcPr>
          <w:p>
            <w:r>
              <w:rPr>
                <w:rFonts w:ascii="Times New Roman" w:hAnsi="Times New Roman"/>
                <w:b w:val="0"/>
                <w:sz w:val="20"/>
              </w:rPr>
              <w:t>Jeunes allocataires du PSIE</w:t>
            </w:r>
          </w:p>
        </w:tc>
        <w:tc>
          <w:tcPr>
            <w:tcW w:type="dxa" w:w="2280"/>
          </w:tcPr>
          <w:p>
            <w:r>
              <w:rPr>
                <w:rFonts w:ascii="Times New Roman" w:hAnsi="Times New Roman"/>
                <w:b w:val="0"/>
                <w:sz w:val="20"/>
              </w:rPr>
              <w:t>145</w:t>
            </w:r>
          </w:p>
        </w:tc>
        <w:tc>
          <w:tcPr>
            <w:tcW w:type="dxa" w:w="2280"/>
          </w:tcPr>
          <w:p>
            <w:r>
              <w:rPr>
                <w:rFonts w:ascii="Times New Roman" w:hAnsi="Times New Roman"/>
                <w:b w:val="0"/>
                <w:sz w:val="20"/>
              </w:rPr>
              <w:t>+ 29</w:t>
            </w:r>
          </w:p>
        </w:tc>
        <w:tc>
          <w:tcPr>
            <w:tcW w:type="dxa" w:w="2280"/>
          </w:tcPr>
          <w:p>
            <w:r>
              <w:rPr>
                <w:rFonts w:ascii="Times New Roman" w:hAnsi="Times New Roman"/>
                <w:b w:val="0"/>
                <w:sz w:val="20"/>
              </w:rPr>
              <w:t>174 allocataires</w:t>
            </w:r>
          </w:p>
        </w:tc>
      </w:tr>
      <w:tr>
        <w:tc>
          <w:tcPr>
            <w:tcW w:type="dxa" w:w="2280"/>
          </w:tcPr>
          <w:p>
            <w:r>
              <w:rPr>
                <w:rFonts w:ascii="Times New Roman" w:hAnsi="Times New Roman"/>
                <w:b w:val="0"/>
                <w:sz w:val="20"/>
              </w:rPr>
              <w:t>Jeunes non-allocataires (groupe témoin)</w:t>
            </w:r>
          </w:p>
        </w:tc>
        <w:tc>
          <w:tcPr>
            <w:tcW w:type="dxa" w:w="2280"/>
          </w:tcPr>
          <w:p>
            <w:r>
              <w:rPr>
                <w:rFonts w:ascii="Times New Roman" w:hAnsi="Times New Roman"/>
                <w:b w:val="0"/>
                <w:sz w:val="20"/>
              </w:rPr>
              <w:t>—</w:t>
            </w:r>
          </w:p>
        </w:tc>
        <w:tc>
          <w:tcPr>
            <w:tcW w:type="dxa" w:w="2280"/>
          </w:tcPr>
          <w:p>
            <w:r>
              <w:rPr>
                <w:rFonts w:ascii="Times New Roman" w:hAnsi="Times New Roman"/>
                <w:b w:val="0"/>
                <w:sz w:val="20"/>
              </w:rPr>
              <w:t>ratio 1:1,8</w:t>
            </w:r>
          </w:p>
        </w:tc>
        <w:tc>
          <w:tcPr>
            <w:tcW w:type="dxa" w:w="2280"/>
          </w:tcPr>
          <w:p>
            <w:r>
              <w:rPr>
                <w:rFonts w:ascii="Times New Roman" w:hAnsi="Times New Roman"/>
                <w:b w:val="0"/>
                <w:sz w:val="20"/>
              </w:rPr>
              <w:t>313 non-allocataires</w:t>
            </w:r>
          </w:p>
        </w:tc>
      </w:tr>
      <w:tr>
        <w:tc>
          <w:tcPr>
            <w:tcW w:type="dxa" w:w="2280"/>
          </w:tcPr>
          <w:p>
            <w:r>
              <w:rPr>
                <w:rFonts w:ascii="Times New Roman" w:hAnsi="Times New Roman"/>
                <w:b w:val="0"/>
                <w:sz w:val="20"/>
              </w:rPr>
              <w:t>Entreprises bénéficiaires</w:t>
            </w:r>
          </w:p>
        </w:tc>
        <w:tc>
          <w:tcPr>
            <w:tcW w:type="dxa" w:w="2280"/>
          </w:tcPr>
          <w:p>
            <w:r>
              <w:rPr>
                <w:rFonts w:ascii="Times New Roman" w:hAnsi="Times New Roman"/>
                <w:b w:val="0"/>
                <w:sz w:val="20"/>
              </w:rPr>
              <w:t>450</w:t>
            </w:r>
          </w:p>
        </w:tc>
        <w:tc>
          <w:tcPr>
            <w:tcW w:type="dxa" w:w="2280"/>
          </w:tcPr>
          <w:p>
            <w:r>
              <w:rPr>
                <w:rFonts w:ascii="Times New Roman" w:hAnsi="Times New Roman"/>
                <w:b w:val="0"/>
                <w:sz w:val="20"/>
              </w:rPr>
              <w:t>—</w:t>
            </w:r>
          </w:p>
        </w:tc>
        <w:tc>
          <w:tcPr>
            <w:tcW w:type="dxa" w:w="2280"/>
          </w:tcPr>
          <w:p>
            <w:r>
              <w:rPr>
                <w:rFonts w:ascii="Times New Roman" w:hAnsi="Times New Roman"/>
                <w:b w:val="0"/>
                <w:sz w:val="20"/>
              </w:rPr>
              <w:t>450 entreprises (sur 2 067 éligibles)</w:t>
            </w:r>
          </w:p>
        </w:tc>
      </w:tr>
      <w:tr>
        <w:tc>
          <w:tcPr>
            <w:tcW w:type="dxa" w:w="2280"/>
          </w:tcPr>
          <w:p>
            <w:r>
              <w:rPr>
                <w:rFonts w:ascii="Times New Roman" w:hAnsi="Times New Roman"/>
                <w:b w:val="0"/>
                <w:sz w:val="20"/>
              </w:rPr>
              <w:t>Total répondants validés attendus</w:t>
            </w:r>
          </w:p>
        </w:tc>
        <w:tc>
          <w:tcPr>
            <w:tcW w:type="dxa" w:w="2280"/>
          </w:tcPr>
          <w:p>
            <w:r>
              <w:rPr>
                <w:rFonts w:ascii="Times New Roman" w:hAnsi="Times New Roman"/>
                <w:b w:val="0"/>
                <w:sz w:val="20"/>
              </w:rPr>
              <w:t>—</w:t>
            </w:r>
          </w:p>
        </w:tc>
        <w:tc>
          <w:tcPr>
            <w:tcW w:type="dxa" w:w="2280"/>
          </w:tcPr>
          <w:p>
            <w:r>
              <w:rPr>
                <w:rFonts w:ascii="Times New Roman" w:hAnsi="Times New Roman"/>
                <w:b w:val="0"/>
                <w:sz w:val="20"/>
              </w:rPr>
              <w:t>taux participation &gt; 70 %</w:t>
            </w:r>
          </w:p>
        </w:tc>
        <w:tc>
          <w:tcPr>
            <w:tcW w:type="dxa" w:w="2280"/>
          </w:tcPr>
          <w:p>
            <w:r>
              <w:rPr>
                <w:rFonts w:ascii="Times New Roman" w:hAnsi="Times New Roman"/>
                <w:b w:val="0"/>
                <w:sz w:val="20"/>
              </w:rPr>
              <w:t>≈ 406 répondants</w:t>
            </w:r>
          </w:p>
        </w:tc>
      </w:tr>
    </w:tbl>
    <w:p/>
    <w:p>
      <w:r>
        <w:rPr>
          <w:rFonts w:ascii="Times New Roman" w:hAnsi="Times New Roman"/>
          <w:sz w:val="24"/>
        </w:rPr>
        <w:t xml:space="preserve">La stratification de l'échantillon se fera selon deux critères croisés : la </w:t>
      </w:r>
      <w:r>
        <w:rPr>
          <w:rFonts w:ascii="Times New Roman" w:hAnsi="Times New Roman"/>
          <w:b/>
          <w:sz w:val="24"/>
        </w:rPr>
        <w:t>situation géographique</w:t>
      </w:r>
      <w:r>
        <w:rPr>
          <w:rFonts w:ascii="Times New Roman" w:hAnsi="Times New Roman"/>
          <w:sz w:val="24"/>
        </w:rPr>
        <w:t xml:space="preserve"> (Atlantique, Borgou, Littoral, Ouémé — représentant 81,57 % des demandeurs d'emploi enregistrés à l'ANPE) et le </w:t>
      </w:r>
      <w:r>
        <w:rPr>
          <w:rFonts w:ascii="Times New Roman" w:hAnsi="Times New Roman"/>
          <w:b/>
          <w:sz w:val="24"/>
        </w:rPr>
        <w:t>niveau de qualification</w:t>
      </w:r>
      <w:r>
        <w:rPr>
          <w:rFonts w:ascii="Times New Roman" w:hAnsi="Times New Roman"/>
          <w:sz w:val="24"/>
        </w:rPr>
        <w:t xml:space="preserve"> (BAC professionnel 10 % ; BTS/DUT 30 % ; BAC+3/4 40 % ; BAC+5 et plus 20 %).</w:t>
      </w:r>
    </w:p>
    <w:p>
      <w:r>
        <w:rPr>
          <w:rFonts w:ascii="Times New Roman" w:hAnsi="Times New Roman"/>
          <w:sz w:val="24"/>
        </w:rPr>
      </w:r>
      <w:r>
        <w:rPr>
          <w:rFonts w:ascii="Times New Roman" w:hAnsi="Times New Roman"/>
          <w:b/>
          <w:sz w:val="24"/>
        </w:rPr>
        <w:t>Acteurs clés à interviewer</w:t>
      </w:r>
      <w:r>
        <w:rPr>
          <w:rFonts w:ascii="Times New Roman" w:hAnsi="Times New Roman"/>
          <w:sz w:val="24"/>
        </w:rPr>
      </w:r>
    </w:p>
    <w:p>
      <w:r>
        <w:rPr>
          <w:rFonts w:ascii="Times New Roman" w:hAnsi="Times New Roman"/>
          <w:sz w:val="24"/>
        </w:rPr>
        <w:t>Pour compléter l'analyse documentaire, les acteurs suivants seront interviewés lors de la Phase 2 :</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366"/>
          </w:tcPr>
          <w:p>
            <w:r>
              <w:rPr>
                <w:rFonts w:ascii="Times New Roman" w:hAnsi="Times New Roman"/>
                <w:b/>
                <w:color w:val="FFFFFF"/>
                <w:sz w:val="20"/>
              </w:rPr>
              <w:t>Catégorie</w:t>
            </w:r>
          </w:p>
        </w:tc>
        <w:tc>
          <w:tcPr>
            <w:tcW w:type="dxa" w:w="2280"/>
            <w:shd w:val="clear" w:color="auto" w:fill="003366"/>
          </w:tcPr>
          <w:p>
            <w:r>
              <w:rPr>
                <w:rFonts w:ascii="Times New Roman" w:hAnsi="Times New Roman"/>
                <w:b/>
                <w:color w:val="FFFFFF"/>
                <w:sz w:val="20"/>
              </w:rPr>
              <w:t>Acteurs concernés</w:t>
            </w:r>
          </w:p>
        </w:tc>
        <w:tc>
          <w:tcPr>
            <w:tcW w:type="dxa" w:w="2280"/>
            <w:shd w:val="clear" w:color="auto" w:fill="003366"/>
          </w:tcPr>
          <w:p>
            <w:r>
              <w:rPr>
                <w:rFonts w:ascii="Times New Roman" w:hAnsi="Times New Roman"/>
                <w:b/>
                <w:color w:val="FFFFFF"/>
                <w:sz w:val="20"/>
              </w:rPr>
              <w:t>Modalité</w:t>
            </w:r>
          </w:p>
        </w:tc>
        <w:tc>
          <w:tcPr>
            <w:tcW w:type="dxa" w:w="2280"/>
            <w:shd w:val="clear" w:color="auto" w:fill="003366"/>
          </w:tcPr>
          <w:p>
            <w:r>
              <w:rPr>
                <w:rFonts w:ascii="Times New Roman" w:hAnsi="Times New Roman"/>
                <w:b/>
                <w:color w:val="FFFFFF"/>
                <w:sz w:val="20"/>
              </w:rPr>
              <w:t>Nombre</w:t>
            </w:r>
          </w:p>
        </w:tc>
      </w:tr>
      <w:tr>
        <w:tc>
          <w:tcPr>
            <w:tcW w:type="dxa" w:w="2280"/>
          </w:tcPr>
          <w:p>
            <w:r>
              <w:rPr>
                <w:rFonts w:ascii="Times New Roman" w:hAnsi="Times New Roman"/>
                <w:b w:val="0"/>
                <w:sz w:val="20"/>
              </w:rPr>
              <w:t>Comité de gouvernance et de pilotage</w:t>
            </w:r>
          </w:p>
        </w:tc>
        <w:tc>
          <w:tcPr>
            <w:tcW w:type="dxa" w:w="2280"/>
          </w:tcPr>
          <w:p>
            <w:r>
              <w:rPr>
                <w:rFonts w:ascii="Times New Roman" w:hAnsi="Times New Roman"/>
                <w:b w:val="0"/>
                <w:sz w:val="20"/>
              </w:rPr>
              <w:t>Directeur Général de l'ANPE ; Coordonnateur du PSIE</w:t>
            </w:r>
          </w:p>
        </w:tc>
        <w:tc>
          <w:tcPr>
            <w:tcW w:type="dxa" w:w="2280"/>
          </w:tcPr>
          <w:p>
            <w:r>
              <w:rPr>
                <w:rFonts w:ascii="Times New Roman" w:hAnsi="Times New Roman"/>
                <w:b w:val="0"/>
                <w:sz w:val="20"/>
              </w:rPr>
              <w:t>Entretien individuel</w:t>
            </w:r>
          </w:p>
        </w:tc>
        <w:tc>
          <w:tcPr>
            <w:tcW w:type="dxa" w:w="2280"/>
          </w:tcPr>
          <w:p>
            <w:r>
              <w:rPr>
                <w:rFonts w:ascii="Times New Roman" w:hAnsi="Times New Roman"/>
                <w:b w:val="0"/>
                <w:sz w:val="20"/>
              </w:rPr>
              <w:t>1 entretien (2 personnes)</w:t>
            </w:r>
          </w:p>
        </w:tc>
      </w:tr>
      <w:tr>
        <w:tc>
          <w:tcPr>
            <w:tcW w:type="dxa" w:w="2280"/>
          </w:tcPr>
          <w:p>
            <w:r>
              <w:rPr>
                <w:rFonts w:ascii="Times New Roman" w:hAnsi="Times New Roman"/>
                <w:b w:val="0"/>
                <w:sz w:val="20"/>
              </w:rPr>
              <w:t>Acteurs de mise en œuvre</w:t>
            </w:r>
          </w:p>
        </w:tc>
        <w:tc>
          <w:tcPr>
            <w:tcW w:type="dxa" w:w="2280"/>
          </w:tcPr>
          <w:p>
            <w:r>
              <w:rPr>
                <w:rFonts w:ascii="Times New Roman" w:hAnsi="Times New Roman"/>
                <w:b w:val="0"/>
                <w:sz w:val="20"/>
              </w:rPr>
              <w:t>Spécialiste S-E PSIE ; Administrateur de la plateforme ; Assistante administrative ; Assistant financier</w:t>
            </w:r>
          </w:p>
        </w:tc>
        <w:tc>
          <w:tcPr>
            <w:tcW w:type="dxa" w:w="2280"/>
          </w:tcPr>
          <w:p>
            <w:r>
              <w:rPr>
                <w:rFonts w:ascii="Times New Roman" w:hAnsi="Times New Roman"/>
                <w:b w:val="0"/>
                <w:sz w:val="20"/>
              </w:rPr>
              <w:t>Focus group</w:t>
            </w:r>
          </w:p>
        </w:tc>
        <w:tc>
          <w:tcPr>
            <w:tcW w:type="dxa" w:w="2280"/>
          </w:tcPr>
          <w:p>
            <w:r>
              <w:rPr>
                <w:rFonts w:ascii="Times New Roman" w:hAnsi="Times New Roman"/>
                <w:b w:val="0"/>
                <w:sz w:val="20"/>
              </w:rPr>
              <w:t>1 focus group (4 personnes)</w:t>
            </w:r>
          </w:p>
        </w:tc>
      </w:tr>
      <w:tr>
        <w:tc>
          <w:tcPr>
            <w:tcW w:type="dxa" w:w="2280"/>
          </w:tcPr>
          <w:p>
            <w:r>
              <w:rPr>
                <w:rFonts w:ascii="Times New Roman" w:hAnsi="Times New Roman"/>
                <w:b w:val="0"/>
                <w:sz w:val="20"/>
              </w:rPr>
              <w:t>Acteurs impliqués</w:t>
            </w:r>
          </w:p>
        </w:tc>
        <w:tc>
          <w:tcPr>
            <w:tcW w:type="dxa" w:w="2280"/>
          </w:tcPr>
          <w:p>
            <w:r>
              <w:rPr>
                <w:rFonts w:ascii="Times New Roman" w:hAnsi="Times New Roman"/>
                <w:b w:val="0"/>
                <w:sz w:val="20"/>
              </w:rPr>
              <w:t>Agents CNSS chargés du versement des charges sociales ; Agents du Trésor public chargés du versement des allocations</w:t>
            </w:r>
          </w:p>
        </w:tc>
        <w:tc>
          <w:tcPr>
            <w:tcW w:type="dxa" w:w="2280"/>
          </w:tcPr>
          <w:p>
            <w:r>
              <w:rPr>
                <w:rFonts w:ascii="Times New Roman" w:hAnsi="Times New Roman"/>
                <w:b w:val="0"/>
                <w:sz w:val="20"/>
              </w:rPr>
              <w:t>Entretien individuel</w:t>
            </w:r>
          </w:p>
        </w:tc>
        <w:tc>
          <w:tcPr>
            <w:tcW w:type="dxa" w:w="2280"/>
          </w:tcPr>
          <w:p>
            <w:r>
              <w:rPr>
                <w:rFonts w:ascii="Times New Roman" w:hAnsi="Times New Roman"/>
                <w:b w:val="0"/>
                <w:sz w:val="20"/>
              </w:rPr>
              <w:t>1 entretien (2 personnes)</w:t>
            </w:r>
          </w:p>
        </w:tc>
      </w:tr>
      <w:tr>
        <w:tc>
          <w:tcPr>
            <w:tcW w:type="dxa" w:w="2280"/>
          </w:tcPr>
          <w:p>
            <w:r>
              <w:rPr>
                <w:rFonts w:ascii="Times New Roman" w:hAnsi="Times New Roman"/>
                <w:b w:val="0"/>
                <w:sz w:val="20"/>
              </w:rPr>
              <w:t>Total</w:t>
            </w:r>
          </w:p>
        </w:tc>
        <w:tc>
          <w:tcPr>
            <w:tcW w:type="dxa" w:w="2280"/>
          </w:tcPr>
          <w:p>
            <w:r>
              <w:rPr>
                <w:rFonts w:ascii="Times New Roman" w:hAnsi="Times New Roman"/>
                <w:b w:val="0"/>
                <w:sz w:val="20"/>
              </w:rPr>
            </w:r>
          </w:p>
        </w:tc>
        <w:tc>
          <w:tcPr>
            <w:tcW w:type="dxa" w:w="2280"/>
          </w:tcPr>
          <w:p>
            <w:r>
              <w:rPr>
                <w:rFonts w:ascii="Times New Roman" w:hAnsi="Times New Roman"/>
                <w:b w:val="0"/>
                <w:sz w:val="20"/>
              </w:rPr>
            </w:r>
          </w:p>
        </w:tc>
        <w:tc>
          <w:tcPr>
            <w:tcW w:type="dxa" w:w="2280"/>
          </w:tcPr>
          <w:p>
            <w:r>
              <w:rPr>
                <w:rFonts w:ascii="Times New Roman" w:hAnsi="Times New Roman"/>
                <w:b w:val="0"/>
                <w:sz w:val="20"/>
              </w:rPr>
              <w:t>7 personnes / 3 sessions</w:t>
            </w:r>
          </w:p>
        </w:tc>
      </w:tr>
    </w:tbl>
    <w:p/>
    <w:p>
      <w:r>
        <w:rPr>
          <w:rFonts w:ascii="Times New Roman" w:hAnsi="Times New Roman"/>
          <w:sz w:val="24"/>
        </w:rPr>
        <w:t xml:space="preserve">La liste définitive des participants sera soumise au commanditaire pour approbation avant le démarrage de la collecte. La collecte des données quantitatives sera réalisée au moyen d'une </w:t>
      </w:r>
      <w:r>
        <w:rPr>
          <w:rFonts w:ascii="Times New Roman" w:hAnsi="Times New Roman"/>
          <w:b/>
          <w:sz w:val="24"/>
        </w:rPr>
        <w:t>enquête téléphonique</w:t>
      </w:r>
      <w:r>
        <w:rPr>
          <w:rFonts w:ascii="Times New Roman" w:hAnsi="Times New Roman"/>
          <w:sz w:val="24"/>
        </w:rPr>
        <w:t xml:space="preserve"> avec des agents enquêteurs formés à l'utilisation de CSPRO. Deux sessions de contrôle qualité sont prévues (mi-parcours et fin de collecte). Les données seront traitées sous </w:t>
      </w:r>
      <w:r>
        <w:rPr>
          <w:rFonts w:ascii="Times New Roman" w:hAnsi="Times New Roman"/>
          <w:b/>
          <w:sz w:val="24"/>
        </w:rPr>
        <w:t>Microsoft Excel</w:t>
      </w:r>
      <w:r>
        <w:rPr>
          <w:rFonts w:ascii="Times New Roman" w:hAnsi="Times New Roman"/>
          <w:sz w:val="24"/>
        </w:rPr>
        <w:t xml:space="preserve"> (statistiques descriptives) et </w:t>
      </w:r>
      <w:r>
        <w:rPr>
          <w:rFonts w:ascii="Times New Roman" w:hAnsi="Times New Roman"/>
          <w:b/>
          <w:sz w:val="24"/>
        </w:rPr>
        <w:t>Stata 17</w:t>
      </w:r>
      <w:r>
        <w:rPr>
          <w:rFonts w:ascii="Times New Roman" w:hAnsi="Times New Roman"/>
          <w:sz w:val="24"/>
        </w:rPr>
        <w:t xml:space="preserve"> (analyses économétriques — méthode de double différence, test de Student au seuil de 5 %).</w:t>
      </w:r>
    </w:p>
    <w:p>
      <w:r>
        <w:rPr>
          <w:rFonts w:ascii="Times New Roman" w:hAnsi="Times New Roman"/>
          <w:sz w:val="24"/>
        </w:rPr>
      </w:r>
      <w:r>
        <w:rPr>
          <w:rFonts w:ascii="Times New Roman" w:hAnsi="Times New Roman"/>
          <w:b/>
          <w:sz w:val="24"/>
        </w:rPr>
        <w:t>Modèles d'évaluation</w:t>
      </w:r>
      <w:r>
        <w:rPr>
          <w:rFonts w:ascii="Times New Roman" w:hAnsi="Times New Roman"/>
          <w:sz w:val="24"/>
        </w:rPr>
      </w:r>
    </w:p>
    <w:p>
      <w:r>
        <w:rPr>
          <w:rFonts w:ascii="Times New Roman" w:hAnsi="Times New Roman"/>
          <w:sz w:val="24"/>
        </w:rPr>
        <w:t xml:space="preserve">Au regard des objectifs et livrables attendus de la mission, trois </w:t>
      </w:r>
      <w:r>
        <w:rPr>
          <w:rFonts w:ascii="Times New Roman" w:hAnsi="Times New Roman"/>
          <w:b/>
          <w:sz w:val="24"/>
        </w:rPr>
        <w:t>modèles d'évaluation complémentaires</w:t>
      </w:r>
      <w:r>
        <w:rPr>
          <w:rFonts w:ascii="Times New Roman" w:hAnsi="Times New Roman"/>
          <w:sz w:val="24"/>
        </w:rPr>
        <w:t xml:space="preserve"> sont mobilisés :</w:t>
      </w:r>
    </w:p>
    <w:p>
      <w:pPr>
        <w:ind w:left="432"/>
      </w:pPr>
      <w:r>
        <w:rPr>
          <w:rFonts w:ascii="Times New Roman" w:hAnsi="Times New Roman"/>
          <w:sz w:val="24"/>
        </w:rPr>
      </w:r>
      <w:r>
        <w:rPr>
          <w:rFonts w:ascii="Times New Roman" w:hAnsi="Times New Roman"/>
          <w:b/>
          <w:sz w:val="24"/>
        </w:rPr>
        <w:t>Modèle d'évaluation de la performance et du rendement</w:t>
      </w:r>
      <w:r>
        <w:rPr>
          <w:rFonts w:ascii="Times New Roman" w:hAnsi="Times New Roman"/>
          <w:sz w:val="24"/>
        </w:rPr>
        <w:t xml:space="preserve"> </w:t>
      </w:r>
      <w:r>
        <w:rPr>
          <w:rFonts w:ascii="Times New Roman" w:hAnsi="Times New Roman"/>
          <w:i/>
          <w:sz w:val="24"/>
        </w:rPr>
        <w:t>(Phases 1 et 2)</w:t>
      </w:r>
      <w:r>
        <w:rPr>
          <w:rFonts w:ascii="Times New Roman" w:hAnsi="Times New Roman"/>
          <w:sz w:val="24"/>
        </w:rPr>
        <w:t xml:space="preserve"> : comparaison des résultats obtenus aux résultats escomptés tels que définis dans le cadre logique ; documentation des facteurs ayant favorisé ou limité l'atteinte des résultats ; analyse de l'efficience dans la mobilisation et l'utilisation des ressources.</w:t>
      </w:r>
    </w:p>
    <w:p>
      <w:pPr>
        <w:ind w:left="432"/>
      </w:pPr>
      <w:r>
        <w:rPr>
          <w:rFonts w:ascii="Times New Roman" w:hAnsi="Times New Roman"/>
          <w:sz w:val="24"/>
        </w:rPr>
      </w:r>
      <w:r>
        <w:rPr>
          <w:rFonts w:ascii="Times New Roman" w:hAnsi="Times New Roman"/>
          <w:b/>
          <w:sz w:val="24"/>
        </w:rPr>
        <w:t>Modèle d'évaluation de la contribution aux changements</w:t>
      </w:r>
      <w:r>
        <w:rPr>
          <w:rFonts w:ascii="Times New Roman" w:hAnsi="Times New Roman"/>
          <w:sz w:val="24"/>
        </w:rPr>
        <w:t xml:space="preserve"> </w:t>
      </w:r>
      <w:r>
        <w:rPr>
          <w:rFonts w:ascii="Times New Roman" w:hAnsi="Times New Roman"/>
          <w:i/>
          <w:sz w:val="24"/>
        </w:rPr>
        <w:t>(Phase 2)</w:t>
      </w:r>
      <w:r>
        <w:rPr>
          <w:rFonts w:ascii="Times New Roman" w:hAnsi="Times New Roman"/>
          <w:sz w:val="24"/>
        </w:rPr>
        <w:t xml:space="preserve"> : cette approche est retenue en raison de la difficulté à construire un contrefactuel parfait permettant d'attribuer au PSIE l'ensemble des changements observés. Les analyses s'appuieront sur les chaînes de causalité dans la chaîne de résultats. Lorsque les données ne permettront pas de démontrer une causalité directe, les analyses seront présentées de manière descriptive avec les niveaux d'attribution explicitement indiqués.</w:t>
      </w:r>
    </w:p>
    <w:p>
      <w:pPr>
        <w:ind w:left="432"/>
      </w:pPr>
      <w:r>
        <w:rPr>
          <w:rFonts w:ascii="Times New Roman" w:hAnsi="Times New Roman"/>
          <w:sz w:val="24"/>
        </w:rPr>
      </w:r>
      <w:r>
        <w:rPr>
          <w:rFonts w:ascii="Times New Roman" w:hAnsi="Times New Roman"/>
          <w:b/>
          <w:sz w:val="24"/>
        </w:rPr>
        <w:t>Évaluation des aspects transversaux — Dimension genre</w:t>
      </w:r>
      <w:r>
        <w:rPr>
          <w:rFonts w:ascii="Times New Roman" w:hAnsi="Times New Roman"/>
          <w:sz w:val="24"/>
        </w:rPr>
        <w:t xml:space="preserve"> </w:t>
      </w:r>
      <w:r>
        <w:rPr>
          <w:rFonts w:ascii="Times New Roman" w:hAnsi="Times New Roman"/>
          <w:i/>
          <w:sz w:val="24"/>
        </w:rPr>
        <w:t>(Phase 2)</w:t>
      </w:r>
      <w:r>
        <w:rPr>
          <w:rFonts w:ascii="Times New Roman" w:hAnsi="Times New Roman"/>
          <w:sz w:val="24"/>
        </w:rPr>
        <w:t xml:space="preserve"> : l'évaluation de la prise en compte du genre s'appuiera sur la </w:t>
      </w:r>
      <w:r>
        <w:rPr>
          <w:rFonts w:ascii="Times New Roman" w:hAnsi="Times New Roman"/>
          <w:b/>
          <w:sz w:val="24"/>
        </w:rPr>
        <w:t>matrice de diagnostic genre</w:t>
      </w:r>
      <w:r>
        <w:rPr>
          <w:rFonts w:ascii="Times New Roman" w:hAnsi="Times New Roman"/>
          <w:sz w:val="24"/>
        </w:rPr>
        <w:t xml:space="preserve"> développée par l'</w:t>
      </w:r>
      <w:r>
        <w:rPr>
          <w:rFonts w:ascii="Times New Roman" w:hAnsi="Times New Roman"/>
          <w:i/>
          <w:sz w:val="24"/>
        </w:rPr>
        <w:t>Africa Gender &amp; Development Evaluators Network</w:t>
      </w:r>
      <w:r>
        <w:rPr>
          <w:rFonts w:ascii="Times New Roman" w:hAnsi="Times New Roman"/>
          <w:sz w:val="24"/>
        </w:rPr>
        <w:t xml:space="preserve"> (AGDEN). Six critères seront appliqués (égalité/équité genre ; budgétisation sensible au genre ; participation ; prise de décision ; évaluabilité/révision ; durabilité) selon une grille de scoring à quatre niveaux (0 = inexistant ; 1 = faiblement existant ; 2 = existence moyenne ; 3 = pleinement existant). Les scores seront agrégés pour produire un tableau de bord genre du programme.</w:t>
      </w:r>
    </w:p>
    <w:p/>
    <w:p>
      <w:pPr>
        <w:pStyle w:val="Heading3"/>
      </w:pPr>
      <w:r>
        <w:rPr>
          <w:rFonts w:ascii="Times New Roman" w:hAnsi="Times New Roman"/>
          <w:color w:val="1F4E79"/>
          <w:sz w:val="26"/>
        </w:rPr>
        <w:t>3.2. Limites méthodologiques</w:t>
      </w:r>
    </w:p>
    <w:p>
      <w:r>
        <w:rPr>
          <w:rFonts w:ascii="Times New Roman" w:hAnsi="Times New Roman"/>
          <w:sz w:val="24"/>
        </w:rPr>
        <w:t>La Phase 1 (revue documentaire) présente des limites inhérentes à son approche, que l'équipe d'évaluation reconnaît explicitement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Limite</w:t>
            </w:r>
          </w:p>
        </w:tc>
        <w:tc>
          <w:tcPr>
            <w:tcW w:type="dxa" w:w="3041"/>
            <w:shd w:val="clear" w:color="auto" w:fill="003366"/>
          </w:tcPr>
          <w:p>
            <w:r>
              <w:rPr>
                <w:rFonts w:ascii="Times New Roman" w:hAnsi="Times New Roman"/>
                <w:b/>
                <w:color w:val="FFFFFF"/>
                <w:sz w:val="20"/>
              </w:rPr>
              <w:t>Nature</w:t>
            </w:r>
          </w:p>
        </w:tc>
        <w:tc>
          <w:tcPr>
            <w:tcW w:type="dxa" w:w="3041"/>
            <w:shd w:val="clear" w:color="auto" w:fill="003366"/>
          </w:tcPr>
          <w:p>
            <w:r>
              <w:rPr>
                <w:rFonts w:ascii="Times New Roman" w:hAnsi="Times New Roman"/>
                <w:b/>
                <w:color w:val="FFFFFF"/>
                <w:sz w:val="20"/>
              </w:rPr>
              <w:t>Implications pour les constats</w:t>
            </w:r>
          </w:p>
        </w:tc>
      </w:tr>
      <w:tr>
        <w:tc>
          <w:tcPr>
            <w:tcW w:type="dxa" w:w="3041"/>
          </w:tcPr>
          <w:p>
            <w:r>
              <w:rPr>
                <w:rFonts w:ascii="Times New Roman" w:hAnsi="Times New Roman"/>
                <w:b w:val="0"/>
                <w:sz w:val="20"/>
              </w:rPr>
              <w:t>Absence de données primaires</w:t>
            </w:r>
          </w:p>
        </w:tc>
        <w:tc>
          <w:tcPr>
            <w:tcW w:type="dxa" w:w="3041"/>
          </w:tcPr>
          <w:p>
            <w:r>
              <w:rPr>
                <w:rFonts w:ascii="Times New Roman" w:hAnsi="Times New Roman"/>
                <w:b w:val="0"/>
                <w:sz w:val="20"/>
              </w:rPr>
              <w:t>Méthodologique</w:t>
            </w:r>
          </w:p>
        </w:tc>
        <w:tc>
          <w:tcPr>
            <w:tcW w:type="dxa" w:w="3041"/>
          </w:tcPr>
          <w:p>
            <w:r>
              <w:rPr>
                <w:rFonts w:ascii="Times New Roman" w:hAnsi="Times New Roman"/>
                <w:b w:val="0"/>
                <w:sz w:val="20"/>
              </w:rPr>
              <w:t>Les perceptions des bénéficiaires, des entreprises et des acteurs opérationnels ne sont pas captées. Les jugements reposent exclusivement sur les données officielles disponibles.</w:t>
            </w:r>
          </w:p>
        </w:tc>
      </w:tr>
      <w:tr>
        <w:tc>
          <w:tcPr>
            <w:tcW w:type="dxa" w:w="3041"/>
          </w:tcPr>
          <w:p>
            <w:r>
              <w:rPr>
                <w:rFonts w:ascii="Times New Roman" w:hAnsi="Times New Roman"/>
                <w:b w:val="0"/>
                <w:sz w:val="20"/>
              </w:rPr>
              <w:t>Absence de groupe de comparaison</w:t>
            </w:r>
          </w:p>
        </w:tc>
        <w:tc>
          <w:tcPr>
            <w:tcW w:type="dxa" w:w="3041"/>
          </w:tcPr>
          <w:p>
            <w:r>
              <w:rPr>
                <w:rFonts w:ascii="Times New Roman" w:hAnsi="Times New Roman"/>
                <w:b w:val="0"/>
                <w:sz w:val="20"/>
              </w:rPr>
              <w:t>Méthodologique</w:t>
            </w:r>
          </w:p>
        </w:tc>
        <w:tc>
          <w:tcPr>
            <w:tcW w:type="dxa" w:w="3041"/>
          </w:tcPr>
          <w:p>
            <w:r>
              <w:rPr>
                <w:rFonts w:ascii="Times New Roman" w:hAnsi="Times New Roman"/>
                <w:b w:val="0"/>
                <w:sz w:val="20"/>
              </w:rPr>
              <w:t>Il est impossible d'isoler l'effet causal net du PSIE sans groupe témoin. Les constats d'efficacité portent sur les extrants (réalisations) et non sur les effets (changements attribuables).</w:t>
            </w:r>
          </w:p>
        </w:tc>
      </w:tr>
      <w:tr>
        <w:tc>
          <w:tcPr>
            <w:tcW w:type="dxa" w:w="3041"/>
          </w:tcPr>
          <w:p>
            <w:r>
              <w:rPr>
                <w:rFonts w:ascii="Times New Roman" w:hAnsi="Times New Roman"/>
                <w:b w:val="0"/>
                <w:sz w:val="20"/>
              </w:rPr>
              <w:t>Biais de publication dans les rapports officiels</w:t>
            </w:r>
          </w:p>
        </w:tc>
        <w:tc>
          <w:tcPr>
            <w:tcW w:type="dxa" w:w="3041"/>
          </w:tcPr>
          <w:p>
            <w:r>
              <w:rPr>
                <w:rFonts w:ascii="Times New Roman" w:hAnsi="Times New Roman"/>
                <w:b w:val="0"/>
                <w:sz w:val="20"/>
              </w:rPr>
              <w:t>Biais de source</w:t>
            </w:r>
          </w:p>
        </w:tc>
        <w:tc>
          <w:tcPr>
            <w:tcW w:type="dxa" w:w="3041"/>
          </w:tcPr>
          <w:p>
            <w:r>
              <w:rPr>
                <w:rFonts w:ascii="Times New Roman" w:hAnsi="Times New Roman"/>
                <w:b w:val="0"/>
                <w:sz w:val="20"/>
              </w:rPr>
              <w:t>Les documents officiels tendent à valoriser les succès. Les taux d'insertion durable post-programme, les abandons et les difficultés de mise en œuvre sont sous-documentés dans les sources disponibles.</w:t>
            </w:r>
          </w:p>
        </w:tc>
      </w:tr>
      <w:tr>
        <w:tc>
          <w:tcPr>
            <w:tcW w:type="dxa" w:w="3041"/>
          </w:tcPr>
          <w:p>
            <w:r>
              <w:rPr>
                <w:rFonts w:ascii="Times New Roman" w:hAnsi="Times New Roman"/>
                <w:b w:val="0"/>
                <w:sz w:val="20"/>
              </w:rPr>
              <w:t>Données sectorielles partiellement datées</w:t>
            </w:r>
          </w:p>
        </w:tc>
        <w:tc>
          <w:tcPr>
            <w:tcW w:type="dxa" w:w="3041"/>
          </w:tcPr>
          <w:p>
            <w:r>
              <w:rPr>
                <w:rFonts w:ascii="Times New Roman" w:hAnsi="Times New Roman"/>
                <w:b w:val="0"/>
                <w:sz w:val="20"/>
              </w:rPr>
              <w:t>Lacune de données</w:t>
            </w:r>
          </w:p>
        </w:tc>
        <w:tc>
          <w:tcPr>
            <w:tcW w:type="dxa" w:w="3041"/>
          </w:tcPr>
          <w:p>
            <w:r>
              <w:rPr>
                <w:rFonts w:ascii="Times New Roman" w:hAnsi="Times New Roman"/>
                <w:b w:val="0"/>
                <w:sz w:val="20"/>
              </w:rPr>
              <w:t>Certaines données de référence sur le marché du travail béninois (INSAE) datent de 2017. L'évaluation ne peut pas mesurer l'évolution du contexte entre 2017 et 2025.</w:t>
            </w:r>
          </w:p>
        </w:tc>
      </w:tr>
      <w:tr>
        <w:tc>
          <w:tcPr>
            <w:tcW w:type="dxa" w:w="3041"/>
          </w:tcPr>
          <w:p>
            <w:r>
              <w:rPr>
                <w:rFonts w:ascii="Times New Roman" w:hAnsi="Times New Roman"/>
                <w:b w:val="0"/>
                <w:sz w:val="20"/>
              </w:rPr>
              <w:t>Données désagrégées par sexe indisponibles</w:t>
            </w:r>
          </w:p>
        </w:tc>
        <w:tc>
          <w:tcPr>
            <w:tcW w:type="dxa" w:w="3041"/>
          </w:tcPr>
          <w:p>
            <w:r>
              <w:rPr>
                <w:rFonts w:ascii="Times New Roman" w:hAnsi="Times New Roman"/>
                <w:b w:val="0"/>
                <w:sz w:val="20"/>
              </w:rPr>
              <w:t>Lacune de données</w:t>
            </w:r>
          </w:p>
        </w:tc>
        <w:tc>
          <w:tcPr>
            <w:tcW w:type="dxa" w:w="3041"/>
          </w:tcPr>
          <w:p>
            <w:r>
              <w:rPr>
                <w:rFonts w:ascii="Times New Roman" w:hAnsi="Times New Roman"/>
                <w:b w:val="0"/>
                <w:sz w:val="20"/>
              </w:rPr>
              <w:t>L'évaluation de la dimension genre est reportée à la Phase 2, faute de données désagrégées par sexe dans les rapports disponibles.</w:t>
            </w:r>
          </w:p>
        </w:tc>
      </w:tr>
    </w:tbl>
    <w:p/>
    <w:p>
      <w:r>
        <w:rPr>
          <w:rFonts w:ascii="Times New Roman" w:hAnsi="Times New Roman"/>
          <w:sz w:val="24"/>
        </w:rPr>
        <w:t xml:space="preserve">Ces limites seront intégralement levées lors de la </w:t>
      </w:r>
      <w:r>
        <w:rPr>
          <w:rFonts w:ascii="Times New Roman" w:hAnsi="Times New Roman"/>
          <w:b/>
          <w:sz w:val="24"/>
        </w:rPr>
        <w:t>Phase 2</w:t>
      </w:r>
      <w:r>
        <w:rPr>
          <w:rFonts w:ascii="Times New Roman" w:hAnsi="Times New Roman"/>
          <w:sz w:val="24"/>
        </w:rPr>
        <w:t>, dont la collecte de données primaires permettra de produire des jugements évaluatifs fondés sur des données directement collectées auprès des parties prenantes du programme. Il est toutefois important de noter que, comme dans le cas du rapport d'évaluation du PND 2018-2025, la collecte et l'analyse itérative des données nécessitent du temps et que la qualité des analyses dépend fortement de la disponibilité et de la fiabilité des données existantes.</w:t>
      </w:r>
    </w:p>
    <w:p/>
    <w:p>
      <w:pPr>
        <w:pStyle w:val="Heading2"/>
      </w:pPr>
      <w:r>
        <w:rPr>
          <w:rFonts w:ascii="Times New Roman" w:hAnsi="Times New Roman"/>
          <w:color w:val="003366"/>
          <w:sz w:val="28"/>
        </w:rPr>
        <w:t>4. CRITÈRE 1 — PERTINENCE</w:t>
      </w:r>
    </w:p>
    <w:p>
      <w:pPr>
        <w:ind w:left="432"/>
      </w:pPr>
      <w:r>
        <w:rPr>
          <w:rFonts w:ascii="Times New Roman" w:hAnsi="Times New Roman"/>
          <w:sz w:val="24"/>
        </w:rPr>
      </w:r>
      <w:r>
        <w:rPr>
          <w:rFonts w:ascii="Times New Roman" w:hAnsi="Times New Roman"/>
          <w:b/>
          <w:sz w:val="24"/>
        </w:rPr>
        <w:t>Définition OCDE/CAD</w:t>
      </w:r>
      <w:r>
        <w:rPr>
          <w:rFonts w:ascii="Times New Roman" w:hAnsi="Times New Roman"/>
          <w:sz w:val="24"/>
        </w:rPr>
        <w:t xml:space="preserve"> : </w:t>
      </w:r>
      <w:r>
        <w:rPr>
          <w:rFonts w:ascii="Times New Roman" w:hAnsi="Times New Roman"/>
          <w:i/>
          <w:sz w:val="24"/>
        </w:rPr>
        <w:t>La pertinence est la mesure dans laquelle les objectifs et la conception d'une intervention correspondent aux besoins, aux politiques et aux priorités des bénéficiaires, du pays partenaire et des partenaires institutionnels.</w:t>
      </w:r>
      <w:r>
        <w:rPr>
          <w:rFonts w:ascii="Times New Roman" w:hAnsi="Times New Roman"/>
          <w:sz w:val="24"/>
        </w:rPr>
      </w:r>
    </w:p>
    <w:p>
      <w:r>
        <w:rPr>
          <w:rFonts w:ascii="Times New Roman" w:hAnsi="Times New Roman"/>
          <w:sz w:val="24"/>
        </w:rPr>
        <w:t>L'analyse de la pertinence du PSIE a pour objectif d'apprécier dans quelle mesure le programme répond aux problèmes documentés du marché de l'emploi au Bénin, si ses bénéficiaires sont clairement identifiés, si des expériences similaires ont déjà été capitalisées, et si la logique qui relie sa raison d'être à ses effets attendus est solide. Cette appréciation repose exclusivement sur la revue documentaire des trois sources primaires disponibles.</w:t>
      </w:r>
    </w:p>
    <w:p/>
    <w:p>
      <w:pPr>
        <w:pStyle w:val="Heading3"/>
      </w:pPr>
      <w:r>
        <w:rPr>
          <w:rFonts w:ascii="Times New Roman" w:hAnsi="Times New Roman"/>
          <w:color w:val="1F4E79"/>
          <w:sz w:val="26"/>
        </w:rPr>
        <w:t>4.1 Problème à l'origine du PSIE et ampleur documentée</w:t>
      </w:r>
    </w:p>
    <w:p>
      <w:r>
        <w:rPr>
          <w:rFonts w:ascii="Times New Roman" w:hAnsi="Times New Roman"/>
          <w:sz w:val="24"/>
        </w:rPr>
      </w:r>
      <w:r>
        <w:rPr>
          <w:rFonts w:ascii="Times New Roman" w:hAnsi="Times New Roman"/>
          <w:i/>
          <w:sz w:val="24"/>
        </w:rPr>
        <w:t>Questions évaluatives 1 et 2 — Quel est le problème à l'origine de la mise en place du PSIE ? L'ampleur de ce problème est-elle bien documentée ?</w:t>
      </w:r>
      <w:r>
        <w:rPr>
          <w:rFonts w:ascii="Times New Roman" w:hAnsi="Times New Roman"/>
          <w:sz w:val="24"/>
        </w:rPr>
      </w:r>
    </w:p>
    <w:p>
      <w:r>
        <w:rPr>
          <w:rFonts w:ascii="Times New Roman" w:hAnsi="Times New Roman"/>
          <w:sz w:val="24"/>
        </w:rPr>
        <w:t>Le PSIE a été institué en réponse à une situation de sous-emploi massif des jeunes diplômés au Bénin, documentée de manière rigoureuse dans le document de projet. Le diagnostic de départ met en évidence une triple problématique.</w:t>
      </w:r>
    </w:p>
    <w:p>
      <w:r>
        <w:rPr>
          <w:rFonts w:ascii="Times New Roman" w:hAnsi="Times New Roman"/>
          <w:sz w:val="24"/>
        </w:rPr>
        <w:t xml:space="preserve">Premièrement, </w:t>
      </w:r>
      <w:r>
        <w:rPr>
          <w:rFonts w:ascii="Times New Roman" w:hAnsi="Times New Roman"/>
          <w:b/>
          <w:sz w:val="24"/>
        </w:rPr>
        <w:t>le marché du travail béninois est structurellement incapable d'absorber ses diplômés</w:t>
      </w:r>
      <w:r>
        <w:rPr>
          <w:rFonts w:ascii="Times New Roman" w:hAnsi="Times New Roman"/>
          <w:sz w:val="24"/>
        </w:rPr>
        <w:t xml:space="preserve">. En 2017, le taux de sous-emploi des jeunes atteignait </w:t>
      </w:r>
      <w:r>
        <w:rPr>
          <w:rFonts w:ascii="Times New Roman" w:hAnsi="Times New Roman"/>
          <w:b/>
          <w:sz w:val="24"/>
        </w:rPr>
        <w:t>72 %</w:t>
      </w:r>
      <w:r>
        <w:rPr>
          <w:rFonts w:ascii="Times New Roman" w:hAnsi="Times New Roman"/>
          <w:sz w:val="24"/>
        </w:rPr>
        <w:t xml:space="preserve"> (INSAE, août 2017), ce qui signifie que près de trois quarts des jeunes actifs occupaient une situation d'emploi inadéquate — partielle, précaire ou insuffisamment rémunérée. Ce chiffre constitue le principal ancrage chiffré du diagnostic.</w:t>
      </w:r>
    </w:p>
    <w:p>
      <w:r>
        <w:rPr>
          <w:rFonts w:ascii="Times New Roman" w:hAnsi="Times New Roman"/>
          <w:sz w:val="24"/>
        </w:rPr>
        <w:t xml:space="preserve">Deuxièmement, </w:t>
      </w:r>
      <w:r>
        <w:rPr>
          <w:rFonts w:ascii="Times New Roman" w:hAnsi="Times New Roman"/>
          <w:b/>
          <w:sz w:val="24"/>
        </w:rPr>
        <w:t>l'inadéquation entre les profils offerts par les établissements de formation et les profils demandés par les entreprises</w:t>
      </w:r>
      <w:r>
        <w:rPr>
          <w:rFonts w:ascii="Times New Roman" w:hAnsi="Times New Roman"/>
          <w:sz w:val="24"/>
        </w:rPr>
        <w:t xml:space="preserve"> est documentée dans le Prodoc. Les jeunes se présentent majoritairement avec des qualifications de niveau BAC à BAC+5 dans les filières tertiaires, alors que les entreprises expriment des besoins spécifiques en BAC professionnel, BTS, DUT et ingénieurs dans les secteurs productifs.</w:t>
      </w:r>
    </w:p>
    <w:p>
      <w:r>
        <w:rPr>
          <w:rFonts w:ascii="Times New Roman" w:hAnsi="Times New Roman"/>
          <w:sz w:val="24"/>
        </w:rPr>
        <w:t xml:space="preserve">Troisièmement, </w:t>
      </w:r>
      <w:r>
        <w:rPr>
          <w:rFonts w:ascii="Times New Roman" w:hAnsi="Times New Roman"/>
          <w:b/>
          <w:sz w:val="24"/>
        </w:rPr>
        <w:t>les entreprises — notamment les PME/PMI — sont réticentes à embaucher des primo-demandeurs d'emploi</w:t>
      </w:r>
      <w:r>
        <w:rPr>
          <w:rFonts w:ascii="Times New Roman" w:hAnsi="Times New Roman"/>
          <w:sz w:val="24"/>
        </w:rPr>
        <w:t>, en raison du risque perçu lié à l'absence d'expérience professionnelle et du coût des charges patronales. Le programme identifie ce frein comme une défaillance de marché justifiant une intervention publique corrective.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Indicateur de contexte</w:t>
            </w:r>
          </w:p>
        </w:tc>
        <w:tc>
          <w:tcPr>
            <w:tcW w:type="dxa" w:w="3041"/>
            <w:shd w:val="clear" w:color="auto" w:fill="003366"/>
          </w:tcPr>
          <w:p>
            <w:r>
              <w:rPr>
                <w:rFonts w:ascii="Times New Roman" w:hAnsi="Times New Roman"/>
                <w:b/>
                <w:color w:val="FFFFFF"/>
                <w:sz w:val="20"/>
              </w:rPr>
              <w:t>Valeur documentée</w:t>
            </w:r>
          </w:p>
        </w:tc>
        <w:tc>
          <w:tcPr>
            <w:tcW w:type="dxa" w:w="3041"/>
            <w:shd w:val="clear" w:color="auto" w:fill="003366"/>
          </w:tcPr>
          <w:p>
            <w:r>
              <w:rPr>
                <w:rFonts w:ascii="Times New Roman" w:hAnsi="Times New Roman"/>
                <w:b/>
                <w:color w:val="FFFFFF"/>
                <w:sz w:val="20"/>
              </w:rPr>
              <w:t>Source</w:t>
            </w:r>
          </w:p>
        </w:tc>
      </w:tr>
      <w:tr>
        <w:tc>
          <w:tcPr>
            <w:tcW w:type="dxa" w:w="3041"/>
          </w:tcPr>
          <w:p>
            <w:r>
              <w:rPr>
                <w:rFonts w:ascii="Times New Roman" w:hAnsi="Times New Roman"/>
                <w:b w:val="0"/>
                <w:sz w:val="20"/>
              </w:rPr>
              <w:t>Taux de sous-emploi des jeunes</w:t>
            </w:r>
          </w:p>
        </w:tc>
        <w:tc>
          <w:tcPr>
            <w:tcW w:type="dxa" w:w="3041"/>
          </w:tcPr>
          <w:p>
            <w:r>
              <w:rPr>
                <w:rFonts w:ascii="Times New Roman" w:hAnsi="Times New Roman"/>
                <w:b w:val="0"/>
                <w:sz w:val="20"/>
              </w:rPr>
              <w:t>72 %</w:t>
            </w:r>
          </w:p>
        </w:tc>
        <w:tc>
          <w:tcPr>
            <w:tcW w:type="dxa" w:w="3041"/>
          </w:tcPr>
          <w:p>
            <w:r>
              <w:rPr>
                <w:rFonts w:ascii="Times New Roman" w:hAnsi="Times New Roman"/>
                <w:b w:val="0"/>
                <w:sz w:val="20"/>
              </w:rPr>
              <w:t>INSAE, août 2017</w:t>
            </w:r>
          </w:p>
        </w:tc>
      </w:tr>
      <w:tr>
        <w:tc>
          <w:tcPr>
            <w:tcW w:type="dxa" w:w="3041"/>
          </w:tcPr>
          <w:p>
            <w:r>
              <w:rPr>
                <w:rFonts w:ascii="Times New Roman" w:hAnsi="Times New Roman"/>
                <w:b w:val="0"/>
                <w:sz w:val="20"/>
              </w:rPr>
              <w:t>Population de moins de 40 ans</w:t>
            </w:r>
          </w:p>
        </w:tc>
        <w:tc>
          <w:tcPr>
            <w:tcW w:type="dxa" w:w="3041"/>
          </w:tcPr>
          <w:p>
            <w:r>
              <w:rPr>
                <w:rFonts w:ascii="Times New Roman" w:hAnsi="Times New Roman"/>
                <w:b w:val="0"/>
                <w:sz w:val="20"/>
              </w:rPr>
              <w:t>4,08 millions (34 % de la population totale)</w:t>
            </w:r>
          </w:p>
        </w:tc>
        <w:tc>
          <w:tcPr>
            <w:tcW w:type="dxa" w:w="3041"/>
          </w:tcPr>
          <w:p>
            <w:r>
              <w:rPr>
                <w:rFonts w:ascii="Times New Roman" w:hAnsi="Times New Roman"/>
                <w:b w:val="0"/>
                <w:sz w:val="20"/>
              </w:rPr>
              <w:t>EMICOV 2015</w:t>
            </w:r>
          </w:p>
        </w:tc>
      </w:tr>
      <w:tr>
        <w:tc>
          <w:tcPr>
            <w:tcW w:type="dxa" w:w="3041"/>
          </w:tcPr>
          <w:p>
            <w:r>
              <w:rPr>
                <w:rFonts w:ascii="Times New Roman" w:hAnsi="Times New Roman"/>
                <w:b w:val="0"/>
                <w:sz w:val="20"/>
              </w:rPr>
              <w:t>Base candidats éligibles (2020–2025)</w:t>
            </w:r>
          </w:p>
        </w:tc>
        <w:tc>
          <w:tcPr>
            <w:tcW w:type="dxa" w:w="3041"/>
          </w:tcPr>
          <w:p>
            <w:r>
              <w:rPr>
                <w:rFonts w:ascii="Times New Roman" w:hAnsi="Times New Roman"/>
                <w:b w:val="0"/>
                <w:sz w:val="20"/>
              </w:rPr>
              <w:t>137 086 candidats interviewés via la plateforme</w:t>
            </w:r>
          </w:p>
        </w:tc>
        <w:tc>
          <w:tcPr>
            <w:tcW w:type="dxa" w:w="3041"/>
          </w:tcPr>
          <w:p>
            <w:r>
              <w:rPr>
                <w:rFonts w:ascii="Times New Roman" w:hAnsi="Times New Roman"/>
                <w:b w:val="0"/>
                <w:sz w:val="20"/>
              </w:rPr>
              <w:t>Rapport MO, 2025</w:t>
            </w:r>
          </w:p>
        </w:tc>
      </w:tr>
      <w:tr>
        <w:tc>
          <w:tcPr>
            <w:tcW w:type="dxa" w:w="3041"/>
          </w:tcPr>
          <w:p>
            <w:r>
              <w:rPr>
                <w:rFonts w:ascii="Times New Roman" w:hAnsi="Times New Roman"/>
                <w:b w:val="0"/>
                <w:sz w:val="20"/>
              </w:rPr>
              <w:t>Entreprises ayant participé</w:t>
            </w:r>
          </w:p>
        </w:tc>
        <w:tc>
          <w:tcPr>
            <w:tcW w:type="dxa" w:w="3041"/>
          </w:tcPr>
          <w:p>
            <w:r>
              <w:rPr>
                <w:rFonts w:ascii="Times New Roman" w:hAnsi="Times New Roman"/>
                <w:b w:val="0"/>
                <w:sz w:val="20"/>
              </w:rPr>
              <w:t>2 067 entreprises sur 5 ans</w:t>
            </w:r>
          </w:p>
        </w:tc>
        <w:tc>
          <w:tcPr>
            <w:tcW w:type="dxa" w:w="3041"/>
          </w:tcPr>
          <w:p>
            <w:r>
              <w:rPr>
                <w:rFonts w:ascii="Times New Roman" w:hAnsi="Times New Roman"/>
                <w:b w:val="0"/>
                <w:sz w:val="20"/>
              </w:rPr>
              <w:t>Rapport MO, 2025</w:t>
            </w:r>
          </w:p>
        </w:tc>
      </w:tr>
    </w:tbl>
    <w:p/>
    <w:p>
      <w:r>
        <w:rPr>
          <w:rFonts w:ascii="Times New Roman" w:hAnsi="Times New Roman"/>
          <w:sz w:val="24"/>
        </w:rPr>
        <w:t>Le problème à l'origine du PSIE est clairement formulé, quantifié et articulé autour d'une défaillance simultanée du côté de l'offre de travail (inadéquation des profils) et de la demande de travail (réticence à recruter). L'ampleur du problème est bien documentée par les statistiques officielles disponibles.</w:t>
      </w:r>
    </w:p>
    <w:p/>
    <w:p>
      <w:pPr>
        <w:pStyle w:val="Heading3"/>
      </w:pPr>
      <w:r>
        <w:rPr>
          <w:rFonts w:ascii="Times New Roman" w:hAnsi="Times New Roman"/>
          <w:color w:val="1F4E79"/>
          <w:sz w:val="26"/>
        </w:rPr>
        <w:t>4.2 Bénéficiaires directs et indirects du PSIE</w:t>
      </w:r>
    </w:p>
    <w:p>
      <w:r>
        <w:rPr>
          <w:rFonts w:ascii="Times New Roman" w:hAnsi="Times New Roman"/>
          <w:sz w:val="24"/>
        </w:rPr>
      </w:r>
      <w:r>
        <w:rPr>
          <w:rFonts w:ascii="Times New Roman" w:hAnsi="Times New Roman"/>
          <w:i/>
          <w:sz w:val="24"/>
        </w:rPr>
        <w:t>Question évaluative 3 — Les bénéficiaires directs et indirects des actions du PSIE sont-ils clairement identifiés ?</w:t>
      </w:r>
      <w:r>
        <w:rPr>
          <w:rFonts w:ascii="Times New Roman" w:hAnsi="Times New Roman"/>
          <w:sz w:val="24"/>
        </w:rPr>
      </w:r>
    </w:p>
    <w:p>
      <w:r>
        <w:rPr>
          <w:rFonts w:ascii="Times New Roman" w:hAnsi="Times New Roman"/>
          <w:sz w:val="24"/>
        </w:rPr>
        <w:t>Le Prodoc identifie les bénéficiaires du programme avec précision, en distinguant deux catégories.</w:t>
      </w:r>
    </w:p>
    <w:p>
      <w:r>
        <w:rPr>
          <w:rFonts w:ascii="Times New Roman" w:hAnsi="Times New Roman"/>
          <w:sz w:val="24"/>
        </w:rPr>
      </w:r>
      <w:r>
        <w:rPr>
          <w:rFonts w:ascii="Times New Roman" w:hAnsi="Times New Roman"/>
          <w:b/>
          <w:sz w:val="24"/>
        </w:rPr>
        <w:t>Les bénéficiaires directs</w:t>
      </w:r>
      <w:r>
        <w:rPr>
          <w:rFonts w:ascii="Times New Roman" w:hAnsi="Times New Roman"/>
          <w:sz w:val="24"/>
        </w:rPr>
        <w:t xml:space="preserve"> comprennent deux groupes :</w:t>
      </w:r>
    </w:p>
    <w:p>
      <w:pPr>
        <w:ind w:left="432"/>
      </w:pPr>
      <w:r>
        <w:rPr>
          <w:rFonts w:ascii="Times New Roman" w:hAnsi="Times New Roman"/>
          <w:sz w:val="24"/>
        </w:rPr>
      </w:r>
      <w:r>
        <w:rPr>
          <w:rFonts w:ascii="Times New Roman" w:hAnsi="Times New Roman"/>
          <w:b/>
          <w:sz w:val="24"/>
        </w:rPr>
        <w:t>Les jeunes allocataires</w:t>
      </w:r>
      <w:r>
        <w:rPr>
          <w:rFonts w:ascii="Times New Roman" w:hAnsi="Times New Roman"/>
          <w:sz w:val="24"/>
        </w:rPr>
        <w:t xml:space="preserve"> : jeunes diplômés béninois âgés de 18 à 35 ans, titulaires d'un diplôme au minimum de niveau BAC professionnel, en situation de chômage ou de sous-emploi, ayant passé les étapes de sélection (inscription sur la plateforme PSIE, entretien de présélection, déploiement en entreprise). Le programme cible des niveaux de qualification précis : BAC professionnel, BTS/DUT, Licence/DTS et Master/Ingénieur.</w:t>
      </w:r>
    </w:p>
    <w:p>
      <w:pPr>
        <w:ind w:left="432"/>
      </w:pPr>
      <w:r>
        <w:rPr>
          <w:rFonts w:ascii="Times New Roman" w:hAnsi="Times New Roman"/>
          <w:sz w:val="24"/>
        </w:rPr>
      </w:r>
      <w:r>
        <w:rPr>
          <w:rFonts w:ascii="Times New Roman" w:hAnsi="Times New Roman"/>
          <w:b/>
          <w:sz w:val="24"/>
        </w:rPr>
        <w:t>Les entreprises bénéficiaires</w:t>
      </w:r>
      <w:r>
        <w:rPr>
          <w:rFonts w:ascii="Times New Roman" w:hAnsi="Times New Roman"/>
          <w:sz w:val="24"/>
        </w:rPr>
        <w:t xml:space="preserve"> : toute entreprise formelle béninoise — publique ou privée, toutes tailles — inscrite au Registre du Commerce et affiliée à la CNSS, à l'exception des emplois directs dans les secteurs de la santé, de l'éducation nationale, de l'agriculture vivrière et de l'artisanat traditionnel.</w:t>
      </w:r>
    </w:p>
    <w:p>
      <w:r>
        <w:rPr>
          <w:rFonts w:ascii="Times New Roman" w:hAnsi="Times New Roman"/>
          <w:sz w:val="24"/>
        </w:rPr>
      </w:r>
      <w:r>
        <w:rPr>
          <w:rFonts w:ascii="Times New Roman" w:hAnsi="Times New Roman"/>
          <w:b/>
          <w:sz w:val="24"/>
        </w:rPr>
        <w:t>Les bénéficiaires indirects</w:t>
      </w:r>
      <w:r>
        <w:rPr>
          <w:rFonts w:ascii="Times New Roman" w:hAnsi="Times New Roman"/>
          <w:sz w:val="24"/>
        </w:rPr>
        <w:t xml:space="preserve"> incluent : l'État béninois (réduction du stock de chômeurs diplômés, élargissement de l'assiette fiscale et sociale), l'ANPE (renforcement de ses missions de placement actif), la CNSS (élargissement de la base des cotisants), et les ménages des allocataires (amélioration des revenus familiaux).</w:t>
      </w:r>
    </w:p>
    <w:p>
      <w:r>
        <w:rPr>
          <w:rFonts w:ascii="Times New Roman" w:hAnsi="Times New Roman"/>
          <w:sz w:val="24"/>
        </w:rPr>
        <w:t>Cette identification claire et hiérarchisée des bénéficiaires constitue un atout méthodologique du programme et facilite le ciblage opérationnel.</w:t>
      </w:r>
    </w:p>
    <w:p/>
    <w:p>
      <w:pPr>
        <w:pStyle w:val="Heading3"/>
      </w:pPr>
      <w:r>
        <w:rPr>
          <w:rFonts w:ascii="Times New Roman" w:hAnsi="Times New Roman"/>
          <w:color w:val="1F4E79"/>
          <w:sz w:val="26"/>
        </w:rPr>
        <w:t>4.3 Capitalisation des expériences similaires</w:t>
      </w:r>
    </w:p>
    <w:p>
      <w:r>
        <w:rPr>
          <w:rFonts w:ascii="Times New Roman" w:hAnsi="Times New Roman"/>
          <w:sz w:val="24"/>
        </w:rPr>
      </w:r>
      <w:r>
        <w:rPr>
          <w:rFonts w:ascii="Times New Roman" w:hAnsi="Times New Roman"/>
          <w:i/>
          <w:sz w:val="24"/>
        </w:rPr>
        <w:t>Question évaluative 4 — A-t-on déjà étudié empiriquement l'effet d'une telle approche ? Quels en ont été les effets ? Constate-t-on des effets secondaires désirables et indésirables ?</w:t>
      </w:r>
      <w:r>
        <w:rPr>
          <w:rFonts w:ascii="Times New Roman" w:hAnsi="Times New Roman"/>
          <w:sz w:val="24"/>
        </w:rPr>
      </w:r>
    </w:p>
    <w:p>
      <w:r>
        <w:rPr>
          <w:rFonts w:ascii="Times New Roman" w:hAnsi="Times New Roman"/>
          <w:sz w:val="24"/>
        </w:rPr>
        <w:t xml:space="preserve">Le Prodoc mentionne explicitement le </w:t>
      </w:r>
      <w:r>
        <w:rPr>
          <w:rFonts w:ascii="Times New Roman" w:hAnsi="Times New Roman"/>
          <w:b/>
          <w:sz w:val="24"/>
        </w:rPr>
        <w:t>Programme d'Appui à l'Emploi Salarié (PAES)</w:t>
      </w:r>
      <w:r>
        <w:rPr>
          <w:rFonts w:ascii="Times New Roman" w:hAnsi="Times New Roman"/>
          <w:sz w:val="24"/>
        </w:rPr>
        <w:t>, mis en œuvre au Bénin à partir de 2009 et ayant constitué le principal précédent national. Les leçons tirées du PAES ont directement orienté la conception du PSIE, notamment sur trois points :</w:t>
      </w:r>
    </w:p>
    <w:p>
      <w:pPr>
        <w:ind w:left="432"/>
      </w:pPr>
      <w:r>
        <w:rPr>
          <w:rFonts w:ascii="Times New Roman" w:hAnsi="Times New Roman"/>
          <w:sz w:val="24"/>
        </w:rPr>
      </w:r>
      <w:r>
        <w:rPr>
          <w:rFonts w:ascii="Times New Roman" w:hAnsi="Times New Roman"/>
          <w:b/>
          <w:sz w:val="24"/>
        </w:rPr>
        <w:t>Extension de la prise en charge salariale</w:t>
      </w:r>
      <w:r>
        <w:rPr>
          <w:rFonts w:ascii="Times New Roman" w:hAnsi="Times New Roman"/>
          <w:sz w:val="24"/>
        </w:rPr>
        <w:t xml:space="preserve"> : Le PAES pratiquait une prise en charge partielle des salaires. Le PSIE a étendu ce mécanisme à une prise en charge totale sur 24 mois, levant une contrainte identifiée comme un frein à la participation des PME.</w:t>
      </w:r>
    </w:p>
    <w:p>
      <w:pPr>
        <w:ind w:left="432"/>
      </w:pPr>
      <w:r>
        <w:rPr>
          <w:rFonts w:ascii="Times New Roman" w:hAnsi="Times New Roman"/>
          <w:sz w:val="24"/>
        </w:rPr>
      </w:r>
      <w:r>
        <w:rPr>
          <w:rFonts w:ascii="Times New Roman" w:hAnsi="Times New Roman"/>
          <w:b/>
          <w:sz w:val="24"/>
        </w:rPr>
        <w:t>Allongement de la durée d'insertion</w:t>
      </w:r>
      <w:r>
        <w:rPr>
          <w:rFonts w:ascii="Times New Roman" w:hAnsi="Times New Roman"/>
          <w:sz w:val="24"/>
        </w:rPr>
        <w:t xml:space="preserve"> : Capitalisant sur l'expérience du PAES, le PSIE a fixé la durée de l'immersion à 24 mois, pour permettre une acquisition substantielle de compétences professionnelles certifiées.</w:t>
      </w:r>
    </w:p>
    <w:p>
      <w:pPr>
        <w:ind w:left="432"/>
      </w:pPr>
      <w:r>
        <w:rPr>
          <w:rFonts w:ascii="Times New Roman" w:hAnsi="Times New Roman"/>
          <w:sz w:val="24"/>
        </w:rPr>
      </w:r>
      <w:r>
        <w:rPr>
          <w:rFonts w:ascii="Times New Roman" w:hAnsi="Times New Roman"/>
          <w:b/>
          <w:sz w:val="24"/>
        </w:rPr>
        <w:t>Institutionnalisation du mécanisme de tiers-payant</w:t>
      </w:r>
      <w:r>
        <w:rPr>
          <w:rFonts w:ascii="Times New Roman" w:hAnsi="Times New Roman"/>
          <w:sz w:val="24"/>
        </w:rPr>
        <w:t xml:space="preserve"> : Le paiement direct des allocations par le Trésor public — et non par les entreprises — constitue une innovation qui réduit les risques de non-paiement et les charges administratives pour les entreprises.</w:t>
      </w:r>
    </w:p>
    <w:p>
      <w:r>
        <w:rPr>
          <w:rFonts w:ascii="Times New Roman" w:hAnsi="Times New Roman"/>
          <w:sz w:val="24"/>
        </w:rPr>
        <w:t>Il convient de noter qu'</w:t>
      </w:r>
      <w:r>
        <w:rPr>
          <w:rFonts w:ascii="Times New Roman" w:hAnsi="Times New Roman"/>
          <w:b/>
          <w:sz w:val="24"/>
        </w:rPr>
        <w:t>aucune évaluation à mi-parcours du PSIE</w:t>
      </w:r>
      <w:r>
        <w:rPr>
          <w:rFonts w:ascii="Times New Roman" w:hAnsi="Times New Roman"/>
          <w:sz w:val="24"/>
        </w:rPr>
        <w:t xml:space="preserve"> n'a été réalisée sur la période 2020-2025, ce qui constitue une limite importante pour l'appréciation des effets capitalisés. Cette insuffisance devrait être rattrapée lors de la mise en œuvre du prochain cycle du PSIE.</w:t>
      </w:r>
    </w:p>
    <w:p>
      <w:r>
        <w:rPr>
          <w:rFonts w:ascii="Times New Roman" w:hAnsi="Times New Roman"/>
          <w:sz w:val="24"/>
        </w:rPr>
      </w:r>
      <w:r>
        <w:rPr>
          <w:rFonts w:ascii="Times New Roman" w:hAnsi="Times New Roman"/>
          <w:b/>
          <w:sz w:val="24"/>
        </w:rPr>
        <w:t>Effets secondaires identifiés</w:t>
      </w:r>
      <w:r>
        <w:rPr>
          <w:rFonts w:ascii="Times New Roman" w:hAnsi="Times New Roman"/>
          <w:sz w:val="24"/>
        </w:rPr>
        <w:t xml:space="preserve"> : Le rapport de mise en œuvre signale des cas d'abandons d'allocataires avant la fin du contrat (non quantifiés) et des situations où des entreprises ont recruté un allocataire avant la fin des 24 mois — un effet positif en termes d'employabilité, mais qui crée des vacances de poste non anticipées.</w:t>
      </w:r>
    </w:p>
    <w:p/>
    <w:p>
      <w:pPr>
        <w:pStyle w:val="Heading3"/>
      </w:pPr>
      <w:r>
        <w:rPr>
          <w:rFonts w:ascii="Times New Roman" w:hAnsi="Times New Roman"/>
          <w:color w:val="1F4E79"/>
          <w:sz w:val="26"/>
        </w:rPr>
        <w:t>4.4 Rationnel d'intervention et logique causale</w:t>
      </w:r>
    </w:p>
    <w:p>
      <w:r>
        <w:rPr>
          <w:rFonts w:ascii="Times New Roman" w:hAnsi="Times New Roman"/>
          <w:sz w:val="24"/>
        </w:rPr>
      </w:r>
      <w:r>
        <w:rPr>
          <w:rFonts w:ascii="Times New Roman" w:hAnsi="Times New Roman"/>
          <w:i/>
          <w:sz w:val="24"/>
        </w:rPr>
        <w:t>Question évaluative 5 — Quel est le rationnel qui relie logiquement la raison d'être, les cibles, les objectifs, le choix des moyens d'intervention du PSIE et les effets attendus ?</w:t>
      </w:r>
      <w:r>
        <w:rPr>
          <w:rFonts w:ascii="Times New Roman" w:hAnsi="Times New Roman"/>
          <w:sz w:val="24"/>
        </w:rPr>
      </w:r>
    </w:p>
    <w:p>
      <w:r>
        <w:rPr>
          <w:rFonts w:ascii="Times New Roman" w:hAnsi="Times New Roman"/>
          <w:sz w:val="24"/>
        </w:rPr>
        <w:t xml:space="preserve">Le rationnel du PSIE repose sur une logique causale claire : </w:t>
      </w:r>
      <w:r>
        <w:rPr>
          <w:rFonts w:ascii="Times New Roman" w:hAnsi="Times New Roman"/>
          <w:b/>
          <w:sz w:val="24"/>
        </w:rPr>
        <w:t>si l'État prend en charge le coût salarial des primo-demandeurs d'emploi, les entreprises vont accepter de les accueillir ; si les jeunes travaillent pendant 24 mois en entreprise, ils acquièrent une expérience professionnelle certifiée ; si cette expérience est certifiée, leur employabilité augmente et le risque de chômage de longue durée diminue</w:t>
      </w:r>
      <w:r>
        <w:rPr>
          <w:rFonts w:ascii="Times New Roman" w:hAnsi="Times New Roman"/>
          <w:sz w:val="24"/>
        </w:rPr>
        <w:t>.</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Problème identifié</w:t>
            </w:r>
          </w:p>
        </w:tc>
        <w:tc>
          <w:tcPr>
            <w:tcW w:type="dxa" w:w="3041"/>
            <w:shd w:val="clear" w:color="auto" w:fill="003366"/>
          </w:tcPr>
          <w:p>
            <w:r>
              <w:rPr>
                <w:rFonts w:ascii="Times New Roman" w:hAnsi="Times New Roman"/>
                <w:b/>
                <w:color w:val="FFFFFF"/>
                <w:sz w:val="20"/>
              </w:rPr>
              <w:t>Mécanisme d'intervention</w:t>
            </w:r>
          </w:p>
        </w:tc>
        <w:tc>
          <w:tcPr>
            <w:tcW w:type="dxa" w:w="3041"/>
            <w:shd w:val="clear" w:color="auto" w:fill="003366"/>
          </w:tcPr>
          <w:p>
            <w:r>
              <w:rPr>
                <w:rFonts w:ascii="Times New Roman" w:hAnsi="Times New Roman"/>
                <w:b/>
                <w:color w:val="FFFFFF"/>
                <w:sz w:val="20"/>
              </w:rPr>
              <w:t>Effet attendu</w:t>
            </w:r>
          </w:p>
        </w:tc>
      </w:tr>
      <w:tr>
        <w:tc>
          <w:tcPr>
            <w:tcW w:type="dxa" w:w="3041"/>
          </w:tcPr>
          <w:p>
            <w:r>
              <w:rPr>
                <w:rFonts w:ascii="Times New Roman" w:hAnsi="Times New Roman"/>
                <w:b w:val="0"/>
                <w:sz w:val="20"/>
              </w:rPr>
              <w:t>Réticence des entreprises à recruter (coût salarial)</w:t>
            </w:r>
          </w:p>
        </w:tc>
        <w:tc>
          <w:tcPr>
            <w:tcW w:type="dxa" w:w="3041"/>
          </w:tcPr>
          <w:p>
            <w:r>
              <w:rPr>
                <w:rFonts w:ascii="Times New Roman" w:hAnsi="Times New Roman"/>
                <w:b w:val="0"/>
                <w:sz w:val="20"/>
              </w:rPr>
              <w:t>Prise en charge totale des salaires par l'État sur 24 mois</w:t>
            </w:r>
          </w:p>
        </w:tc>
        <w:tc>
          <w:tcPr>
            <w:tcW w:type="dxa" w:w="3041"/>
          </w:tcPr>
          <w:p>
            <w:r>
              <w:rPr>
                <w:rFonts w:ascii="Times New Roman" w:hAnsi="Times New Roman"/>
                <w:b w:val="0"/>
                <w:sz w:val="20"/>
              </w:rPr>
              <w:t>Augmentation de la demande de jeunes en entreprise</w:t>
            </w:r>
          </w:p>
        </w:tc>
      </w:tr>
      <w:tr>
        <w:tc>
          <w:tcPr>
            <w:tcW w:type="dxa" w:w="3041"/>
          </w:tcPr>
          <w:p>
            <w:r>
              <w:rPr>
                <w:rFonts w:ascii="Times New Roman" w:hAnsi="Times New Roman"/>
                <w:b w:val="0"/>
                <w:sz w:val="20"/>
              </w:rPr>
              <w:t>Inadéquation des profils à l'expérience</w:t>
            </w:r>
          </w:p>
        </w:tc>
        <w:tc>
          <w:tcPr>
            <w:tcW w:type="dxa" w:w="3041"/>
          </w:tcPr>
          <w:p>
            <w:r>
              <w:rPr>
                <w:rFonts w:ascii="Times New Roman" w:hAnsi="Times New Roman"/>
                <w:b w:val="0"/>
                <w:sz w:val="20"/>
              </w:rPr>
              <w:t>Immersion professionnelle de 24 mois + accompagnement à l'employabilité</w:t>
            </w:r>
          </w:p>
        </w:tc>
        <w:tc>
          <w:tcPr>
            <w:tcW w:type="dxa" w:w="3041"/>
          </w:tcPr>
          <w:p>
            <w:r>
              <w:rPr>
                <w:rFonts w:ascii="Times New Roman" w:hAnsi="Times New Roman"/>
                <w:b w:val="0"/>
                <w:sz w:val="20"/>
              </w:rPr>
              <w:t>Développement des compétences métiers et transversales</w:t>
            </w:r>
          </w:p>
        </w:tc>
      </w:tr>
      <w:tr>
        <w:tc>
          <w:tcPr>
            <w:tcW w:type="dxa" w:w="3041"/>
          </w:tcPr>
          <w:p>
            <w:r>
              <w:rPr>
                <w:rFonts w:ascii="Times New Roman" w:hAnsi="Times New Roman"/>
                <w:b w:val="0"/>
                <w:sz w:val="20"/>
              </w:rPr>
              <w:t>Stock de diplômés chômeurs</w:t>
            </w:r>
          </w:p>
        </w:tc>
        <w:tc>
          <w:tcPr>
            <w:tcW w:type="dxa" w:w="3041"/>
          </w:tcPr>
          <w:p>
            <w:r>
              <w:rPr>
                <w:rFonts w:ascii="Times New Roman" w:hAnsi="Times New Roman"/>
                <w:b w:val="0"/>
                <w:sz w:val="20"/>
              </w:rPr>
              <w:t>Ciblage des jeunes 18-35 ans, BAC prof. à Master</w:t>
            </w:r>
          </w:p>
        </w:tc>
        <w:tc>
          <w:tcPr>
            <w:tcW w:type="dxa" w:w="3041"/>
          </w:tcPr>
          <w:p>
            <w:r>
              <w:rPr>
                <w:rFonts w:ascii="Times New Roman" w:hAnsi="Times New Roman"/>
                <w:b w:val="0"/>
                <w:sz w:val="20"/>
              </w:rPr>
              <w:t>Réduction du taux de sous-emploi des jeunes diplômés</w:t>
            </w:r>
          </w:p>
        </w:tc>
      </w:tr>
    </w:tbl>
    <w:p/>
    <w:p>
      <w:r>
        <w:rPr>
          <w:rFonts w:ascii="Times New Roman" w:hAnsi="Times New Roman"/>
          <w:sz w:val="24"/>
        </w:rPr>
        <w:t>Le choix de confier la mise en œuvre à l'</w:t>
      </w:r>
      <w:r>
        <w:rPr>
          <w:rFonts w:ascii="Times New Roman" w:hAnsi="Times New Roman"/>
          <w:b/>
          <w:sz w:val="24"/>
        </w:rPr>
        <w:t>ANPE</w:t>
      </w:r>
      <w:r>
        <w:rPr>
          <w:rFonts w:ascii="Times New Roman" w:hAnsi="Times New Roman"/>
          <w:sz w:val="24"/>
        </w:rPr>
        <w:t xml:space="preserve"> est cohérent avec ce rationnel : il capitalise sur le réseau territorial existant, la base de données des demandeurs d'emploi et les relations établies avec les entreprises.</w:t>
      </w:r>
    </w:p>
    <w:p>
      <w:r>
        <w:rPr>
          <w:rFonts w:ascii="Times New Roman" w:hAnsi="Times New Roman"/>
          <w:sz w:val="24"/>
        </w:rPr>
        <w:t xml:space="preserve">Ce rationnel est </w:t>
      </w:r>
      <w:r>
        <w:rPr>
          <w:rFonts w:ascii="Times New Roman" w:hAnsi="Times New Roman"/>
          <w:b/>
          <w:sz w:val="24"/>
        </w:rPr>
        <w:t>solide et pertinent</w:t>
      </w:r>
      <w:r>
        <w:rPr>
          <w:rFonts w:ascii="Times New Roman" w:hAnsi="Times New Roman"/>
          <w:sz w:val="24"/>
        </w:rPr>
        <w:t xml:space="preserve"> dans le contexte béninois. Cependant, une limite mérite d'être soulignée : le programme n'intègre pas explicitement de mécanisme garantissant que les entreprises transforment l'immersion en emploi permanent. L'effet à long terme sur l'emploi durable reste conditionné à des facteurs extérieurs au programme.</w:t>
      </w:r>
    </w:p>
    <w:p/>
    <w:p>
      <w:pPr>
        <w:pStyle w:val="Heading3"/>
      </w:pPr>
      <w:r>
        <w:rPr>
          <w:rFonts w:ascii="Times New Roman" w:hAnsi="Times New Roman"/>
          <w:color w:val="1F4E79"/>
          <w:sz w:val="26"/>
        </w:rPr>
        <w:t>4.5 Jugement global — Pertinence</w:t>
      </w:r>
    </w:p>
    <w:p>
      <w:r>
        <w:rPr>
          <w:rFonts w:ascii="Times New Roman" w:hAnsi="Times New Roman"/>
          <w:sz w:val="24"/>
        </w:rPr>
        <w:t xml:space="preserve">L'analyse documentaire conduit au constat que </w:t>
      </w:r>
      <w:r>
        <w:rPr>
          <w:rFonts w:ascii="Times New Roman" w:hAnsi="Times New Roman"/>
          <w:b/>
          <w:sz w:val="24"/>
        </w:rPr>
        <w:t>le PSIE présente une pertinence élevée</w:t>
      </w:r>
      <w:r>
        <w:rPr>
          <w:rFonts w:ascii="Times New Roman" w:hAnsi="Times New Roman"/>
          <w:sz w:val="24"/>
        </w:rPr>
        <w:t>. Le programme repose sur un diagnostic chiffré rigoureux du marché du travail béninois, identifie clairement ses bénéficiaires, s'appuie sur les leçons du PAES, et déploie un rationnel d'intervention bien articulé pour répondre à des défaillances de marché documentées. La prolongation du programme en 2025 et la participation de 2 067 entreprises sur cinq ans constituent les preuves empiriques les plus éloquentes de sa pertinence.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Dimension analysée</w:t>
            </w:r>
          </w:p>
        </w:tc>
        <w:tc>
          <w:tcPr>
            <w:tcW w:type="dxa" w:w="3041"/>
            <w:shd w:val="clear" w:color="auto" w:fill="003366"/>
          </w:tcPr>
          <w:p>
            <w:r>
              <w:rPr>
                <w:rFonts w:ascii="Times New Roman" w:hAnsi="Times New Roman"/>
                <w:b/>
                <w:color w:val="FFFFFF"/>
                <w:sz w:val="20"/>
              </w:rPr>
              <w:t>Jugement</w:t>
            </w:r>
          </w:p>
        </w:tc>
        <w:tc>
          <w:tcPr>
            <w:tcW w:type="dxa" w:w="3041"/>
            <w:shd w:val="clear" w:color="auto" w:fill="003366"/>
          </w:tcPr>
          <w:p>
            <w:r>
              <w:rPr>
                <w:rFonts w:ascii="Times New Roman" w:hAnsi="Times New Roman"/>
                <w:b/>
                <w:color w:val="FFFFFF"/>
                <w:sz w:val="20"/>
              </w:rPr>
              <w:t>Justification principale</w:t>
            </w:r>
          </w:p>
        </w:tc>
      </w:tr>
      <w:tr>
        <w:tc>
          <w:tcPr>
            <w:tcW w:type="dxa" w:w="3041"/>
          </w:tcPr>
          <w:p>
            <w:r>
              <w:rPr>
                <w:rFonts w:ascii="Times New Roman" w:hAnsi="Times New Roman"/>
                <w:b w:val="0"/>
                <w:sz w:val="20"/>
              </w:rPr>
              <w:t>Adéquation au problème (QE1+QE2)</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Taux de sous-emploi 72 %, triple défaillance documentée, diagnostic robuste</w:t>
            </w:r>
          </w:p>
        </w:tc>
      </w:tr>
      <w:tr>
        <w:tc>
          <w:tcPr>
            <w:tcW w:type="dxa" w:w="3041"/>
          </w:tcPr>
          <w:p>
            <w:r>
              <w:rPr>
                <w:rFonts w:ascii="Times New Roman" w:hAnsi="Times New Roman"/>
                <w:b w:val="0"/>
                <w:sz w:val="20"/>
              </w:rPr>
              <w:t>Identification des bénéficiaires (QE3)</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Bénéficiaires directs et indirects clairement définis et hiérarchisés</w:t>
            </w:r>
          </w:p>
        </w:tc>
      </w:tr>
      <w:tr>
        <w:tc>
          <w:tcPr>
            <w:tcW w:type="dxa" w:w="3041"/>
          </w:tcPr>
          <w:p>
            <w:r>
              <w:rPr>
                <w:rFonts w:ascii="Times New Roman" w:hAnsi="Times New Roman"/>
                <w:b w:val="0"/>
                <w:sz w:val="20"/>
              </w:rPr>
              <w:t>Capitalisation des expériences (QE4)</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Apprentissage du PAES intégré ; effets secondaires documentés</w:t>
            </w:r>
          </w:p>
        </w:tc>
      </w:tr>
      <w:tr>
        <w:tc>
          <w:tcPr>
            <w:tcW w:type="dxa" w:w="3041"/>
          </w:tcPr>
          <w:p>
            <w:r>
              <w:rPr>
                <w:rFonts w:ascii="Times New Roman" w:hAnsi="Times New Roman"/>
                <w:b w:val="0"/>
                <w:sz w:val="20"/>
              </w:rPr>
              <w:t>Rationnel d'intervention (QE5)</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Logique causale claire ; mécanisme adapté aux défaillances de marché identifiées</w:t>
            </w:r>
          </w:p>
        </w:tc>
      </w:tr>
      <w:tr>
        <w:tc>
          <w:tcPr>
            <w:tcW w:type="dxa" w:w="3041"/>
          </w:tcPr>
          <w:p>
            <w:r>
              <w:rPr>
                <w:rFonts w:ascii="Times New Roman" w:hAnsi="Times New Roman"/>
                <w:b w:val="0"/>
                <w:sz w:val="20"/>
              </w:rPr>
              <w:t>Jugement global</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Le PSIE répond précisément aux besoins, aux priorités et au contexte béninois</w:t>
            </w:r>
          </w:p>
        </w:tc>
      </w:tr>
    </w:tbl>
    <w:p/>
    <w:p/>
    <w:p>
      <w:pPr>
        <w:pStyle w:val="Heading2"/>
      </w:pPr>
      <w:r>
        <w:rPr>
          <w:rFonts w:ascii="Times New Roman" w:hAnsi="Times New Roman"/>
          <w:color w:val="003366"/>
          <w:sz w:val="28"/>
        </w:rPr>
        <w:t>5. CRITÈRE 2 — COHÉRENCE</w:t>
      </w:r>
    </w:p>
    <w:p>
      <w:pPr>
        <w:ind w:left="432"/>
      </w:pPr>
      <w:r>
        <w:rPr>
          <w:rFonts w:ascii="Times New Roman" w:hAnsi="Times New Roman"/>
          <w:sz w:val="24"/>
        </w:rPr>
      </w:r>
      <w:r>
        <w:rPr>
          <w:rFonts w:ascii="Times New Roman" w:hAnsi="Times New Roman"/>
          <w:b/>
          <w:sz w:val="24"/>
        </w:rPr>
        <w:t>Définition OCDE/CAD</w:t>
      </w:r>
      <w:r>
        <w:rPr>
          <w:rFonts w:ascii="Times New Roman" w:hAnsi="Times New Roman"/>
          <w:sz w:val="24"/>
        </w:rPr>
        <w:t xml:space="preserve"> : </w:t>
      </w:r>
      <w:r>
        <w:rPr>
          <w:rFonts w:ascii="Times New Roman" w:hAnsi="Times New Roman"/>
          <w:i/>
          <w:sz w:val="24"/>
        </w:rPr>
        <w:t>La cohérence est la compatibilité de l'intervention avec d'autres interventions d'un pays, d'un secteur ou d'une institution. Elle distingue la cohérence interne (solidité de la logique d'intervention) et la cohérence externe (compatibilité avec d'autres politiques et programmes).</w:t>
      </w:r>
      <w:r>
        <w:rPr>
          <w:rFonts w:ascii="Times New Roman" w:hAnsi="Times New Roman"/>
          <w:sz w:val="24"/>
        </w:rPr>
      </w:r>
    </w:p>
    <w:p>
      <w:r>
        <w:rPr>
          <w:rFonts w:ascii="Times New Roman" w:hAnsi="Times New Roman"/>
          <w:sz w:val="24"/>
        </w:rPr>
        <w:t>L'analyse de la cohérence du PSIE vise à apprécier, d'une part, la solidité de sa logique interne — c'est-à-dire l'articulation entre ses objectifs, ses activités et ses résultats attendus — et, d'autre part, son alignement avec les stratégies nationales de l'emploi, les priorités de développement national et les engagements internationaux du Bénin. Elle repose sur l'analyse croisée du cadre logique, du document de projet, du rapport de mise en œuvre et des politiques de référence disponibles.</w:t>
      </w:r>
    </w:p>
    <w:p/>
    <w:p>
      <w:pPr>
        <w:pStyle w:val="Heading3"/>
      </w:pPr>
      <w:r>
        <w:rPr>
          <w:rFonts w:ascii="Times New Roman" w:hAnsi="Times New Roman"/>
          <w:color w:val="1F4E79"/>
          <w:sz w:val="26"/>
        </w:rPr>
        <w:t>5.1 Cohérence interne — analyse de la chaîne de résultats du PSIE</w:t>
      </w:r>
    </w:p>
    <w:p>
      <w:r>
        <w:rPr>
          <w:rFonts w:ascii="Times New Roman" w:hAnsi="Times New Roman"/>
          <w:sz w:val="24"/>
        </w:rPr>
      </w:r>
      <w:r>
        <w:rPr>
          <w:rFonts w:ascii="Times New Roman" w:hAnsi="Times New Roman"/>
          <w:i/>
          <w:sz w:val="24"/>
        </w:rPr>
        <w:t>Question évaluative 6 — Quel est le degré de cohérence interne du PSIE ?</w:t>
      </w:r>
      <w:r>
        <w:rPr>
          <w:rFonts w:ascii="Times New Roman" w:hAnsi="Times New Roman"/>
          <w:sz w:val="24"/>
        </w:rPr>
      </w:r>
    </w:p>
    <w:p>
      <w:r>
        <w:rPr>
          <w:rFonts w:ascii="Times New Roman" w:hAnsi="Times New Roman"/>
          <w:sz w:val="24"/>
        </w:rPr>
        <w:t>Le cadre logique du PSIE présente une cohérence interne globalement satisfaisante, reposant sur une structuration logique de ses composantes : objectif général, objectifs spécifiques, résultats attendus, activités et indicateurs de suivi.</w:t>
      </w:r>
    </w:p>
    <w:p>
      <w:r>
        <w:rPr>
          <w:rFonts w:ascii="Times New Roman" w:hAnsi="Times New Roman"/>
          <w:sz w:val="24"/>
        </w:rPr>
        <w:t>L'objectif général du PSIE — faciliter l'insertion professionnelle des jeunes diplômés dans les entreprises — est décliné de manière cohérente à travers deux objectifs spécifiques complémentaires et interdépendants :</w:t>
      </w:r>
    </w:p>
    <w:p>
      <w:pPr>
        <w:ind w:left="432"/>
      </w:pPr>
      <w:r>
        <w:rPr>
          <w:rFonts w:ascii="Times New Roman" w:hAnsi="Times New Roman"/>
          <w:sz w:val="24"/>
        </w:rPr>
      </w:r>
      <w:r>
        <w:rPr>
          <w:rFonts w:ascii="Times New Roman" w:hAnsi="Times New Roman"/>
          <w:b/>
          <w:sz w:val="24"/>
        </w:rPr>
        <w:t>OS1</w:t>
      </w:r>
      <w:r>
        <w:rPr>
          <w:rFonts w:ascii="Times New Roman" w:hAnsi="Times New Roman"/>
          <w:sz w:val="24"/>
        </w:rPr>
        <w:t xml:space="preserve"> : Améliorer l'employabilité des jeunes diplômés par des mesures d'accompagnement (ateliers TRE, coaching, tutorat en entreprise).</w:t>
      </w:r>
    </w:p>
    <w:p>
      <w:pPr>
        <w:ind w:left="432"/>
      </w:pPr>
      <w:r>
        <w:rPr>
          <w:rFonts w:ascii="Times New Roman" w:hAnsi="Times New Roman"/>
          <w:sz w:val="24"/>
        </w:rPr>
      </w:r>
      <w:r>
        <w:rPr>
          <w:rFonts w:ascii="Times New Roman" w:hAnsi="Times New Roman"/>
          <w:b/>
          <w:sz w:val="24"/>
        </w:rPr>
        <w:t>OS2</w:t>
      </w:r>
      <w:r>
        <w:rPr>
          <w:rFonts w:ascii="Times New Roman" w:hAnsi="Times New Roman"/>
          <w:sz w:val="24"/>
        </w:rPr>
        <w:t xml:space="preserve"> : Soutenir financièrement les entreprises dans la prise en charge des salaires des allocataires, pour lever la barrière économique à l'embauche.</w:t>
      </w:r>
    </w:p>
    <w:p>
      <w:r>
        <w:rPr>
          <w:rFonts w:ascii="Times New Roman" w:hAnsi="Times New Roman"/>
          <w:sz w:val="24"/>
        </w:rPr>
        <w:t>Ces deux objectifs constituent une réponse systémique et cohérente aux deux dimensions du problème : le déficit d'expérience des jeunes (OS1) et la réticence des entreprises à recruter (OS2). Les résultats attendus (R1 et R2) sont directement liés à ces objectifs.</w:t>
      </w:r>
    </w:p>
    <w:p>
      <w:r>
        <w:rPr>
          <w:rFonts w:ascii="Times New Roman" w:hAnsi="Times New Roman"/>
          <w:sz w:val="24"/>
        </w:rPr>
      </w:r>
      <w:r>
        <w:rPr>
          <w:rFonts w:ascii="Times New Roman" w:hAnsi="Times New Roman"/>
          <w:b/>
          <w:sz w:val="24"/>
        </w:rPr>
        <w:t>Qualité des hypothèses critiques :</w:t>
      </w:r>
      <w:r>
        <w:rPr>
          <w:rFonts w:ascii="Times New Roman" w:hAnsi="Times New Roman"/>
          <w:sz w:val="24"/>
        </w:rPr>
      </w:r>
    </w:p>
    <w:p>
      <w:r>
        <w:rPr>
          <w:rFonts w:ascii="Times New Roman" w:hAnsi="Times New Roman"/>
          <w:sz w:val="24"/>
        </w:rPr>
        <w:t>Le cadre logique identifie explicitement les hypothèses sous-jacentes à la réussite du programme, ce qui constitue une bonne pratique de conception :</w:t>
      </w:r>
    </w:p>
    <w:p>
      <w:pPr>
        <w:ind w:left="432"/>
      </w:pPr>
      <w:r>
        <w:rPr>
          <w:rFonts w:ascii="Times New Roman" w:hAnsi="Times New Roman"/>
          <w:sz w:val="24"/>
        </w:rPr>
        <w:t xml:space="preserve">La participation active des entreprises — </w:t>
      </w:r>
      <w:r>
        <w:rPr>
          <w:rFonts w:ascii="Times New Roman" w:hAnsi="Times New Roman"/>
          <w:b/>
          <w:sz w:val="24"/>
        </w:rPr>
        <w:t>confirmée</w:t>
      </w:r>
      <w:r>
        <w:rPr>
          <w:rFonts w:ascii="Times New Roman" w:hAnsi="Times New Roman"/>
          <w:sz w:val="24"/>
        </w:rPr>
        <w:t xml:space="preserve"> : 2 067 entreprises participantes</w:t>
      </w:r>
    </w:p>
    <w:p>
      <w:pPr>
        <w:ind w:left="432"/>
      </w:pPr>
      <w:r>
        <w:rPr>
          <w:rFonts w:ascii="Times New Roman" w:hAnsi="Times New Roman"/>
          <w:sz w:val="24"/>
        </w:rPr>
        <w:t xml:space="preserve">La disponibilité et l'engagement des candidats — </w:t>
      </w:r>
      <w:r>
        <w:rPr>
          <w:rFonts w:ascii="Times New Roman" w:hAnsi="Times New Roman"/>
          <w:b/>
          <w:sz w:val="24"/>
        </w:rPr>
        <w:t>confirmée</w:t>
      </w:r>
      <w:r>
        <w:rPr>
          <w:rFonts w:ascii="Times New Roman" w:hAnsi="Times New Roman"/>
          <w:sz w:val="24"/>
        </w:rPr>
        <w:t xml:space="preserve"> : 137 086 candidats interviewés</w:t>
      </w:r>
    </w:p>
    <w:p>
      <w:pPr>
        <w:ind w:left="432"/>
      </w:pPr>
      <w:r>
        <w:rPr>
          <w:rFonts w:ascii="Times New Roman" w:hAnsi="Times New Roman"/>
          <w:sz w:val="24"/>
        </w:rPr>
        <w:t xml:space="preserve">La régularité des paiements par le Trésor public — </w:t>
      </w:r>
      <w:r>
        <w:rPr>
          <w:rFonts w:ascii="Times New Roman" w:hAnsi="Times New Roman"/>
          <w:b/>
          <w:sz w:val="24"/>
        </w:rPr>
        <w:t>confirmée</w:t>
      </w:r>
      <w:r>
        <w:rPr>
          <w:rFonts w:ascii="Times New Roman" w:hAnsi="Times New Roman"/>
          <w:sz w:val="24"/>
        </w:rPr>
        <w:t xml:space="preserve"> : 18,3 milliards FCFA versés</w:t>
      </w:r>
    </w:p>
    <w:p>
      <w:pPr>
        <w:ind w:left="432"/>
      </w:pPr>
      <w:r>
        <w:rPr>
          <w:rFonts w:ascii="Times New Roman" w:hAnsi="Times New Roman"/>
          <w:sz w:val="24"/>
        </w:rPr>
        <w:t xml:space="preserve">L'absence d'abandon massif — </w:t>
      </w:r>
      <w:r>
        <w:rPr>
          <w:rFonts w:ascii="Times New Roman" w:hAnsi="Times New Roman"/>
          <w:b/>
          <w:sz w:val="24"/>
        </w:rPr>
        <w:t>risque documenté</w:t>
      </w:r>
      <w:r>
        <w:rPr>
          <w:rFonts w:ascii="Times New Roman" w:hAnsi="Times New Roman"/>
          <w:sz w:val="24"/>
        </w:rPr>
        <w:t xml:space="preserve"> mais non quantifié</w:t>
      </w:r>
    </w:p>
    <w:p>
      <w:r>
        <w:rPr>
          <w:rFonts w:ascii="Times New Roman" w:hAnsi="Times New Roman"/>
          <w:sz w:val="24"/>
        </w:rPr>
      </w:r>
      <w:r>
        <w:rPr>
          <w:rFonts w:ascii="Times New Roman" w:hAnsi="Times New Roman"/>
          <w:b/>
          <w:sz w:val="24"/>
        </w:rPr>
        <w:t>Cohérence entre objectifs et interventions :</w:t>
      </w:r>
      <w:r>
        <w:rPr>
          <w:rFonts w:ascii="Times New Roman" w:hAnsi="Times New Roman"/>
          <w:sz w:val="24"/>
        </w:rPr>
      </w:r>
    </w:p>
    <w:p>
      <w:r>
        <w:rPr>
          <w:rFonts w:ascii="Times New Roman" w:hAnsi="Times New Roman"/>
          <w:sz w:val="24"/>
        </w:rPr>
        <w:t xml:space="preserve">Le nombre d'interventions du programme (accompagnement à l'employabilité + immersion professionnelle + prise en charge salariale) est entièrement couvert par ses objectifs de départ. Il n'y a pas d'intervention orpheline ni d'objectif sans activité associée. On peut estimer à </w:t>
      </w:r>
      <w:r>
        <w:rPr>
          <w:rFonts w:ascii="Times New Roman" w:hAnsi="Times New Roman"/>
          <w:b/>
          <w:sz w:val="24"/>
        </w:rPr>
        <w:t>100 %</w:t>
      </w:r>
      <w:r>
        <w:rPr>
          <w:rFonts w:ascii="Times New Roman" w:hAnsi="Times New Roman"/>
          <w:sz w:val="24"/>
        </w:rPr>
        <w:t xml:space="preserve"> le taux d'interventions du PSIE couvertes par ses objectifs de départ.</w:t>
      </w:r>
    </w:p>
    <w:p>
      <w:r>
        <w:rPr>
          <w:rFonts w:ascii="Times New Roman" w:hAnsi="Times New Roman"/>
          <w:sz w:val="24"/>
        </w:rPr>
      </w:r>
      <w:r>
        <w:rPr>
          <w:rFonts w:ascii="Times New Roman" w:hAnsi="Times New Roman"/>
          <w:b/>
          <w:sz w:val="24"/>
        </w:rPr>
        <w:t>Observation :</w:t>
      </w:r>
      <w:r>
        <w:rPr>
          <w:rFonts w:ascii="Times New Roman" w:hAnsi="Times New Roman"/>
          <w:sz w:val="24"/>
        </w:rPr>
        <w:t xml:space="preserve"> La grille salariale a été revue à la hausse entre le Prodoc (2020) et le rapport d'exécution (2025) — de 200 000 FCFA à 250 000 FCFA pour le niveau Master — sans qu'un avenant formalisé au cadre logique ne soit documenté dans les sources disponibles. Cette adaptation est cohérente avec les réalités du marché, mais elle crée un écart non tracé par rapport à la programmation initiale.</w:t>
      </w:r>
    </w:p>
    <w:p/>
    <w:p>
      <w:pPr>
        <w:pStyle w:val="Heading3"/>
      </w:pPr>
      <w:r>
        <w:rPr>
          <w:rFonts w:ascii="Times New Roman" w:hAnsi="Times New Roman"/>
          <w:color w:val="1F4E79"/>
          <w:sz w:val="26"/>
        </w:rPr>
        <w:t>5.2 Cohérence externe — intégration des stratégies du secteur de l'emploi</w:t>
      </w:r>
    </w:p>
    <w:p>
      <w:r>
        <w:rPr>
          <w:rFonts w:ascii="Times New Roman" w:hAnsi="Times New Roman"/>
          <w:sz w:val="24"/>
        </w:rPr>
      </w:r>
      <w:r>
        <w:rPr>
          <w:rFonts w:ascii="Times New Roman" w:hAnsi="Times New Roman"/>
          <w:i/>
          <w:sz w:val="24"/>
        </w:rPr>
        <w:t>Question évaluative 7 — Dans quelle mesure le PSIE intègre-t-il les stratégies du secteur de l'emploi ?</w:t>
      </w:r>
      <w:r>
        <w:rPr>
          <w:rFonts w:ascii="Times New Roman" w:hAnsi="Times New Roman"/>
          <w:sz w:val="24"/>
        </w:rPr>
      </w:r>
    </w:p>
    <w:p>
      <w:r>
        <w:rPr>
          <w:rFonts w:ascii="Times New Roman" w:hAnsi="Times New Roman"/>
          <w:sz w:val="24"/>
        </w:rPr>
        <w:t>Le PSIE s'inscrit dans une architecture institutionnelle et sectorielle cohérente qui minimise les risques de chevauchement et maximise les synergies.</w:t>
      </w:r>
    </w:p>
    <w:p>
      <w:r>
        <w:rPr>
          <w:rFonts w:ascii="Times New Roman" w:hAnsi="Times New Roman"/>
          <w:sz w:val="24"/>
        </w:rPr>
      </w:r>
      <w:r>
        <w:rPr>
          <w:rFonts w:ascii="Times New Roman" w:hAnsi="Times New Roman"/>
          <w:b/>
          <w:sz w:val="24"/>
        </w:rPr>
        <w:t>Alignement avec la Politique Nationale de l'Emploi (PNE 2017-2026) :</w:t>
      </w:r>
      <w:r>
        <w:rPr>
          <w:rFonts w:ascii="Times New Roman" w:hAnsi="Times New Roman"/>
          <w:sz w:val="24"/>
        </w:rPr>
      </w:r>
    </w:p>
    <w:p>
      <w:r>
        <w:rPr>
          <w:rFonts w:ascii="Times New Roman" w:hAnsi="Times New Roman"/>
          <w:sz w:val="24"/>
        </w:rPr>
        <w:t>Les consultations auprès des employeurs réalisées dans le cadre de l'élaboration de la PNE ont directement alimenté la conception du PSIE. Les diagnostics sectoriels sur l'inadéquation formation-emploi et les barrières à l'embauche des PME figurent à la fois dans la PNE et dans le Prodoc — ce qui témoigne d'une convergence méthodologique entre les deux instruments.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Objectif de la PNE 2017-2026</w:t>
            </w:r>
          </w:p>
        </w:tc>
        <w:tc>
          <w:tcPr>
            <w:tcW w:type="dxa" w:w="3041"/>
            <w:shd w:val="clear" w:color="auto" w:fill="003366"/>
          </w:tcPr>
          <w:p>
            <w:r>
              <w:rPr>
                <w:rFonts w:ascii="Times New Roman" w:hAnsi="Times New Roman"/>
                <w:b/>
                <w:color w:val="FFFFFF"/>
                <w:sz w:val="20"/>
              </w:rPr>
              <w:t>Pris en compte par le PSIE</w:t>
            </w:r>
          </w:p>
        </w:tc>
        <w:tc>
          <w:tcPr>
            <w:tcW w:type="dxa" w:w="3041"/>
            <w:shd w:val="clear" w:color="auto" w:fill="003366"/>
          </w:tcPr>
          <w:p>
            <w:r>
              <w:rPr>
                <w:rFonts w:ascii="Times New Roman" w:hAnsi="Times New Roman"/>
                <w:b/>
                <w:color w:val="FFFFFF"/>
                <w:sz w:val="20"/>
              </w:rPr>
              <w:t>Modalité</w:t>
            </w:r>
          </w:p>
        </w:tc>
      </w:tr>
      <w:tr>
        <w:tc>
          <w:tcPr>
            <w:tcW w:type="dxa" w:w="3041"/>
          </w:tcPr>
          <w:p>
            <w:r>
              <w:rPr>
                <w:rFonts w:ascii="Times New Roman" w:hAnsi="Times New Roman"/>
                <w:b w:val="0"/>
                <w:sz w:val="20"/>
              </w:rPr>
              <w:t>Améliorer l'employabilité des jeunes diplômés</w:t>
            </w:r>
          </w:p>
        </w:tc>
        <w:tc>
          <w:tcPr>
            <w:tcW w:type="dxa" w:w="3041"/>
          </w:tcPr>
          <w:p>
            <w:r>
              <w:rPr>
                <w:rFonts w:ascii="Times New Roman" w:hAnsi="Times New Roman"/>
                <w:b w:val="0"/>
                <w:sz w:val="20"/>
              </w:rPr>
              <w:t>✅</w:t>
            </w:r>
          </w:p>
        </w:tc>
        <w:tc>
          <w:tcPr>
            <w:tcW w:type="dxa" w:w="3041"/>
          </w:tcPr>
          <w:p>
            <w:r>
              <w:rPr>
                <w:rFonts w:ascii="Times New Roman" w:hAnsi="Times New Roman"/>
                <w:b w:val="0"/>
                <w:sz w:val="20"/>
              </w:rPr>
              <w:t>Accompagnement TRE, coaching, tutorat (OS1)</w:t>
            </w:r>
          </w:p>
        </w:tc>
      </w:tr>
      <w:tr>
        <w:tc>
          <w:tcPr>
            <w:tcW w:type="dxa" w:w="3041"/>
          </w:tcPr>
          <w:p>
            <w:r>
              <w:rPr>
                <w:rFonts w:ascii="Times New Roman" w:hAnsi="Times New Roman"/>
                <w:b w:val="0"/>
                <w:sz w:val="20"/>
              </w:rPr>
              <w:t>Réduire les barrières à l'embauche dans les entreprises formelles</w:t>
            </w:r>
          </w:p>
        </w:tc>
        <w:tc>
          <w:tcPr>
            <w:tcW w:type="dxa" w:w="3041"/>
          </w:tcPr>
          <w:p>
            <w:r>
              <w:rPr>
                <w:rFonts w:ascii="Times New Roman" w:hAnsi="Times New Roman"/>
                <w:b w:val="0"/>
                <w:sz w:val="20"/>
              </w:rPr>
              <w:t>✅</w:t>
            </w:r>
          </w:p>
        </w:tc>
        <w:tc>
          <w:tcPr>
            <w:tcW w:type="dxa" w:w="3041"/>
          </w:tcPr>
          <w:p>
            <w:r>
              <w:rPr>
                <w:rFonts w:ascii="Times New Roman" w:hAnsi="Times New Roman"/>
                <w:b w:val="0"/>
                <w:sz w:val="20"/>
              </w:rPr>
              <w:t>Prise en charge salariale 100 % sur 24 mois (OS2)</w:t>
            </w:r>
          </w:p>
        </w:tc>
      </w:tr>
      <w:tr>
        <w:tc>
          <w:tcPr>
            <w:tcW w:type="dxa" w:w="3041"/>
          </w:tcPr>
          <w:p>
            <w:r>
              <w:rPr>
                <w:rFonts w:ascii="Times New Roman" w:hAnsi="Times New Roman"/>
                <w:b w:val="0"/>
                <w:sz w:val="20"/>
              </w:rPr>
              <w:t>Formaliser l'emploi et élargir la protection sociale</w:t>
            </w:r>
          </w:p>
        </w:tc>
        <w:tc>
          <w:tcPr>
            <w:tcW w:type="dxa" w:w="3041"/>
          </w:tcPr>
          <w:p>
            <w:r>
              <w:rPr>
                <w:rFonts w:ascii="Times New Roman" w:hAnsi="Times New Roman"/>
                <w:b w:val="0"/>
                <w:sz w:val="20"/>
              </w:rPr>
              <w:t>✅</w:t>
            </w:r>
          </w:p>
        </w:tc>
        <w:tc>
          <w:tcPr>
            <w:tcW w:type="dxa" w:w="3041"/>
          </w:tcPr>
          <w:p>
            <w:r>
              <w:rPr>
                <w:rFonts w:ascii="Times New Roman" w:hAnsi="Times New Roman"/>
                <w:b w:val="0"/>
                <w:sz w:val="20"/>
              </w:rPr>
              <w:t>Affiliation CNSS et IRPP pour tous les allocataires</w:t>
            </w:r>
          </w:p>
        </w:tc>
      </w:tr>
      <w:tr>
        <w:tc>
          <w:tcPr>
            <w:tcW w:type="dxa" w:w="3041"/>
          </w:tcPr>
          <w:p>
            <w:r>
              <w:rPr>
                <w:rFonts w:ascii="Times New Roman" w:hAnsi="Times New Roman"/>
                <w:b w:val="0"/>
                <w:sz w:val="20"/>
              </w:rPr>
              <w:t>Déploiement territorial équitable</w:t>
            </w:r>
          </w:p>
        </w:tc>
        <w:tc>
          <w:tcPr>
            <w:tcW w:type="dxa" w:w="3041"/>
          </w:tcPr>
          <w:p>
            <w:r>
              <w:rPr>
                <w:rFonts w:ascii="Times New Roman" w:hAnsi="Times New Roman"/>
                <w:b w:val="0"/>
                <w:sz w:val="20"/>
              </w:rPr>
              <w:t>⚠️ Partiel</w:t>
            </w:r>
          </w:p>
        </w:tc>
        <w:tc>
          <w:tcPr>
            <w:tcW w:type="dxa" w:w="3041"/>
          </w:tcPr>
          <w:p>
            <w:r>
              <w:rPr>
                <w:rFonts w:ascii="Times New Roman" w:hAnsi="Times New Roman"/>
                <w:b w:val="0"/>
                <w:sz w:val="20"/>
              </w:rPr>
              <w:t>Couverture nationale via ANPE, mais 85,5 % des insertions dans 2 départements</w:t>
            </w:r>
          </w:p>
        </w:tc>
      </w:tr>
    </w:tbl>
    <w:p/>
    <w:p>
      <w:r>
        <w:rPr>
          <w:rFonts w:ascii="Times New Roman" w:hAnsi="Times New Roman"/>
          <w:sz w:val="24"/>
        </w:rPr>
      </w:r>
      <w:r>
        <w:rPr>
          <w:rFonts w:ascii="Times New Roman" w:hAnsi="Times New Roman"/>
          <w:b/>
          <w:sz w:val="24"/>
        </w:rPr>
        <w:t>Articulation institutionnelle avec l'ANPE :</w:t>
      </w:r>
      <w:r>
        <w:rPr>
          <w:rFonts w:ascii="Times New Roman" w:hAnsi="Times New Roman"/>
          <w:sz w:val="24"/>
        </w:rPr>
      </w:r>
    </w:p>
    <w:p>
      <w:r>
        <w:rPr>
          <w:rFonts w:ascii="Times New Roman" w:hAnsi="Times New Roman"/>
          <w:sz w:val="24"/>
        </w:rPr>
        <w:t>Le choix de l'ANPE comme agence d'exécution est le meilleur garant de la cohérence sectorielle. L'intégration des activités du PSIE dans le Plan de Travail Annuel de l'ANPE — tout en maintenant une comptabilité et un reporting dédiés — constitue un mécanisme de cohérence institutionnelle efficace qui évite la création d'une structure parallèle coûteuse.</w:t>
      </w:r>
    </w:p>
    <w:p>
      <w:r>
        <w:rPr>
          <w:rFonts w:ascii="Times New Roman" w:hAnsi="Times New Roman"/>
          <w:sz w:val="24"/>
        </w:rPr>
      </w:r>
      <w:r>
        <w:rPr>
          <w:rFonts w:ascii="Times New Roman" w:hAnsi="Times New Roman"/>
          <w:b/>
          <w:sz w:val="24"/>
        </w:rPr>
        <w:t>Absence de doublons documentés :</w:t>
      </w:r>
      <w:r>
        <w:rPr>
          <w:rFonts w:ascii="Times New Roman" w:hAnsi="Times New Roman"/>
          <w:sz w:val="24"/>
        </w:rPr>
      </w:r>
    </w:p>
    <w:p>
      <w:r>
        <w:rPr>
          <w:rFonts w:ascii="Times New Roman" w:hAnsi="Times New Roman"/>
          <w:sz w:val="24"/>
        </w:rPr>
        <w:t>La revue documentaire ne révèle pas de chevauchements significatifs avec d'autres programmes d'insertion. Le PSIE se distingue clairement du FNPEEJ (financement de projets d'auto-emploi) et des programmes de formation du MESTFP par sa modalité spécifique d'insertion en entreprise avec subvention salariale totale.</w:t>
      </w:r>
    </w:p>
    <w:p/>
    <w:p>
      <w:pPr>
        <w:pStyle w:val="Heading3"/>
      </w:pPr>
      <w:r>
        <w:rPr>
          <w:rFonts w:ascii="Times New Roman" w:hAnsi="Times New Roman"/>
          <w:color w:val="1F4E79"/>
          <w:sz w:val="26"/>
        </w:rPr>
        <w:t>5.3 Synergies avec les priorités nationales et les engagements internationaux</w:t>
      </w:r>
    </w:p>
    <w:p>
      <w:r>
        <w:rPr>
          <w:rFonts w:ascii="Times New Roman" w:hAnsi="Times New Roman"/>
          <w:sz w:val="24"/>
        </w:rPr>
      </w:r>
      <w:r>
        <w:rPr>
          <w:rFonts w:ascii="Times New Roman" w:hAnsi="Times New Roman"/>
          <w:i/>
          <w:sz w:val="24"/>
        </w:rPr>
        <w:t>Question évaluative 8 — Quelle synergie y a-t-il entre le PSIE, les priorités nationales contenues dans le PND et le PAG 2, et les interventions des autres acteurs sectoriels ?</w:t>
      </w:r>
      <w:r>
        <w:rPr>
          <w:rFonts w:ascii="Times New Roman" w:hAnsi="Times New Roman"/>
          <w:sz w:val="24"/>
        </w:rPr>
      </w:r>
    </w:p>
    <w:p>
      <w:r>
        <w:rPr>
          <w:rFonts w:ascii="Times New Roman" w:hAnsi="Times New Roman"/>
          <w:sz w:val="24"/>
        </w:rPr>
        <w:t>Le PSIE s'inscrit pleinement dans les priorités nationales de développement du Bénin, avec une cohérence externe forte à trois niveaux.</w:t>
      </w:r>
    </w:p>
    <w:p>
      <w:r>
        <w:rPr>
          <w:rFonts w:ascii="Times New Roman" w:hAnsi="Times New Roman"/>
          <w:sz w:val="24"/>
        </w:rPr>
      </w:r>
      <w:r>
        <w:rPr>
          <w:rFonts w:ascii="Times New Roman" w:hAnsi="Times New Roman"/>
          <w:b/>
          <w:sz w:val="24"/>
        </w:rPr>
        <w:t>Cohérence avec le PAG 2016-2021 et le PAG 2021-2026 :</w:t>
      </w:r>
      <w:r>
        <w:rPr>
          <w:rFonts w:ascii="Times New Roman" w:hAnsi="Times New Roman"/>
          <w:sz w:val="24"/>
        </w:rPr>
      </w:r>
    </w:p>
    <w:p>
      <w:r>
        <w:rPr>
          <w:rFonts w:ascii="Times New Roman" w:hAnsi="Times New Roman"/>
          <w:sz w:val="24"/>
        </w:rPr>
        <w:t>Le Programme d'Actions du Gouvernement prévoit explicitement de traiter la question de l'emploi « de manière systématique dans toutes ses interventions » et d'établir une dynamique cohérente entre la politique de développement des PME et la promotion de l'emploi des jeunes. Le PSIE opérationnalise cet engagement en ciblant simultanément les PME/PMI (majorité des 2 067 entreprises participantes) et les jeunes diplômés. La prolongation du programme par le Conseil des ministres du 19 février 2025 confirme que le PSIE reste une priorité du PAG 2.</w:t>
      </w:r>
    </w:p>
    <w:p>
      <w:r>
        <w:rPr>
          <w:rFonts w:ascii="Times New Roman" w:hAnsi="Times New Roman"/>
          <w:sz w:val="24"/>
        </w:rPr>
      </w:r>
      <w:r>
        <w:rPr>
          <w:rFonts w:ascii="Times New Roman" w:hAnsi="Times New Roman"/>
          <w:b/>
          <w:sz w:val="24"/>
        </w:rPr>
        <w:t>Cohérence avec le PND 2018-2025 :</w:t>
      </w:r>
      <w:r>
        <w:rPr>
          <w:rFonts w:ascii="Times New Roman" w:hAnsi="Times New Roman"/>
          <w:sz w:val="24"/>
        </w:rPr>
      </w:r>
    </w:p>
    <w:p>
      <w:r>
        <w:rPr>
          <w:rFonts w:ascii="Times New Roman" w:hAnsi="Times New Roman"/>
          <w:sz w:val="24"/>
        </w:rPr>
        <w:t>Le Plan National de Développement 2018-2025 inclut parmi ses objectifs spécifiques la nécessité de « promouvoir l'emploi décent des jeunes et réduire le chômage structurel ». Le PSIE contribue directement à cet objectif : il produit de l'emploi décent (contrats formels, protection sociale, rémunération), cible la tranche d'âge stratégique pour le dividende démographique, et intervient dans les secteurs productifs prioritaires identifiés par le PND.</w:t>
      </w:r>
    </w:p>
    <w:p>
      <w:r>
        <w:rPr>
          <w:rFonts w:ascii="Times New Roman" w:hAnsi="Times New Roman"/>
          <w:sz w:val="24"/>
        </w:rPr>
      </w:r>
      <w:r>
        <w:rPr>
          <w:rFonts w:ascii="Times New Roman" w:hAnsi="Times New Roman"/>
          <w:b/>
          <w:sz w:val="24"/>
        </w:rPr>
        <w:t>Cohérence avec les engagements internationaux :</w:t>
      </w:r>
      <w:r>
        <w:rPr>
          <w:rFonts w:ascii="Times New Roman" w:hAnsi="Times New Roman"/>
          <w:sz w:val="24"/>
        </w:rPr>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Cadre international</w:t>
            </w:r>
          </w:p>
        </w:tc>
        <w:tc>
          <w:tcPr>
            <w:tcW w:type="dxa" w:w="4561"/>
            <w:shd w:val="clear" w:color="auto" w:fill="003366"/>
          </w:tcPr>
          <w:p>
            <w:r>
              <w:rPr>
                <w:rFonts w:ascii="Times New Roman" w:hAnsi="Times New Roman"/>
                <w:b/>
                <w:color w:val="FFFFFF"/>
                <w:sz w:val="20"/>
              </w:rPr>
              <w:t>Cohérence avec le PSIE</w:t>
            </w:r>
          </w:p>
        </w:tc>
      </w:tr>
      <w:tr>
        <w:tc>
          <w:tcPr>
            <w:tcW w:type="dxa" w:w="4561"/>
          </w:tcPr>
          <w:p>
            <w:r>
              <w:rPr>
                <w:rFonts w:ascii="Times New Roman" w:hAnsi="Times New Roman"/>
                <w:b w:val="0"/>
                <w:sz w:val="20"/>
              </w:rPr>
              <w:t>ODD 8 — Travail décent et croissance économique</w:t>
            </w:r>
          </w:p>
        </w:tc>
        <w:tc>
          <w:tcPr>
            <w:tcW w:type="dxa" w:w="4561"/>
          </w:tcPr>
          <w:p>
            <w:r>
              <w:rPr>
                <w:rFonts w:ascii="Times New Roman" w:hAnsi="Times New Roman"/>
                <w:b w:val="0"/>
                <w:sz w:val="20"/>
              </w:rPr>
              <w:t>Forte — Insertion en emploi décent (contrats CDD formels, CNSS, IRPP)</w:t>
            </w:r>
          </w:p>
        </w:tc>
      </w:tr>
      <w:tr>
        <w:tc>
          <w:tcPr>
            <w:tcW w:type="dxa" w:w="4561"/>
          </w:tcPr>
          <w:p>
            <w:r>
              <w:rPr>
                <w:rFonts w:ascii="Times New Roman" w:hAnsi="Times New Roman"/>
                <w:b w:val="0"/>
                <w:sz w:val="20"/>
              </w:rPr>
              <w:t>Agenda 2063 de l'Union Africaine</w:t>
            </w:r>
          </w:p>
        </w:tc>
        <w:tc>
          <w:tcPr>
            <w:tcW w:type="dxa" w:w="4561"/>
          </w:tcPr>
          <w:p>
            <w:r>
              <w:rPr>
                <w:rFonts w:ascii="Times New Roman" w:hAnsi="Times New Roman"/>
                <w:b w:val="0"/>
                <w:sz w:val="20"/>
              </w:rPr>
              <w:t>Forte — Valorisation du dividende démographique africain et emploi des jeunes</w:t>
            </w:r>
          </w:p>
        </w:tc>
      </w:tr>
      <w:tr>
        <w:tc>
          <w:tcPr>
            <w:tcW w:type="dxa" w:w="4561"/>
          </w:tcPr>
          <w:p>
            <w:r>
              <w:rPr>
                <w:rFonts w:ascii="Times New Roman" w:hAnsi="Times New Roman"/>
                <w:b w:val="0"/>
                <w:sz w:val="20"/>
              </w:rPr>
              <w:t>ODD 10 — Réduction des inégalités</w:t>
            </w:r>
          </w:p>
        </w:tc>
        <w:tc>
          <w:tcPr>
            <w:tcW w:type="dxa" w:w="4561"/>
          </w:tcPr>
          <w:p>
            <w:r>
              <w:rPr>
                <w:rFonts w:ascii="Times New Roman" w:hAnsi="Times New Roman"/>
                <w:b w:val="0"/>
                <w:sz w:val="20"/>
              </w:rPr>
              <w:t>Partielle — Concentration dans 2 départements limite la portée équitable</w:t>
            </w:r>
          </w:p>
        </w:tc>
      </w:tr>
      <w:tr>
        <w:tc>
          <w:tcPr>
            <w:tcW w:type="dxa" w:w="4561"/>
          </w:tcPr>
          <w:p>
            <w:r>
              <w:rPr>
                <w:rFonts w:ascii="Times New Roman" w:hAnsi="Times New Roman"/>
                <w:b w:val="0"/>
                <w:sz w:val="20"/>
              </w:rPr>
              <w:t>Conventions OIT sur l'emploi</w:t>
            </w:r>
          </w:p>
        </w:tc>
        <w:tc>
          <w:tcPr>
            <w:tcW w:type="dxa" w:w="4561"/>
          </w:tcPr>
          <w:p>
            <w:r>
              <w:rPr>
                <w:rFonts w:ascii="Times New Roman" w:hAnsi="Times New Roman"/>
                <w:b w:val="0"/>
                <w:sz w:val="20"/>
              </w:rPr>
              <w:t>Cohérent — Respect du Code du Travail béninois, contrats CDD formels</w:t>
            </w:r>
          </w:p>
        </w:tc>
      </w:tr>
    </w:tbl>
    <w:p/>
    <w:p>
      <w:r>
        <w:rPr>
          <w:rFonts w:ascii="Times New Roman" w:hAnsi="Times New Roman"/>
          <w:sz w:val="24"/>
        </w:rPr>
      </w:r>
      <w:r>
        <w:rPr>
          <w:rFonts w:ascii="Times New Roman" w:hAnsi="Times New Roman"/>
          <w:b/>
          <w:sz w:val="24"/>
        </w:rPr>
        <w:t>Articulation émergente avec la GDIZ :</w:t>
      </w:r>
      <w:r>
        <w:rPr>
          <w:rFonts w:ascii="Times New Roman" w:hAnsi="Times New Roman"/>
          <w:sz w:val="24"/>
        </w:rPr>
      </w:r>
    </w:p>
    <w:p>
      <w:r>
        <w:rPr>
          <w:rFonts w:ascii="Times New Roman" w:hAnsi="Times New Roman"/>
          <w:sz w:val="24"/>
        </w:rPr>
        <w:t>Le rapport de mise en œuvre signale une demande croissante des entreprises de la Zone Industrielle de Glo-Djigbé (GDIZ) pour des allocataires PSIE. Cette articulation émergente renforce la cohérence du programme avec la stratégie d'industrialisation nationale et constitue une opportunité de formalisation à exploiter dans la prochaine phase.</w:t>
      </w:r>
    </w:p>
    <w:p/>
    <w:p>
      <w:pPr>
        <w:pStyle w:val="Heading3"/>
      </w:pPr>
      <w:r>
        <w:rPr>
          <w:rFonts w:ascii="Times New Roman" w:hAnsi="Times New Roman"/>
          <w:color w:val="1F4E79"/>
          <w:sz w:val="26"/>
        </w:rPr>
        <w:t>5.4 Jugement global — Cohérence</w:t>
      </w:r>
    </w:p>
    <w:p>
      <w:r>
        <w:rPr>
          <w:rFonts w:ascii="Times New Roman" w:hAnsi="Times New Roman"/>
          <w:sz w:val="24"/>
        </w:rPr>
        <w:t xml:space="preserve">L'analyse documentaire conduit au constat que </w:t>
      </w:r>
      <w:r>
        <w:rPr>
          <w:rFonts w:ascii="Times New Roman" w:hAnsi="Times New Roman"/>
          <w:b/>
          <w:sz w:val="24"/>
        </w:rPr>
        <w:t>le PSIE présente une cohérence globalement élevée</w:t>
      </w:r>
      <w:r>
        <w:rPr>
          <w:rFonts w:ascii="Times New Roman" w:hAnsi="Times New Roman"/>
          <w:sz w:val="24"/>
        </w:rPr>
        <w:t>. Sa logique interne est bien construite, ses hypothèses critiques sont explicitées, son intégration dans l'architecture institutionnelle de l'emploi est forte, et ses synergies avec les priorités nationales sont documentées. La principale insuffisance réside dans l'absence de mise à jour formelle du cadre logique suite à la révision salariale et à la prolongation en 2025, et dans la concentration géographique qui limite la cohérence avec l'objectif d'équité territoriale du PND.</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Dimension analysée</w:t>
            </w:r>
          </w:p>
        </w:tc>
        <w:tc>
          <w:tcPr>
            <w:tcW w:type="dxa" w:w="3041"/>
            <w:shd w:val="clear" w:color="auto" w:fill="003366"/>
          </w:tcPr>
          <w:p>
            <w:r>
              <w:rPr>
                <w:rFonts w:ascii="Times New Roman" w:hAnsi="Times New Roman"/>
                <w:b/>
                <w:color w:val="FFFFFF"/>
                <w:sz w:val="20"/>
              </w:rPr>
              <w:t>Jugement</w:t>
            </w:r>
          </w:p>
        </w:tc>
        <w:tc>
          <w:tcPr>
            <w:tcW w:type="dxa" w:w="3041"/>
            <w:shd w:val="clear" w:color="auto" w:fill="003366"/>
          </w:tcPr>
          <w:p>
            <w:r>
              <w:rPr>
                <w:rFonts w:ascii="Times New Roman" w:hAnsi="Times New Roman"/>
                <w:b/>
                <w:color w:val="FFFFFF"/>
                <w:sz w:val="20"/>
              </w:rPr>
              <w:t>Justification principale</w:t>
            </w:r>
          </w:p>
        </w:tc>
      </w:tr>
      <w:tr>
        <w:tc>
          <w:tcPr>
            <w:tcW w:type="dxa" w:w="3041"/>
          </w:tcPr>
          <w:p>
            <w:r>
              <w:rPr>
                <w:rFonts w:ascii="Times New Roman" w:hAnsi="Times New Roman"/>
                <w:b w:val="0"/>
                <w:sz w:val="20"/>
              </w:rPr>
              <w:t>Cohérence interne — chaîne de résultats (QE6)</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Chaîne OS→R→A logique ; hypothèses explicitées ; 100 % des interventions couvertes par les objectifs</w:t>
            </w:r>
          </w:p>
        </w:tc>
      </w:tr>
      <w:tr>
        <w:tc>
          <w:tcPr>
            <w:tcW w:type="dxa" w:w="3041"/>
          </w:tcPr>
          <w:p>
            <w:r>
              <w:rPr>
                <w:rFonts w:ascii="Times New Roman" w:hAnsi="Times New Roman"/>
                <w:b w:val="0"/>
                <w:sz w:val="20"/>
              </w:rPr>
              <w:t>Cohérence avec les stratégies sectorielles (QE7)</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Alignement PNE documenté, intégration ANPE, absence de doublons</w:t>
            </w:r>
          </w:p>
        </w:tc>
      </w:tr>
      <w:tr>
        <w:tc>
          <w:tcPr>
            <w:tcW w:type="dxa" w:w="3041"/>
          </w:tcPr>
          <w:p>
            <w:r>
              <w:rPr>
                <w:rFonts w:ascii="Times New Roman" w:hAnsi="Times New Roman"/>
                <w:b w:val="0"/>
                <w:sz w:val="20"/>
              </w:rPr>
              <w:t>Synergies avec PND, PAG2 et ODD (QE8)</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Opérationnalisation du PAG, contribution ODD 8, articulation GDIZ émergente</w:t>
            </w:r>
          </w:p>
        </w:tc>
      </w:tr>
      <w:tr>
        <w:tc>
          <w:tcPr>
            <w:tcW w:type="dxa" w:w="3041"/>
          </w:tcPr>
          <w:p>
            <w:r>
              <w:rPr>
                <w:rFonts w:ascii="Times New Roman" w:hAnsi="Times New Roman"/>
                <w:b w:val="0"/>
                <w:sz w:val="20"/>
              </w:rPr>
              <w:t>Jugement global</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Le PSIE est un programme bien intégré dans le paysage institutionnel et politique béninois</w:t>
            </w:r>
          </w:p>
        </w:tc>
      </w:tr>
    </w:tbl>
    <w:p/>
    <w:p/>
    <w:p>
      <w:pPr>
        <w:pStyle w:val="Heading2"/>
      </w:pPr>
      <w:r>
        <w:rPr>
          <w:rFonts w:ascii="Times New Roman" w:hAnsi="Times New Roman"/>
          <w:color w:val="003366"/>
          <w:sz w:val="28"/>
        </w:rPr>
        <w:t>6. CRITÈRE 3 — EFFICACITÉ</w:t>
      </w:r>
    </w:p>
    <w:p>
      <w:pPr>
        <w:ind w:left="432"/>
      </w:pPr>
      <w:r>
        <w:rPr>
          <w:rFonts w:ascii="Times New Roman" w:hAnsi="Times New Roman"/>
          <w:sz w:val="24"/>
        </w:rPr>
      </w:r>
      <w:r>
        <w:rPr>
          <w:rFonts w:ascii="Times New Roman" w:hAnsi="Times New Roman"/>
          <w:b/>
          <w:sz w:val="24"/>
        </w:rPr>
        <w:t>Définition OCDE/CAD</w:t>
      </w:r>
      <w:r>
        <w:rPr>
          <w:rFonts w:ascii="Times New Roman" w:hAnsi="Times New Roman"/>
          <w:sz w:val="24"/>
        </w:rPr>
        <w:t xml:space="preserve"> : </w:t>
      </w:r>
      <w:r>
        <w:rPr>
          <w:rFonts w:ascii="Times New Roman" w:hAnsi="Times New Roman"/>
          <w:i/>
          <w:sz w:val="24"/>
        </w:rPr>
        <w:t>L'efficacité est la mesure dans laquelle une intervention a atteint ses objectifs et ses résultats, y compris les résultats différenciés selon les groupes de population, compte tenu de leur importance relative.</w:t>
      </w:r>
      <w:r>
        <w:rPr>
          <w:rFonts w:ascii="Times New Roman" w:hAnsi="Times New Roman"/>
          <w:sz w:val="24"/>
        </w:rPr>
      </w:r>
    </w:p>
    <w:p>
      <w:r>
        <w:rPr>
          <w:rFonts w:ascii="Times New Roman" w:hAnsi="Times New Roman"/>
          <w:sz w:val="24"/>
        </w:rPr>
        <w:t>L'évaluation de l'efficacité du PSIE vise à mesurer le degré d'atteinte des résultats et extrants du programme sur la période juillet 2020 – septembre 2025, tels que définis dans le cadre logique et les cibles annuelles. L'analyse est fondée sur les données du rapport actualisé de mise en œuvre, du cadre logique et du document de projet. Elle ne porte pas, à ce stade, sur les effets à moyen et long terme (employabilité durable, revenus, comportements des entreprises), qui seront appréciés lors de la Phase 2 grâce aux données de l'enquête terrain.</w:t>
      </w:r>
    </w:p>
    <w:p/>
    <w:p>
      <w:pPr>
        <w:pStyle w:val="Heading3"/>
      </w:pPr>
      <w:r>
        <w:rPr>
          <w:rFonts w:ascii="Times New Roman" w:hAnsi="Times New Roman"/>
          <w:color w:val="1F4E79"/>
          <w:sz w:val="26"/>
        </w:rPr>
        <w:t>6.1 Mise en place des actions d'immersion et d'encadrement des candidats</w:t>
      </w:r>
    </w:p>
    <w:p>
      <w:r>
        <w:rPr>
          <w:rFonts w:ascii="Times New Roman" w:hAnsi="Times New Roman"/>
          <w:sz w:val="24"/>
        </w:rPr>
      </w:r>
      <w:r>
        <w:rPr>
          <w:rFonts w:ascii="Times New Roman" w:hAnsi="Times New Roman"/>
          <w:i/>
          <w:sz w:val="24"/>
        </w:rPr>
        <w:t>Question évaluative 9 — Dans quelle mesure le PSIE a-t-il contribué à la mise en place des actions d'immersion et d'encadrement des candidats à l'emploi ?</w:t>
      </w:r>
      <w:r>
        <w:rPr>
          <w:rFonts w:ascii="Times New Roman" w:hAnsi="Times New Roman"/>
          <w:sz w:val="24"/>
        </w:rPr>
      </w:r>
    </w:p>
    <w:p>
      <w:r>
        <w:rPr>
          <w:rFonts w:ascii="Times New Roman" w:hAnsi="Times New Roman"/>
          <w:sz w:val="24"/>
        </w:rPr>
        <w:t>Le programme a pleinement opérationnalisé son dispositif d'immersion et d'encadrement. Le cycle opérationnel — publication des offres sur la plateforme numérique, présélection, interviews avec les entreprises, déploiement, tutorat et suivi — a fonctionné de manière régulière sur l'ensemble de la période.</w:t>
      </w:r>
    </w:p>
    <w:p>
      <w:r>
        <w:rPr>
          <w:rFonts w:ascii="Times New Roman" w:hAnsi="Times New Roman"/>
          <w:sz w:val="24"/>
        </w:rPr>
        <w:t xml:space="preserve">Sur cinq ans (juillet 2020 – septembre 2025), le programme a réalisé </w:t>
      </w:r>
      <w:r>
        <w:rPr>
          <w:rFonts w:ascii="Times New Roman" w:hAnsi="Times New Roman"/>
          <w:b/>
          <w:sz w:val="24"/>
        </w:rPr>
        <w:t>9 263 insertions</w:t>
      </w:r>
      <w:r>
        <w:rPr>
          <w:rFonts w:ascii="Times New Roman" w:hAnsi="Times New Roman"/>
          <w:sz w:val="24"/>
        </w:rPr>
        <w:t xml:space="preserve">, contre une cible initiale de 8 000 sur cinq ans, soit un </w:t>
      </w:r>
      <w:r>
        <w:rPr>
          <w:rFonts w:ascii="Times New Roman" w:hAnsi="Times New Roman"/>
          <w:b/>
          <w:sz w:val="24"/>
        </w:rPr>
        <w:t>dépassement de 15,8 %</w:t>
      </w:r>
      <w:r>
        <w:rPr>
          <w:rFonts w:ascii="Times New Roman" w:hAnsi="Times New Roman"/>
          <w:sz w:val="24"/>
        </w:rPr>
        <w:t>. La montée en charge a été progressive et régulière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Année</w:t>
            </w:r>
          </w:p>
        </w:tc>
        <w:tc>
          <w:tcPr>
            <w:tcW w:type="dxa" w:w="3041"/>
            <w:shd w:val="clear" w:color="auto" w:fill="003366"/>
          </w:tcPr>
          <w:p>
            <w:r>
              <w:rPr>
                <w:rFonts w:ascii="Times New Roman" w:hAnsi="Times New Roman"/>
                <w:b/>
                <w:color w:val="FFFFFF"/>
                <w:sz w:val="20"/>
              </w:rPr>
              <w:t>Insertions réalisées</w:t>
            </w:r>
          </w:p>
        </w:tc>
        <w:tc>
          <w:tcPr>
            <w:tcW w:type="dxa" w:w="3041"/>
            <w:shd w:val="clear" w:color="auto" w:fill="003366"/>
          </w:tcPr>
          <w:p>
            <w:r>
              <w:rPr>
                <w:rFonts w:ascii="Times New Roman" w:hAnsi="Times New Roman"/>
                <w:b/>
                <w:color w:val="FFFFFF"/>
                <w:sz w:val="20"/>
              </w:rPr>
              <w:t>Observation</w:t>
            </w:r>
          </w:p>
        </w:tc>
      </w:tr>
      <w:tr>
        <w:tc>
          <w:tcPr>
            <w:tcW w:type="dxa" w:w="3041"/>
          </w:tcPr>
          <w:p>
            <w:r>
              <w:rPr>
                <w:rFonts w:ascii="Times New Roman" w:hAnsi="Times New Roman"/>
                <w:b w:val="0"/>
                <w:sz w:val="20"/>
              </w:rPr>
              <w:t>2020 (juillet–décembre)</w:t>
            </w:r>
          </w:p>
        </w:tc>
        <w:tc>
          <w:tcPr>
            <w:tcW w:type="dxa" w:w="3041"/>
          </w:tcPr>
          <w:p>
            <w:r>
              <w:rPr>
                <w:rFonts w:ascii="Times New Roman" w:hAnsi="Times New Roman"/>
                <w:b w:val="0"/>
                <w:sz w:val="20"/>
              </w:rPr>
              <w:t>44</w:t>
            </w:r>
          </w:p>
        </w:tc>
        <w:tc>
          <w:tcPr>
            <w:tcW w:type="dxa" w:w="3041"/>
          </w:tcPr>
          <w:p>
            <w:r>
              <w:rPr>
                <w:rFonts w:ascii="Times New Roman" w:hAnsi="Times New Roman"/>
                <w:b w:val="0"/>
                <w:sz w:val="20"/>
              </w:rPr>
              <w:t>Phase de démarrage</w:t>
            </w:r>
          </w:p>
        </w:tc>
      </w:tr>
      <w:tr>
        <w:tc>
          <w:tcPr>
            <w:tcW w:type="dxa" w:w="3041"/>
          </w:tcPr>
          <w:p>
            <w:r>
              <w:rPr>
                <w:rFonts w:ascii="Times New Roman" w:hAnsi="Times New Roman"/>
                <w:b w:val="0"/>
                <w:sz w:val="20"/>
              </w:rPr>
              <w:t>2021</w:t>
            </w:r>
          </w:p>
        </w:tc>
        <w:tc>
          <w:tcPr>
            <w:tcW w:type="dxa" w:w="3041"/>
          </w:tcPr>
          <w:p>
            <w:r>
              <w:rPr>
                <w:rFonts w:ascii="Times New Roman" w:hAnsi="Times New Roman"/>
                <w:b w:val="0"/>
                <w:sz w:val="20"/>
              </w:rPr>
              <w:t>718</w:t>
            </w:r>
          </w:p>
        </w:tc>
        <w:tc>
          <w:tcPr>
            <w:tcW w:type="dxa" w:w="3041"/>
          </w:tcPr>
          <w:p>
            <w:r>
              <w:rPr>
                <w:rFonts w:ascii="Times New Roman" w:hAnsi="Times New Roman"/>
                <w:b w:val="0"/>
                <w:sz w:val="20"/>
              </w:rPr>
              <w:t>Montée en charge</w:t>
            </w:r>
          </w:p>
        </w:tc>
      </w:tr>
      <w:tr>
        <w:tc>
          <w:tcPr>
            <w:tcW w:type="dxa" w:w="3041"/>
          </w:tcPr>
          <w:p>
            <w:r>
              <w:rPr>
                <w:rFonts w:ascii="Times New Roman" w:hAnsi="Times New Roman"/>
                <w:b w:val="0"/>
                <w:sz w:val="20"/>
              </w:rPr>
              <w:t>2022</w:t>
            </w:r>
          </w:p>
        </w:tc>
        <w:tc>
          <w:tcPr>
            <w:tcW w:type="dxa" w:w="3041"/>
          </w:tcPr>
          <w:p>
            <w:r>
              <w:rPr>
                <w:rFonts w:ascii="Times New Roman" w:hAnsi="Times New Roman"/>
                <w:b w:val="0"/>
                <w:sz w:val="20"/>
              </w:rPr>
              <w:t>1 567</w:t>
            </w:r>
          </w:p>
        </w:tc>
        <w:tc>
          <w:tcPr>
            <w:tcW w:type="dxa" w:w="3041"/>
          </w:tcPr>
          <w:p>
            <w:r>
              <w:rPr>
                <w:rFonts w:ascii="Times New Roman" w:hAnsi="Times New Roman"/>
                <w:b w:val="0"/>
                <w:sz w:val="20"/>
              </w:rPr>
              <w:t>Accélération</w:t>
            </w:r>
          </w:p>
        </w:tc>
      </w:tr>
      <w:tr>
        <w:tc>
          <w:tcPr>
            <w:tcW w:type="dxa" w:w="3041"/>
          </w:tcPr>
          <w:p>
            <w:r>
              <w:rPr>
                <w:rFonts w:ascii="Times New Roman" w:hAnsi="Times New Roman"/>
                <w:b w:val="0"/>
                <w:sz w:val="20"/>
              </w:rPr>
              <w:t>2023</w:t>
            </w:r>
          </w:p>
        </w:tc>
        <w:tc>
          <w:tcPr>
            <w:tcW w:type="dxa" w:w="3041"/>
          </w:tcPr>
          <w:p>
            <w:r>
              <w:rPr>
                <w:rFonts w:ascii="Times New Roman" w:hAnsi="Times New Roman"/>
                <w:b w:val="0"/>
                <w:sz w:val="20"/>
              </w:rPr>
              <w:t>2 445</w:t>
            </w:r>
          </w:p>
        </w:tc>
        <w:tc>
          <w:tcPr>
            <w:tcW w:type="dxa" w:w="3041"/>
          </w:tcPr>
          <w:p>
            <w:r>
              <w:rPr>
                <w:rFonts w:ascii="Times New Roman" w:hAnsi="Times New Roman"/>
                <w:b w:val="0"/>
                <w:sz w:val="20"/>
              </w:rPr>
              <w:t>Régime de croisière</w:t>
            </w:r>
          </w:p>
        </w:tc>
      </w:tr>
      <w:tr>
        <w:tc>
          <w:tcPr>
            <w:tcW w:type="dxa" w:w="3041"/>
          </w:tcPr>
          <w:p>
            <w:r>
              <w:rPr>
                <w:rFonts w:ascii="Times New Roman" w:hAnsi="Times New Roman"/>
                <w:b w:val="0"/>
                <w:sz w:val="20"/>
              </w:rPr>
              <w:t>2024</w:t>
            </w:r>
          </w:p>
        </w:tc>
        <w:tc>
          <w:tcPr>
            <w:tcW w:type="dxa" w:w="3041"/>
          </w:tcPr>
          <w:p>
            <w:r>
              <w:rPr>
                <w:rFonts w:ascii="Times New Roman" w:hAnsi="Times New Roman"/>
                <w:b w:val="0"/>
                <w:sz w:val="20"/>
              </w:rPr>
              <w:t>3 246</w:t>
            </w:r>
          </w:p>
        </w:tc>
        <w:tc>
          <w:tcPr>
            <w:tcW w:type="dxa" w:w="3041"/>
          </w:tcPr>
          <w:p>
            <w:r>
              <w:rPr>
                <w:rFonts w:ascii="Times New Roman" w:hAnsi="Times New Roman"/>
                <w:b w:val="0"/>
                <w:sz w:val="20"/>
              </w:rPr>
              <w:t>Pic d'insertions</w:t>
            </w:r>
          </w:p>
        </w:tc>
      </w:tr>
      <w:tr>
        <w:tc>
          <w:tcPr>
            <w:tcW w:type="dxa" w:w="3041"/>
          </w:tcPr>
          <w:p>
            <w:r>
              <w:rPr>
                <w:rFonts w:ascii="Times New Roman" w:hAnsi="Times New Roman"/>
                <w:b w:val="0"/>
                <w:sz w:val="20"/>
              </w:rPr>
              <w:t>2025 (jan.–sept.)</w:t>
            </w:r>
          </w:p>
        </w:tc>
        <w:tc>
          <w:tcPr>
            <w:tcW w:type="dxa" w:w="3041"/>
          </w:tcPr>
          <w:p>
            <w:r>
              <w:rPr>
                <w:rFonts w:ascii="Times New Roman" w:hAnsi="Times New Roman"/>
                <w:b w:val="0"/>
                <w:sz w:val="20"/>
              </w:rPr>
              <w:t>1 243</w:t>
            </w:r>
          </w:p>
        </w:tc>
        <w:tc>
          <w:tcPr>
            <w:tcW w:type="dxa" w:w="3041"/>
          </w:tcPr>
          <w:p>
            <w:r>
              <w:rPr>
                <w:rFonts w:ascii="Times New Roman" w:hAnsi="Times New Roman"/>
                <w:b w:val="0"/>
                <w:sz w:val="20"/>
              </w:rPr>
              <w:t>En cours</w:t>
            </w:r>
          </w:p>
        </w:tc>
      </w:tr>
      <w:tr>
        <w:tc>
          <w:tcPr>
            <w:tcW w:type="dxa" w:w="3041"/>
          </w:tcPr>
          <w:p>
            <w:r>
              <w:rPr>
                <w:rFonts w:ascii="Times New Roman" w:hAnsi="Times New Roman"/>
                <w:b w:val="0"/>
                <w:sz w:val="20"/>
              </w:rPr>
              <w:t>Total cumulé</w:t>
            </w:r>
          </w:p>
        </w:tc>
        <w:tc>
          <w:tcPr>
            <w:tcW w:type="dxa" w:w="3041"/>
          </w:tcPr>
          <w:p>
            <w:r>
              <w:rPr>
                <w:rFonts w:ascii="Times New Roman" w:hAnsi="Times New Roman"/>
                <w:b w:val="0"/>
                <w:sz w:val="20"/>
              </w:rPr>
              <w:t>9 263</w:t>
            </w:r>
          </w:p>
        </w:tc>
        <w:tc>
          <w:tcPr>
            <w:tcW w:type="dxa" w:w="3041"/>
          </w:tcPr>
          <w:p>
            <w:r>
              <w:rPr>
                <w:rFonts w:ascii="Times New Roman" w:hAnsi="Times New Roman"/>
                <w:b w:val="0"/>
                <w:sz w:val="20"/>
              </w:rPr>
              <w:t>Cible initiale : 8 000 — Dépassement : +15,8 %</w:t>
            </w:r>
          </w:p>
        </w:tc>
      </w:tr>
    </w:tbl>
    <w:p/>
    <w:p/>
    <w:p>
      <w:pPr>
        <w:pStyle w:val="Heading3"/>
      </w:pPr>
      <w:r>
        <w:rPr>
          <w:rFonts w:ascii="Times New Roman" w:hAnsi="Times New Roman"/>
          <w:color w:val="1F4E79"/>
          <w:sz w:val="26"/>
        </w:rPr>
        <w:t>6.2 Soutien financier à la prise en charge des salaires</w:t>
      </w:r>
    </w:p>
    <w:p>
      <w:r>
        <w:rPr>
          <w:rFonts w:ascii="Times New Roman" w:hAnsi="Times New Roman"/>
          <w:sz w:val="24"/>
        </w:rPr>
      </w:r>
      <w:r>
        <w:rPr>
          <w:rFonts w:ascii="Times New Roman" w:hAnsi="Times New Roman"/>
          <w:i/>
          <w:sz w:val="24"/>
        </w:rPr>
        <w:t>Question évaluative 10 — Dans quelle mesure le PSIE a-t-il contribué à soutenir financièrement la prise en charge des salaires des allocataires ?</w:t>
      </w:r>
      <w:r>
        <w:rPr>
          <w:rFonts w:ascii="Times New Roman" w:hAnsi="Times New Roman"/>
          <w:sz w:val="24"/>
        </w:rPr>
      </w:r>
    </w:p>
    <w:p>
      <w:r>
        <w:rPr>
          <w:rFonts w:ascii="Times New Roman" w:hAnsi="Times New Roman"/>
          <w:sz w:val="24"/>
        </w:rPr>
        <w:t xml:space="preserve">Le mécanisme de prise en charge salariale a fonctionné de manière régulière et fiable. Au total, </w:t>
      </w:r>
      <w:r>
        <w:rPr>
          <w:rFonts w:ascii="Times New Roman" w:hAnsi="Times New Roman"/>
          <w:b/>
          <w:sz w:val="24"/>
        </w:rPr>
        <w:t>18,3 milliards FCFA</w:t>
      </w:r>
      <w:r>
        <w:rPr>
          <w:rFonts w:ascii="Times New Roman" w:hAnsi="Times New Roman"/>
          <w:sz w:val="24"/>
        </w:rPr>
        <w:t xml:space="preserve"> ont été versés en salaires aux allocataires entre juillet 2020 et septembre 2025, sur un budget global de 46,6 milliards FCFA (taux d'exécution financière cumulée de </w:t>
      </w:r>
      <w:r>
        <w:rPr>
          <w:rFonts w:ascii="Times New Roman" w:hAnsi="Times New Roman"/>
          <w:b/>
          <w:sz w:val="24"/>
        </w:rPr>
        <w:t>79,6 %</w:t>
      </w:r>
      <w:r>
        <w:rPr>
          <w:rFonts w:ascii="Times New Roman" w:hAnsi="Times New Roman"/>
          <w:sz w:val="24"/>
        </w:rPr>
        <w:t>).</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Niveau de qualification</w:t>
            </w:r>
          </w:p>
        </w:tc>
        <w:tc>
          <w:tcPr>
            <w:tcW w:type="dxa" w:w="3041"/>
            <w:shd w:val="clear" w:color="auto" w:fill="003366"/>
          </w:tcPr>
          <w:p>
            <w:r>
              <w:rPr>
                <w:rFonts w:ascii="Times New Roman" w:hAnsi="Times New Roman"/>
                <w:b/>
                <w:color w:val="FFFFFF"/>
                <w:sz w:val="20"/>
              </w:rPr>
              <w:t>Salaire net versé (2025)</w:t>
            </w:r>
          </w:p>
        </w:tc>
        <w:tc>
          <w:tcPr>
            <w:tcW w:type="dxa" w:w="3041"/>
            <w:shd w:val="clear" w:color="auto" w:fill="003366"/>
          </w:tcPr>
          <w:p>
            <w:r>
              <w:rPr>
                <w:rFonts w:ascii="Times New Roman" w:hAnsi="Times New Roman"/>
                <w:b/>
                <w:color w:val="FFFFFF"/>
                <w:sz w:val="20"/>
              </w:rPr>
              <w:t>CNSS patronale incluse</w:t>
            </w:r>
          </w:p>
        </w:tc>
      </w:tr>
      <w:tr>
        <w:tc>
          <w:tcPr>
            <w:tcW w:type="dxa" w:w="3041"/>
          </w:tcPr>
          <w:p>
            <w:r>
              <w:rPr>
                <w:rFonts w:ascii="Times New Roman" w:hAnsi="Times New Roman"/>
                <w:b w:val="0"/>
                <w:sz w:val="20"/>
              </w:rPr>
              <w:t>BAC professionnel</w:t>
            </w:r>
          </w:p>
        </w:tc>
        <w:tc>
          <w:tcPr>
            <w:tcW w:type="dxa" w:w="3041"/>
          </w:tcPr>
          <w:p>
            <w:r>
              <w:rPr>
                <w:rFonts w:ascii="Times New Roman" w:hAnsi="Times New Roman"/>
                <w:b w:val="0"/>
                <w:sz w:val="20"/>
              </w:rPr>
              <w:t>100 000 FCFA/mois</w:t>
            </w:r>
          </w:p>
        </w:tc>
        <w:tc>
          <w:tcPr>
            <w:tcW w:type="dxa" w:w="3041"/>
          </w:tcPr>
          <w:p>
            <w:r>
              <w:rPr>
                <w:rFonts w:ascii="Times New Roman" w:hAnsi="Times New Roman"/>
                <w:b w:val="0"/>
                <w:sz w:val="20"/>
              </w:rPr>
              <w:t>Oui</w:t>
            </w:r>
          </w:p>
        </w:tc>
      </w:tr>
      <w:tr>
        <w:tc>
          <w:tcPr>
            <w:tcW w:type="dxa" w:w="3041"/>
          </w:tcPr>
          <w:p>
            <w:r>
              <w:rPr>
                <w:rFonts w:ascii="Times New Roman" w:hAnsi="Times New Roman"/>
                <w:b w:val="0"/>
                <w:sz w:val="20"/>
              </w:rPr>
              <w:t>BTS / DUT (BAC+2)</w:t>
            </w:r>
          </w:p>
        </w:tc>
        <w:tc>
          <w:tcPr>
            <w:tcW w:type="dxa" w:w="3041"/>
          </w:tcPr>
          <w:p>
            <w:r>
              <w:rPr>
                <w:rFonts w:ascii="Times New Roman" w:hAnsi="Times New Roman"/>
                <w:b w:val="0"/>
                <w:sz w:val="20"/>
              </w:rPr>
              <w:t>150 000 FCFA/mois</w:t>
            </w:r>
          </w:p>
        </w:tc>
        <w:tc>
          <w:tcPr>
            <w:tcW w:type="dxa" w:w="3041"/>
          </w:tcPr>
          <w:p>
            <w:r>
              <w:rPr>
                <w:rFonts w:ascii="Times New Roman" w:hAnsi="Times New Roman"/>
                <w:b w:val="0"/>
                <w:sz w:val="20"/>
              </w:rPr>
              <w:t>Oui</w:t>
            </w:r>
          </w:p>
        </w:tc>
      </w:tr>
      <w:tr>
        <w:tc>
          <w:tcPr>
            <w:tcW w:type="dxa" w:w="3041"/>
          </w:tcPr>
          <w:p>
            <w:r>
              <w:rPr>
                <w:rFonts w:ascii="Times New Roman" w:hAnsi="Times New Roman"/>
                <w:b w:val="0"/>
                <w:sz w:val="20"/>
              </w:rPr>
              <w:t>DTS / Licence (BAC+3)</w:t>
            </w:r>
          </w:p>
        </w:tc>
        <w:tc>
          <w:tcPr>
            <w:tcW w:type="dxa" w:w="3041"/>
          </w:tcPr>
          <w:p>
            <w:r>
              <w:rPr>
                <w:rFonts w:ascii="Times New Roman" w:hAnsi="Times New Roman"/>
                <w:b w:val="0"/>
                <w:sz w:val="20"/>
              </w:rPr>
              <w:t>175 000 FCFA/mois</w:t>
            </w:r>
          </w:p>
        </w:tc>
        <w:tc>
          <w:tcPr>
            <w:tcW w:type="dxa" w:w="3041"/>
          </w:tcPr>
          <w:p>
            <w:r>
              <w:rPr>
                <w:rFonts w:ascii="Times New Roman" w:hAnsi="Times New Roman"/>
                <w:b w:val="0"/>
                <w:sz w:val="20"/>
              </w:rPr>
              <w:t>Oui</w:t>
            </w:r>
          </w:p>
        </w:tc>
      </w:tr>
      <w:tr>
        <w:tc>
          <w:tcPr>
            <w:tcW w:type="dxa" w:w="3041"/>
          </w:tcPr>
          <w:p>
            <w:r>
              <w:rPr>
                <w:rFonts w:ascii="Times New Roman" w:hAnsi="Times New Roman"/>
                <w:b w:val="0"/>
                <w:sz w:val="20"/>
              </w:rPr>
              <w:t>Master / Ingénieur (BAC+5)</w:t>
            </w:r>
          </w:p>
        </w:tc>
        <w:tc>
          <w:tcPr>
            <w:tcW w:type="dxa" w:w="3041"/>
          </w:tcPr>
          <w:p>
            <w:r>
              <w:rPr>
                <w:rFonts w:ascii="Times New Roman" w:hAnsi="Times New Roman"/>
                <w:b w:val="0"/>
                <w:sz w:val="20"/>
              </w:rPr>
              <w:t>250 000 FCFA/mois</w:t>
            </w:r>
          </w:p>
        </w:tc>
        <w:tc>
          <w:tcPr>
            <w:tcW w:type="dxa" w:w="3041"/>
          </w:tcPr>
          <w:p>
            <w:r>
              <w:rPr>
                <w:rFonts w:ascii="Times New Roman" w:hAnsi="Times New Roman"/>
                <w:b w:val="0"/>
                <w:sz w:val="20"/>
              </w:rPr>
              <w:t>Oui</w:t>
            </w:r>
          </w:p>
        </w:tc>
      </w:tr>
    </w:tbl>
    <w:p/>
    <w:p>
      <w:r>
        <w:rPr>
          <w:rFonts w:ascii="Times New Roman" w:hAnsi="Times New Roman"/>
          <w:sz w:val="24"/>
        </w:rPr>
        <w:t xml:space="preserve">Le taux de prise en charge est de </w:t>
      </w:r>
      <w:r>
        <w:rPr>
          <w:rFonts w:ascii="Times New Roman" w:hAnsi="Times New Roman"/>
          <w:b/>
          <w:sz w:val="24"/>
        </w:rPr>
        <w:t>100 %</w:t>
      </w:r>
      <w:r>
        <w:rPr>
          <w:rFonts w:ascii="Times New Roman" w:hAnsi="Times New Roman"/>
          <w:sz w:val="24"/>
        </w:rPr>
        <w:t xml:space="preserve"> pour les salaires, ce qui distingue le PSIE des programmes antérieurs qui pratiquaient une prise en charge partielle.</w:t>
      </w:r>
    </w:p>
    <w:p/>
    <w:p>
      <w:pPr>
        <w:pStyle w:val="Heading3"/>
      </w:pPr>
      <w:r>
        <w:rPr>
          <w:rFonts w:ascii="Times New Roman" w:hAnsi="Times New Roman"/>
          <w:color w:val="1F4E79"/>
          <w:sz w:val="26"/>
        </w:rPr>
        <w:t>6.3 Mesures d'accompagnement à l'employabilité des jeunes</w:t>
      </w:r>
    </w:p>
    <w:p>
      <w:r>
        <w:rPr>
          <w:rFonts w:ascii="Times New Roman" w:hAnsi="Times New Roman"/>
          <w:sz w:val="24"/>
        </w:rPr>
      </w:r>
      <w:r>
        <w:rPr>
          <w:rFonts w:ascii="Times New Roman" w:hAnsi="Times New Roman"/>
          <w:i/>
          <w:sz w:val="24"/>
        </w:rPr>
        <w:t>Question évaluative 11 — Dans quelle mesure le PSIE a-t-il mis en place des mesures d'accompagnement à l'employabilité des jeunes ?</w:t>
      </w:r>
      <w:r>
        <w:rPr>
          <w:rFonts w:ascii="Times New Roman" w:hAnsi="Times New Roman"/>
          <w:sz w:val="24"/>
        </w:rPr>
      </w:r>
    </w:p>
    <w:p>
      <w:r>
        <w:rPr>
          <w:rFonts w:ascii="Times New Roman" w:hAnsi="Times New Roman"/>
          <w:sz w:val="24"/>
        </w:rPr>
        <w:t xml:space="preserve">Le programme a déployé un dispositif d'accompagnement structuré comprenant : (i) des </w:t>
      </w:r>
      <w:r>
        <w:rPr>
          <w:rFonts w:ascii="Times New Roman" w:hAnsi="Times New Roman"/>
          <w:b/>
          <w:sz w:val="24"/>
        </w:rPr>
        <w:t>ateliers de Techniques de Recherche d'Emploi (TRE)</w:t>
      </w:r>
      <w:r>
        <w:rPr>
          <w:rFonts w:ascii="Times New Roman" w:hAnsi="Times New Roman"/>
          <w:sz w:val="24"/>
        </w:rPr>
        <w:t xml:space="preserve"> avant le déploiement en entreprise ; (ii) un </w:t>
      </w:r>
      <w:r>
        <w:rPr>
          <w:rFonts w:ascii="Times New Roman" w:hAnsi="Times New Roman"/>
          <w:b/>
          <w:sz w:val="24"/>
        </w:rPr>
        <w:t>coaching individuel</w:t>
      </w:r>
      <w:r>
        <w:rPr>
          <w:rFonts w:ascii="Times New Roman" w:hAnsi="Times New Roman"/>
          <w:sz w:val="24"/>
        </w:rPr>
        <w:t xml:space="preserve"> assuré par les conseillers en emploi de l'ANPE ; (iii) un </w:t>
      </w:r>
      <w:r>
        <w:rPr>
          <w:rFonts w:ascii="Times New Roman" w:hAnsi="Times New Roman"/>
          <w:b/>
          <w:sz w:val="24"/>
        </w:rPr>
        <w:t>tutorat en entreprise</w:t>
      </w:r>
      <w:r>
        <w:rPr>
          <w:rFonts w:ascii="Times New Roman" w:hAnsi="Times New Roman"/>
          <w:sz w:val="24"/>
        </w:rPr>
        <w:t xml:space="preserve"> par un référent désigné dans l'entreprise d'accueil ; et (iv) un </w:t>
      </w:r>
      <w:r>
        <w:rPr>
          <w:rFonts w:ascii="Times New Roman" w:hAnsi="Times New Roman"/>
          <w:b/>
          <w:sz w:val="24"/>
        </w:rPr>
        <w:t>suivi régulier</w:t>
      </w:r>
      <w:r>
        <w:rPr>
          <w:rFonts w:ascii="Times New Roman" w:hAnsi="Times New Roman"/>
          <w:sz w:val="24"/>
        </w:rPr>
        <w:t xml:space="preserve"> par les antennes ANPE des 12 départements.</w:t>
      </w:r>
    </w:p>
    <w:p>
      <w:r>
        <w:rPr>
          <w:rFonts w:ascii="Times New Roman" w:hAnsi="Times New Roman"/>
          <w:sz w:val="24"/>
        </w:rPr>
        <w:t xml:space="preserve">Cependant, </w:t>
      </w:r>
      <w:r>
        <w:rPr>
          <w:rFonts w:ascii="Times New Roman" w:hAnsi="Times New Roman"/>
          <w:b/>
          <w:sz w:val="24"/>
        </w:rPr>
        <w:t>aucune donnée quantitative sur le nombre de jeunes ayant bénéficié de chacune de ces mesures</w:t>
      </w:r>
      <w:r>
        <w:rPr>
          <w:rFonts w:ascii="Times New Roman" w:hAnsi="Times New Roman"/>
          <w:sz w:val="24"/>
        </w:rPr>
        <w:t xml:space="preserve"> n'est disponible dans les documents analysés. Cette absence limite l'appréciation du taux de couverture réel de l'accompagnement. La Phase 2 de l'évaluation permettra de documenter ce volet via l'enquête terrain.</w:t>
      </w:r>
    </w:p>
    <w:p/>
    <w:p>
      <w:pPr>
        <w:pStyle w:val="Heading3"/>
      </w:pPr>
      <w:r>
        <w:rPr>
          <w:rFonts w:ascii="Times New Roman" w:hAnsi="Times New Roman"/>
          <w:color w:val="1F4E79"/>
          <w:sz w:val="26"/>
        </w:rPr>
        <w:t>6.4 Portée et couverture des bénéficiaires</w:t>
      </w:r>
    </w:p>
    <w:p>
      <w:r>
        <w:rPr>
          <w:rFonts w:ascii="Times New Roman" w:hAnsi="Times New Roman"/>
          <w:sz w:val="24"/>
        </w:rPr>
      </w:r>
      <w:r>
        <w:rPr>
          <w:rFonts w:ascii="Times New Roman" w:hAnsi="Times New Roman"/>
          <w:i/>
          <w:sz w:val="24"/>
        </w:rPr>
        <w:t>Questions évaluatives 12 et 13 — Combien de bénéficiaires directs reçoivent les services du PSIE ? Les services délivrés sont-ils conformes aux prévisions et atteignent-ils les niveaux prévus ?</w:t>
      </w:r>
      <w:r>
        <w:rPr>
          <w:rFonts w:ascii="Times New Roman" w:hAnsi="Times New Roman"/>
          <w:sz w:val="24"/>
        </w:rPr>
      </w:r>
    </w:p>
    <w:p>
      <w:r>
        <w:rPr>
          <w:rFonts w:ascii="Times New Roman" w:hAnsi="Times New Roman"/>
          <w:sz w:val="24"/>
        </w:rPr>
        <w:t xml:space="preserve">Sur la période 2020-2025, le programme a mobilisé </w:t>
      </w:r>
      <w:r>
        <w:rPr>
          <w:rFonts w:ascii="Times New Roman" w:hAnsi="Times New Roman"/>
          <w:b/>
          <w:sz w:val="24"/>
        </w:rPr>
        <w:t>137 086 candidats</w:t>
      </w:r>
      <w:r>
        <w:rPr>
          <w:rFonts w:ascii="Times New Roman" w:hAnsi="Times New Roman"/>
          <w:sz w:val="24"/>
        </w:rPr>
        <w:t xml:space="preserve"> ayant passé un entretien de présélection, </w:t>
      </w:r>
      <w:r>
        <w:rPr>
          <w:rFonts w:ascii="Times New Roman" w:hAnsi="Times New Roman"/>
          <w:b/>
          <w:sz w:val="24"/>
        </w:rPr>
        <w:t>9 263 jeunes</w:t>
      </w:r>
      <w:r>
        <w:rPr>
          <w:rFonts w:ascii="Times New Roman" w:hAnsi="Times New Roman"/>
          <w:sz w:val="24"/>
        </w:rPr>
        <w:t xml:space="preserve"> effectivement mis en stage, et </w:t>
      </w:r>
      <w:r>
        <w:rPr>
          <w:rFonts w:ascii="Times New Roman" w:hAnsi="Times New Roman"/>
          <w:b/>
          <w:sz w:val="24"/>
        </w:rPr>
        <w:t>2 067 entreprises</w:t>
      </w:r>
      <w:r>
        <w:rPr>
          <w:rFonts w:ascii="Times New Roman" w:hAnsi="Times New Roman"/>
          <w:sz w:val="24"/>
        </w:rPr>
        <w:t xml:space="preserve"> participantes.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366"/>
          </w:tcPr>
          <w:p>
            <w:r>
              <w:rPr>
                <w:rFonts w:ascii="Times New Roman" w:hAnsi="Times New Roman"/>
                <w:b/>
                <w:color w:val="FFFFFF"/>
                <w:sz w:val="20"/>
              </w:rPr>
              <w:t>Extrant</w:t>
            </w:r>
          </w:p>
        </w:tc>
        <w:tc>
          <w:tcPr>
            <w:tcW w:type="dxa" w:w="2280"/>
            <w:shd w:val="clear" w:color="auto" w:fill="003366"/>
          </w:tcPr>
          <w:p>
            <w:r>
              <w:rPr>
                <w:rFonts w:ascii="Times New Roman" w:hAnsi="Times New Roman"/>
                <w:b/>
                <w:color w:val="FFFFFF"/>
                <w:sz w:val="20"/>
              </w:rPr>
              <w:t>Cible 2025</w:t>
            </w:r>
          </w:p>
        </w:tc>
        <w:tc>
          <w:tcPr>
            <w:tcW w:type="dxa" w:w="2280"/>
            <w:shd w:val="clear" w:color="auto" w:fill="003366"/>
          </w:tcPr>
          <w:p>
            <w:r>
              <w:rPr>
                <w:rFonts w:ascii="Times New Roman" w:hAnsi="Times New Roman"/>
                <w:b/>
                <w:color w:val="FFFFFF"/>
                <w:sz w:val="20"/>
              </w:rPr>
              <w:t>Réalisation jan.–sept. 2025</w:t>
            </w:r>
          </w:p>
        </w:tc>
        <w:tc>
          <w:tcPr>
            <w:tcW w:type="dxa" w:w="2280"/>
            <w:shd w:val="clear" w:color="auto" w:fill="003366"/>
          </w:tcPr>
          <w:p>
            <w:r>
              <w:rPr>
                <w:rFonts w:ascii="Times New Roman" w:hAnsi="Times New Roman"/>
                <w:b/>
                <w:color w:val="FFFFFF"/>
                <w:sz w:val="20"/>
              </w:rPr>
              <w:t>Taux d'exécution</w:t>
            </w:r>
          </w:p>
        </w:tc>
      </w:tr>
      <w:tr>
        <w:tc>
          <w:tcPr>
            <w:tcW w:type="dxa" w:w="2280"/>
          </w:tcPr>
          <w:p>
            <w:r>
              <w:rPr>
                <w:rFonts w:ascii="Times New Roman" w:hAnsi="Times New Roman"/>
                <w:b w:val="0"/>
                <w:sz w:val="20"/>
              </w:rPr>
              <w:t>Entreprises ayant déposé des offres</w:t>
            </w:r>
          </w:p>
        </w:tc>
        <w:tc>
          <w:tcPr>
            <w:tcW w:type="dxa" w:w="2280"/>
          </w:tcPr>
          <w:p>
            <w:r>
              <w:rPr>
                <w:rFonts w:ascii="Times New Roman" w:hAnsi="Times New Roman"/>
                <w:b w:val="0"/>
                <w:sz w:val="20"/>
              </w:rPr>
              <w:t>340</w:t>
            </w:r>
          </w:p>
        </w:tc>
        <w:tc>
          <w:tcPr>
            <w:tcW w:type="dxa" w:w="2280"/>
          </w:tcPr>
          <w:p>
            <w:r>
              <w:rPr>
                <w:rFonts w:ascii="Times New Roman" w:hAnsi="Times New Roman"/>
                <w:b w:val="0"/>
                <w:sz w:val="20"/>
              </w:rPr>
              <w:t>380</w:t>
            </w:r>
          </w:p>
        </w:tc>
        <w:tc>
          <w:tcPr>
            <w:tcW w:type="dxa" w:w="2280"/>
          </w:tcPr>
          <w:p>
            <w:r>
              <w:rPr>
                <w:rFonts w:ascii="Times New Roman" w:hAnsi="Times New Roman"/>
                <w:b w:val="0"/>
                <w:sz w:val="20"/>
              </w:rPr>
              <w:t>111,8 %</w:t>
            </w:r>
          </w:p>
        </w:tc>
      </w:tr>
      <w:tr>
        <w:tc>
          <w:tcPr>
            <w:tcW w:type="dxa" w:w="2280"/>
          </w:tcPr>
          <w:p>
            <w:r>
              <w:rPr>
                <w:rFonts w:ascii="Times New Roman" w:hAnsi="Times New Roman"/>
                <w:b w:val="0"/>
                <w:sz w:val="20"/>
              </w:rPr>
              <w:t>Postes publiés sur la plateforme</w:t>
            </w:r>
          </w:p>
        </w:tc>
        <w:tc>
          <w:tcPr>
            <w:tcW w:type="dxa" w:w="2280"/>
          </w:tcPr>
          <w:p>
            <w:r>
              <w:rPr>
                <w:rFonts w:ascii="Times New Roman" w:hAnsi="Times New Roman"/>
                <w:b w:val="0"/>
                <w:sz w:val="20"/>
              </w:rPr>
              <w:t>5 740</w:t>
            </w:r>
          </w:p>
        </w:tc>
        <w:tc>
          <w:tcPr>
            <w:tcW w:type="dxa" w:w="2280"/>
          </w:tcPr>
          <w:p>
            <w:r>
              <w:rPr>
                <w:rFonts w:ascii="Times New Roman" w:hAnsi="Times New Roman"/>
                <w:b w:val="0"/>
                <w:sz w:val="20"/>
              </w:rPr>
              <w:t>5 025</w:t>
            </w:r>
          </w:p>
        </w:tc>
        <w:tc>
          <w:tcPr>
            <w:tcW w:type="dxa" w:w="2280"/>
          </w:tcPr>
          <w:p>
            <w:r>
              <w:rPr>
                <w:rFonts w:ascii="Times New Roman" w:hAnsi="Times New Roman"/>
                <w:b w:val="0"/>
                <w:sz w:val="20"/>
              </w:rPr>
              <w:t>87,5 %</w:t>
            </w:r>
          </w:p>
        </w:tc>
      </w:tr>
      <w:tr>
        <w:tc>
          <w:tcPr>
            <w:tcW w:type="dxa" w:w="2280"/>
          </w:tcPr>
          <w:p>
            <w:r>
              <w:rPr>
                <w:rFonts w:ascii="Times New Roman" w:hAnsi="Times New Roman"/>
                <w:b w:val="0"/>
                <w:sz w:val="20"/>
              </w:rPr>
              <w:t>Allocataires mis en stage</w:t>
            </w:r>
          </w:p>
        </w:tc>
        <w:tc>
          <w:tcPr>
            <w:tcW w:type="dxa" w:w="2280"/>
          </w:tcPr>
          <w:p>
            <w:r>
              <w:rPr>
                <w:rFonts w:ascii="Times New Roman" w:hAnsi="Times New Roman"/>
                <w:b w:val="0"/>
                <w:sz w:val="20"/>
              </w:rPr>
              <w:t>2 000</w:t>
            </w:r>
          </w:p>
        </w:tc>
        <w:tc>
          <w:tcPr>
            <w:tcW w:type="dxa" w:w="2280"/>
          </w:tcPr>
          <w:p>
            <w:r>
              <w:rPr>
                <w:rFonts w:ascii="Times New Roman" w:hAnsi="Times New Roman"/>
                <w:b w:val="0"/>
                <w:sz w:val="20"/>
              </w:rPr>
              <w:t>1 243 (9 mois)</w:t>
            </w:r>
          </w:p>
        </w:tc>
        <w:tc>
          <w:tcPr>
            <w:tcW w:type="dxa" w:w="2280"/>
          </w:tcPr>
          <w:p>
            <w:r>
              <w:rPr>
                <w:rFonts w:ascii="Times New Roman" w:hAnsi="Times New Roman"/>
                <w:b w:val="0"/>
                <w:sz w:val="20"/>
              </w:rPr>
              <w:t>62,2 %</w:t>
            </w:r>
          </w:p>
        </w:tc>
      </w:tr>
      <w:tr>
        <w:tc>
          <w:tcPr>
            <w:tcW w:type="dxa" w:w="2280"/>
          </w:tcPr>
          <w:p>
            <w:r>
              <w:rPr>
                <w:rFonts w:ascii="Times New Roman" w:hAnsi="Times New Roman"/>
                <w:b w:val="0"/>
                <w:sz w:val="20"/>
              </w:rPr>
              <w:t>Allocataires en cours d'immersion</w:t>
            </w:r>
          </w:p>
        </w:tc>
        <w:tc>
          <w:tcPr>
            <w:tcW w:type="dxa" w:w="2280"/>
          </w:tcPr>
          <w:p>
            <w:r>
              <w:rPr>
                <w:rFonts w:ascii="Times New Roman" w:hAnsi="Times New Roman"/>
                <w:b w:val="0"/>
                <w:sz w:val="20"/>
              </w:rPr>
              <w:t>—</w:t>
            </w:r>
          </w:p>
        </w:tc>
        <w:tc>
          <w:tcPr>
            <w:tcW w:type="dxa" w:w="2280"/>
          </w:tcPr>
          <w:p>
            <w:r>
              <w:rPr>
                <w:rFonts w:ascii="Times New Roman" w:hAnsi="Times New Roman"/>
                <w:b w:val="0"/>
                <w:sz w:val="20"/>
              </w:rPr>
              <w:t>4 273</w:t>
            </w:r>
          </w:p>
        </w:tc>
        <w:tc>
          <w:tcPr>
            <w:tcW w:type="dxa" w:w="2280"/>
          </w:tcPr>
          <w:p>
            <w:r>
              <w:rPr>
                <w:rFonts w:ascii="Times New Roman" w:hAnsi="Times New Roman"/>
                <w:b w:val="0"/>
                <w:sz w:val="20"/>
              </w:rPr>
              <w:t>—</w:t>
            </w:r>
          </w:p>
        </w:tc>
      </w:tr>
    </w:tbl>
    <w:p/>
    <w:p>
      <w:r>
        <w:rPr>
          <w:rFonts w:ascii="Times New Roman" w:hAnsi="Times New Roman"/>
          <w:sz w:val="24"/>
        </w:rPr>
      </w:r>
      <w:r>
        <w:rPr>
          <w:rFonts w:ascii="Times New Roman" w:hAnsi="Times New Roman"/>
          <w:b/>
          <w:sz w:val="24"/>
        </w:rPr>
        <w:t>Concentration géographique documentée :</w:t>
      </w:r>
      <w:r>
        <w:rPr>
          <w:rFonts w:ascii="Times New Roman" w:hAnsi="Times New Roman"/>
          <w:sz w:val="24"/>
        </w:rPr>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Département</w:t>
            </w:r>
          </w:p>
        </w:tc>
        <w:tc>
          <w:tcPr>
            <w:tcW w:type="dxa" w:w="4561"/>
            <w:shd w:val="clear" w:color="auto" w:fill="003366"/>
          </w:tcPr>
          <w:p>
            <w:r>
              <w:rPr>
                <w:rFonts w:ascii="Times New Roman" w:hAnsi="Times New Roman"/>
                <w:b/>
                <w:color w:val="FFFFFF"/>
                <w:sz w:val="20"/>
              </w:rPr>
              <w:t>Part des insertions cumulées</w:t>
            </w:r>
          </w:p>
        </w:tc>
      </w:tr>
      <w:tr>
        <w:tc>
          <w:tcPr>
            <w:tcW w:type="dxa" w:w="4561"/>
          </w:tcPr>
          <w:p>
            <w:r>
              <w:rPr>
                <w:rFonts w:ascii="Times New Roman" w:hAnsi="Times New Roman"/>
                <w:b w:val="0"/>
                <w:sz w:val="20"/>
              </w:rPr>
              <w:t>Littoral (Cotonou)</w:t>
            </w:r>
          </w:p>
        </w:tc>
        <w:tc>
          <w:tcPr>
            <w:tcW w:type="dxa" w:w="4561"/>
          </w:tcPr>
          <w:p>
            <w:r>
              <w:rPr>
                <w:rFonts w:ascii="Times New Roman" w:hAnsi="Times New Roman"/>
                <w:b w:val="0"/>
                <w:sz w:val="20"/>
              </w:rPr>
              <w:t>64 %</w:t>
            </w:r>
          </w:p>
        </w:tc>
      </w:tr>
      <w:tr>
        <w:tc>
          <w:tcPr>
            <w:tcW w:type="dxa" w:w="4561"/>
          </w:tcPr>
          <w:p>
            <w:r>
              <w:rPr>
                <w:rFonts w:ascii="Times New Roman" w:hAnsi="Times New Roman"/>
                <w:b w:val="0"/>
                <w:sz w:val="20"/>
              </w:rPr>
              <w:t>Atlantique</w:t>
            </w:r>
          </w:p>
        </w:tc>
        <w:tc>
          <w:tcPr>
            <w:tcW w:type="dxa" w:w="4561"/>
          </w:tcPr>
          <w:p>
            <w:r>
              <w:rPr>
                <w:rFonts w:ascii="Times New Roman" w:hAnsi="Times New Roman"/>
                <w:b w:val="0"/>
                <w:sz w:val="20"/>
              </w:rPr>
              <w:t>21,5 %</w:t>
            </w:r>
          </w:p>
        </w:tc>
      </w:tr>
      <w:tr>
        <w:tc>
          <w:tcPr>
            <w:tcW w:type="dxa" w:w="4561"/>
          </w:tcPr>
          <w:p>
            <w:r>
              <w:rPr>
                <w:rFonts w:ascii="Times New Roman" w:hAnsi="Times New Roman"/>
                <w:b w:val="0"/>
                <w:sz w:val="20"/>
              </w:rPr>
              <w:t>Autres (10 départements)</w:t>
            </w:r>
          </w:p>
        </w:tc>
        <w:tc>
          <w:tcPr>
            <w:tcW w:type="dxa" w:w="4561"/>
          </w:tcPr>
          <w:p>
            <w:r>
              <w:rPr>
                <w:rFonts w:ascii="Times New Roman" w:hAnsi="Times New Roman"/>
                <w:b w:val="0"/>
                <w:sz w:val="20"/>
              </w:rPr>
              <w:t>14,5 %</w:t>
            </w:r>
          </w:p>
        </w:tc>
      </w:tr>
    </w:tbl>
    <w:p/>
    <w:p>
      <w:r>
        <w:rPr>
          <w:rFonts w:ascii="Times New Roman" w:hAnsi="Times New Roman"/>
          <w:sz w:val="24"/>
        </w:rPr>
        <w:t>Cette concentration de 85,5 % dans deux départements reflète la répartition des entreprises formelles dans la zone côtière. Elle constitue un défi d'équité territoriale documenté.</w:t>
      </w:r>
    </w:p>
    <w:p>
      <w:r>
        <w:rPr>
          <w:rFonts w:ascii="Times New Roman" w:hAnsi="Times New Roman"/>
          <w:sz w:val="24"/>
        </w:rPr>
      </w:r>
      <w:r>
        <w:rPr>
          <w:rFonts w:ascii="Times New Roman" w:hAnsi="Times New Roman"/>
          <w:b/>
          <w:sz w:val="24"/>
        </w:rPr>
        <w:t>Couverture sectorielle :</w:t>
      </w:r>
      <w:r>
        <w:rPr>
          <w:rFonts w:ascii="Times New Roman" w:hAnsi="Times New Roman"/>
          <w:sz w:val="24"/>
        </w:rPr>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Branche professionnelle</w:t>
            </w:r>
          </w:p>
        </w:tc>
        <w:tc>
          <w:tcPr>
            <w:tcW w:type="dxa" w:w="4561"/>
            <w:shd w:val="clear" w:color="auto" w:fill="003366"/>
          </w:tcPr>
          <w:p>
            <w:r>
              <w:rPr>
                <w:rFonts w:ascii="Times New Roman" w:hAnsi="Times New Roman"/>
                <w:b/>
                <w:color w:val="FFFFFF"/>
                <w:sz w:val="20"/>
              </w:rPr>
              <w:t>Part dans les insertions</w:t>
            </w:r>
          </w:p>
        </w:tc>
      </w:tr>
      <w:tr>
        <w:tc>
          <w:tcPr>
            <w:tcW w:type="dxa" w:w="4561"/>
          </w:tcPr>
          <w:p>
            <w:r>
              <w:rPr>
                <w:rFonts w:ascii="Times New Roman" w:hAnsi="Times New Roman"/>
                <w:b w:val="0"/>
                <w:sz w:val="20"/>
              </w:rPr>
              <w:t>Marketing-Commerce-Distribution</w:t>
            </w:r>
          </w:p>
        </w:tc>
        <w:tc>
          <w:tcPr>
            <w:tcW w:type="dxa" w:w="4561"/>
          </w:tcPr>
          <w:p>
            <w:r>
              <w:rPr>
                <w:rFonts w:ascii="Times New Roman" w:hAnsi="Times New Roman"/>
                <w:b w:val="0"/>
                <w:sz w:val="20"/>
              </w:rPr>
              <w:t>18 %</w:t>
            </w:r>
          </w:p>
        </w:tc>
      </w:tr>
      <w:tr>
        <w:tc>
          <w:tcPr>
            <w:tcW w:type="dxa" w:w="4561"/>
          </w:tcPr>
          <w:p>
            <w:r>
              <w:rPr>
                <w:rFonts w:ascii="Times New Roman" w:hAnsi="Times New Roman"/>
                <w:b w:val="0"/>
                <w:sz w:val="20"/>
              </w:rPr>
              <w:t>Comptabilité-Gestion</w:t>
            </w:r>
          </w:p>
        </w:tc>
        <w:tc>
          <w:tcPr>
            <w:tcW w:type="dxa" w:w="4561"/>
          </w:tcPr>
          <w:p>
            <w:r>
              <w:rPr>
                <w:rFonts w:ascii="Times New Roman" w:hAnsi="Times New Roman"/>
                <w:b w:val="0"/>
                <w:sz w:val="20"/>
              </w:rPr>
              <w:t>16 %</w:t>
            </w:r>
          </w:p>
        </w:tc>
      </w:tr>
      <w:tr>
        <w:tc>
          <w:tcPr>
            <w:tcW w:type="dxa" w:w="4561"/>
          </w:tcPr>
          <w:p>
            <w:r>
              <w:rPr>
                <w:rFonts w:ascii="Times New Roman" w:hAnsi="Times New Roman"/>
                <w:b w:val="0"/>
                <w:sz w:val="20"/>
              </w:rPr>
              <w:t>Agro-industries</w:t>
            </w:r>
          </w:p>
        </w:tc>
        <w:tc>
          <w:tcPr>
            <w:tcW w:type="dxa" w:w="4561"/>
          </w:tcPr>
          <w:p>
            <w:r>
              <w:rPr>
                <w:rFonts w:ascii="Times New Roman" w:hAnsi="Times New Roman"/>
                <w:b w:val="0"/>
                <w:sz w:val="20"/>
              </w:rPr>
              <w:t>12 %</w:t>
            </w:r>
          </w:p>
        </w:tc>
      </w:tr>
      <w:tr>
        <w:tc>
          <w:tcPr>
            <w:tcW w:type="dxa" w:w="4561"/>
          </w:tcPr>
          <w:p>
            <w:r>
              <w:rPr>
                <w:rFonts w:ascii="Times New Roman" w:hAnsi="Times New Roman"/>
                <w:b w:val="0"/>
                <w:sz w:val="20"/>
              </w:rPr>
              <w:t>TIC</w:t>
            </w:r>
          </w:p>
        </w:tc>
        <w:tc>
          <w:tcPr>
            <w:tcW w:type="dxa" w:w="4561"/>
          </w:tcPr>
          <w:p>
            <w:r>
              <w:rPr>
                <w:rFonts w:ascii="Times New Roman" w:hAnsi="Times New Roman"/>
                <w:b w:val="0"/>
                <w:sz w:val="20"/>
              </w:rPr>
              <w:t>12 %</w:t>
            </w:r>
          </w:p>
        </w:tc>
      </w:tr>
      <w:tr>
        <w:tc>
          <w:tcPr>
            <w:tcW w:type="dxa" w:w="4561"/>
          </w:tcPr>
          <w:p>
            <w:r>
              <w:rPr>
                <w:rFonts w:ascii="Times New Roman" w:hAnsi="Times New Roman"/>
                <w:b w:val="0"/>
                <w:sz w:val="20"/>
              </w:rPr>
              <w:t>BTP</w:t>
            </w:r>
          </w:p>
        </w:tc>
        <w:tc>
          <w:tcPr>
            <w:tcW w:type="dxa" w:w="4561"/>
          </w:tcPr>
          <w:p>
            <w:r>
              <w:rPr>
                <w:rFonts w:ascii="Times New Roman" w:hAnsi="Times New Roman"/>
                <w:b w:val="0"/>
                <w:sz w:val="20"/>
              </w:rPr>
              <w:t>10 %</w:t>
            </w:r>
          </w:p>
        </w:tc>
      </w:tr>
    </w:tbl>
    <w:p/>
    <w:p/>
    <w:p>
      <w:pPr>
        <w:pStyle w:val="Heading3"/>
      </w:pPr>
      <w:r>
        <w:rPr>
          <w:rFonts w:ascii="Times New Roman" w:hAnsi="Times New Roman"/>
          <w:color w:val="1F4E79"/>
          <w:sz w:val="26"/>
        </w:rPr>
        <w:t>6.5 Actions non prévues réalisées</w:t>
      </w:r>
    </w:p>
    <w:p>
      <w:r>
        <w:rPr>
          <w:rFonts w:ascii="Times New Roman" w:hAnsi="Times New Roman"/>
          <w:sz w:val="24"/>
        </w:rPr>
      </w:r>
      <w:r>
        <w:rPr>
          <w:rFonts w:ascii="Times New Roman" w:hAnsi="Times New Roman"/>
          <w:i/>
          <w:sz w:val="24"/>
        </w:rPr>
        <w:t>Question évaluative 14 — Quelles sont les actions non prévues mais réalisées ? Sont-elles en lien avec les besoins ?</w:t>
      </w:r>
      <w:r>
        <w:rPr>
          <w:rFonts w:ascii="Times New Roman" w:hAnsi="Times New Roman"/>
          <w:sz w:val="24"/>
        </w:rPr>
      </w:r>
    </w:p>
    <w:p>
      <w:r>
        <w:rPr>
          <w:rFonts w:ascii="Times New Roman" w:hAnsi="Times New Roman"/>
          <w:sz w:val="24"/>
        </w:rPr>
        <w:t>Deux évolutions non prévues dans le cadre logique initial sont documentées :</w:t>
      </w:r>
    </w:p>
    <w:p>
      <w:pPr>
        <w:ind w:left="432"/>
      </w:pPr>
      <w:r>
        <w:rPr>
          <w:rFonts w:ascii="Times New Roman" w:hAnsi="Times New Roman"/>
          <w:sz w:val="24"/>
        </w:rPr>
      </w:r>
      <w:r>
        <w:rPr>
          <w:rFonts w:ascii="Times New Roman" w:hAnsi="Times New Roman"/>
          <w:b/>
          <w:sz w:val="24"/>
        </w:rPr>
        <w:t>L'utilisation des réseaux sociaux</w:t>
      </w:r>
      <w:r>
        <w:rPr>
          <w:rFonts w:ascii="Times New Roman" w:hAnsi="Times New Roman"/>
          <w:sz w:val="24"/>
        </w:rPr>
        <w:t xml:space="preserve"> (Facebook, WhatsApp) comme canal complémentaire de diffusion des offres et de recrutement des candidats. Non prévue dans le Prodoc, cette modalité a contribué à élargir la portée du programme, notamment auprès des jeunes hors des grandes villes.</w:t>
      </w:r>
    </w:p>
    <w:p>
      <w:pPr>
        <w:ind w:left="432"/>
      </w:pPr>
      <w:r>
        <w:rPr>
          <w:rFonts w:ascii="Times New Roman" w:hAnsi="Times New Roman"/>
          <w:sz w:val="24"/>
        </w:rPr>
      </w:r>
      <w:r>
        <w:rPr>
          <w:rFonts w:ascii="Times New Roman" w:hAnsi="Times New Roman"/>
          <w:b/>
          <w:sz w:val="24"/>
        </w:rPr>
        <w:t>L'articulation avec la GDIZ</w:t>
      </w:r>
      <w:r>
        <w:rPr>
          <w:rFonts w:ascii="Times New Roman" w:hAnsi="Times New Roman"/>
          <w:sz w:val="24"/>
        </w:rPr>
        <w:t xml:space="preserve"> : Les entreprises installées dans la Zone Industrielle de Glo-Djigbé ont commencé à recruter des allocataires PSIE, représentant une demande émergente non anticipée dans le cadre logique initial.</w:t>
      </w:r>
    </w:p>
    <w:p>
      <w:r>
        <w:rPr>
          <w:rFonts w:ascii="Times New Roman" w:hAnsi="Times New Roman"/>
          <w:sz w:val="24"/>
        </w:rPr>
        <w:t xml:space="preserve">Ces deux actions non prévues sont </w:t>
      </w:r>
      <w:r>
        <w:rPr>
          <w:rFonts w:ascii="Times New Roman" w:hAnsi="Times New Roman"/>
          <w:b/>
          <w:sz w:val="24"/>
        </w:rPr>
        <w:t>désirables et cohérentes</w:t>
      </w:r>
      <w:r>
        <w:rPr>
          <w:rFonts w:ascii="Times New Roman" w:hAnsi="Times New Roman"/>
          <w:sz w:val="24"/>
        </w:rPr>
        <w:t xml:space="preserve"> avec les objectifs du programme.</w:t>
      </w:r>
    </w:p>
    <w:p/>
    <w:p>
      <w:pPr>
        <w:pStyle w:val="Heading3"/>
      </w:pPr>
      <w:r>
        <w:rPr>
          <w:rFonts w:ascii="Times New Roman" w:hAnsi="Times New Roman"/>
          <w:color w:val="1F4E79"/>
          <w:sz w:val="26"/>
        </w:rPr>
        <w:t>6.6 Qualité des services</w:t>
      </w:r>
    </w:p>
    <w:p>
      <w:r>
        <w:rPr>
          <w:rFonts w:ascii="Times New Roman" w:hAnsi="Times New Roman"/>
          <w:sz w:val="24"/>
        </w:rPr>
      </w:r>
      <w:r>
        <w:rPr>
          <w:rFonts w:ascii="Times New Roman" w:hAnsi="Times New Roman"/>
          <w:i/>
          <w:sz w:val="24"/>
        </w:rPr>
        <w:t>Question évaluative 15 — Qu'en est-il de la qualité des services délivrés par le PSIE ?</w:t>
      </w:r>
      <w:r>
        <w:rPr>
          <w:rFonts w:ascii="Times New Roman" w:hAnsi="Times New Roman"/>
          <w:sz w:val="24"/>
        </w:rPr>
      </w:r>
    </w:p>
    <w:p>
      <w:r>
        <w:rPr>
          <w:rFonts w:ascii="Times New Roman" w:hAnsi="Times New Roman"/>
          <w:sz w:val="24"/>
        </w:rPr>
        <w:t>La qualité des services ne peut être appréciée de manière rigoureuse à ce stade faute de données sur la satisfaction des allocataires et des entreprises — cette appréciation est prévue dans la Phase 2 via le questionnaire de satisfaction. Les éléments qualitatifs disponibles indiquent :</w:t>
      </w:r>
    </w:p>
    <w:p>
      <w:pPr>
        <w:ind w:left="432"/>
      </w:pPr>
      <w:r>
        <w:rPr>
          <w:rFonts w:ascii="Times New Roman" w:hAnsi="Times New Roman"/>
          <w:sz w:val="24"/>
        </w:rPr>
        <w:t xml:space="preserve">La </w:t>
      </w:r>
      <w:r>
        <w:rPr>
          <w:rFonts w:ascii="Times New Roman" w:hAnsi="Times New Roman"/>
          <w:b/>
          <w:sz w:val="24"/>
        </w:rPr>
        <w:t>régularité des paiements</w:t>
      </w:r>
      <w:r>
        <w:rPr>
          <w:rFonts w:ascii="Times New Roman" w:hAnsi="Times New Roman"/>
          <w:sz w:val="24"/>
        </w:rPr>
        <w:t xml:space="preserve"> est jugée satisfaisante : aucun incident majeur de retard de paiement n'est documenté.</w:t>
      </w:r>
    </w:p>
    <w:p>
      <w:pPr>
        <w:ind w:left="432"/>
      </w:pPr>
      <w:r>
        <w:rPr>
          <w:rFonts w:ascii="Times New Roman" w:hAnsi="Times New Roman"/>
          <w:sz w:val="24"/>
        </w:rPr>
        <w:t xml:space="preserve">La </w:t>
      </w:r>
      <w:r>
        <w:rPr>
          <w:rFonts w:ascii="Times New Roman" w:hAnsi="Times New Roman"/>
          <w:b/>
          <w:sz w:val="24"/>
        </w:rPr>
        <w:t>plateforme numérique PSIE</w:t>
      </w:r>
      <w:r>
        <w:rPr>
          <w:rFonts w:ascii="Times New Roman" w:hAnsi="Times New Roman"/>
          <w:sz w:val="24"/>
        </w:rPr>
        <w:t xml:space="preserve"> fonctionne comme outil central de gestion.</w:t>
      </w:r>
    </w:p>
    <w:p>
      <w:pPr>
        <w:ind w:left="432"/>
      </w:pPr>
      <w:r>
        <w:rPr>
          <w:rFonts w:ascii="Times New Roman" w:hAnsi="Times New Roman"/>
          <w:sz w:val="24"/>
        </w:rPr>
        <w:t>Des cas d'</w:t>
      </w:r>
      <w:r>
        <w:rPr>
          <w:rFonts w:ascii="Times New Roman" w:hAnsi="Times New Roman"/>
          <w:b/>
          <w:sz w:val="24"/>
        </w:rPr>
        <w:t>abandons d'allocataires</w:t>
      </w:r>
      <w:r>
        <w:rPr>
          <w:rFonts w:ascii="Times New Roman" w:hAnsi="Times New Roman"/>
          <w:sz w:val="24"/>
        </w:rPr>
        <w:t xml:space="preserve"> et de </w:t>
      </w:r>
      <w:r>
        <w:rPr>
          <w:rFonts w:ascii="Times New Roman" w:hAnsi="Times New Roman"/>
          <w:b/>
          <w:sz w:val="24"/>
        </w:rPr>
        <w:t>non-respect des engagements par certaines entreprises</w:t>
      </w:r>
      <w:r>
        <w:rPr>
          <w:rFonts w:ascii="Times New Roman" w:hAnsi="Times New Roman"/>
          <w:sz w:val="24"/>
        </w:rPr>
        <w:t xml:space="preserve"> sont documentés comme facteurs affectant la qualité, sans que leur ampleur soit précisément mesurée.</w:t>
      </w:r>
    </w:p>
    <w:p/>
    <w:p>
      <w:pPr>
        <w:pStyle w:val="Heading3"/>
      </w:pPr>
      <w:r>
        <w:rPr>
          <w:rFonts w:ascii="Times New Roman" w:hAnsi="Times New Roman"/>
          <w:color w:val="1F4E79"/>
          <w:sz w:val="26"/>
        </w:rPr>
        <w:t>6.7 Groupes cibles non atteints</w:t>
      </w:r>
    </w:p>
    <w:p>
      <w:r>
        <w:rPr>
          <w:rFonts w:ascii="Times New Roman" w:hAnsi="Times New Roman"/>
          <w:sz w:val="24"/>
        </w:rPr>
      </w:r>
      <w:r>
        <w:rPr>
          <w:rFonts w:ascii="Times New Roman" w:hAnsi="Times New Roman"/>
          <w:i/>
          <w:sz w:val="24"/>
        </w:rPr>
        <w:t>Question évaluative 16 — Y a-t-il des groupes cibles qui n'ont pas reçu les services du PSIE ?</w:t>
      </w:r>
      <w:r>
        <w:rPr>
          <w:rFonts w:ascii="Times New Roman" w:hAnsi="Times New Roman"/>
          <w:sz w:val="24"/>
        </w:rPr>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Groupe cible sous-représenté</w:t>
            </w:r>
          </w:p>
        </w:tc>
        <w:tc>
          <w:tcPr>
            <w:tcW w:type="dxa" w:w="4561"/>
            <w:shd w:val="clear" w:color="auto" w:fill="003366"/>
          </w:tcPr>
          <w:p>
            <w:r>
              <w:rPr>
                <w:rFonts w:ascii="Times New Roman" w:hAnsi="Times New Roman"/>
                <w:b/>
                <w:color w:val="FFFFFF"/>
                <w:sz w:val="20"/>
              </w:rPr>
              <w:t>Cause documentée</w:t>
            </w:r>
          </w:p>
        </w:tc>
      </w:tr>
      <w:tr>
        <w:tc>
          <w:tcPr>
            <w:tcW w:type="dxa" w:w="4561"/>
          </w:tcPr>
          <w:p>
            <w:r>
              <w:rPr>
                <w:rFonts w:ascii="Times New Roman" w:hAnsi="Times New Roman"/>
                <w:b w:val="0"/>
                <w:sz w:val="20"/>
              </w:rPr>
              <w:t>Jeunes des 10 départements non côtiers</w:t>
            </w:r>
          </w:p>
        </w:tc>
        <w:tc>
          <w:tcPr>
            <w:tcW w:type="dxa" w:w="4561"/>
          </w:tcPr>
          <w:p>
            <w:r>
              <w:rPr>
                <w:rFonts w:ascii="Times New Roman" w:hAnsi="Times New Roman"/>
                <w:b w:val="0"/>
                <w:sz w:val="20"/>
              </w:rPr>
              <w:t>Concentration des entreprises formelles dans le Littoral/Atlantique</w:t>
            </w:r>
          </w:p>
        </w:tc>
      </w:tr>
      <w:tr>
        <w:tc>
          <w:tcPr>
            <w:tcW w:type="dxa" w:w="4561"/>
          </w:tcPr>
          <w:p>
            <w:r>
              <w:rPr>
                <w:rFonts w:ascii="Times New Roman" w:hAnsi="Times New Roman"/>
                <w:b w:val="0"/>
                <w:sz w:val="20"/>
              </w:rPr>
              <w:t>Jeunes de niveau BAC professionnel</w:t>
            </w:r>
          </w:p>
        </w:tc>
        <w:tc>
          <w:tcPr>
            <w:tcW w:type="dxa" w:w="4561"/>
          </w:tcPr>
          <w:p>
            <w:r>
              <w:rPr>
                <w:rFonts w:ascii="Times New Roman" w:hAnsi="Times New Roman"/>
                <w:b w:val="0"/>
                <w:sz w:val="20"/>
              </w:rPr>
              <w:t>Préférence des entreprises pour les niveaux BAC+2 et supérieurs</w:t>
            </w:r>
          </w:p>
        </w:tc>
      </w:tr>
      <w:tr>
        <w:tc>
          <w:tcPr>
            <w:tcW w:type="dxa" w:w="4561"/>
          </w:tcPr>
          <w:p>
            <w:r>
              <w:rPr>
                <w:rFonts w:ascii="Times New Roman" w:hAnsi="Times New Roman"/>
                <w:b w:val="0"/>
                <w:sz w:val="20"/>
              </w:rPr>
              <w:t>Jeunes femmes</w:t>
            </w:r>
          </w:p>
        </w:tc>
        <w:tc>
          <w:tcPr>
            <w:tcW w:type="dxa" w:w="4561"/>
          </w:tcPr>
          <w:p>
            <w:r>
              <w:rPr>
                <w:rFonts w:ascii="Times New Roman" w:hAnsi="Times New Roman"/>
                <w:b w:val="0"/>
                <w:sz w:val="20"/>
              </w:rPr>
              <w:t>Données de genre non disponibles — à évaluer en Phase 2</w:t>
            </w:r>
          </w:p>
        </w:tc>
      </w:tr>
      <w:tr>
        <w:tc>
          <w:tcPr>
            <w:tcW w:type="dxa" w:w="4561"/>
          </w:tcPr>
          <w:p>
            <w:r>
              <w:rPr>
                <w:rFonts w:ascii="Times New Roman" w:hAnsi="Times New Roman"/>
                <w:b w:val="0"/>
                <w:sz w:val="20"/>
              </w:rPr>
              <w:t>Jeunes hors base de données ANPE</w:t>
            </w:r>
          </w:p>
        </w:tc>
        <w:tc>
          <w:tcPr>
            <w:tcW w:type="dxa" w:w="4561"/>
          </w:tcPr>
          <w:p>
            <w:r>
              <w:rPr>
                <w:rFonts w:ascii="Times New Roman" w:hAnsi="Times New Roman"/>
                <w:b w:val="0"/>
                <w:sz w:val="20"/>
              </w:rPr>
              <w:t>Méconnaissance de la plateforme dans les zones rurales</w:t>
            </w:r>
          </w:p>
        </w:tc>
      </w:tr>
    </w:tbl>
    <w:p/>
    <w:p>
      <w:r>
        <w:rPr>
          <w:rFonts w:ascii="Times New Roman" w:hAnsi="Times New Roman"/>
          <w:sz w:val="24"/>
        </w:rPr>
        <w:t xml:space="preserve">La question de la </w:t>
      </w:r>
      <w:r>
        <w:rPr>
          <w:rFonts w:ascii="Times New Roman" w:hAnsi="Times New Roman"/>
          <w:b/>
          <w:sz w:val="24"/>
        </w:rPr>
        <w:t>notoriété du programme</w:t>
      </w:r>
      <w:r>
        <w:rPr>
          <w:rFonts w:ascii="Times New Roman" w:hAnsi="Times New Roman"/>
          <w:sz w:val="24"/>
        </w:rPr>
        <w:t xml:space="preserve"> auprès des jeunes diplômés non bénéficiaires ne peut pas être répondue à ce stade : aucune donnée sur ce sujet n'est disponible dans les sources documentaires. Cette question sera traitée en Phase 2 via l'enquête terrain.</w:t>
      </w:r>
    </w:p>
    <w:p/>
    <w:p>
      <w:pPr>
        <w:pStyle w:val="Heading3"/>
      </w:pPr>
      <w:r>
        <w:rPr>
          <w:rFonts w:ascii="Times New Roman" w:hAnsi="Times New Roman"/>
          <w:color w:val="1F4E79"/>
          <w:sz w:val="26"/>
        </w:rPr>
        <w:t>6.8 Jugement global — Efficacité</w:t>
      </w:r>
    </w:p>
    <w:p>
      <w:r>
        <w:rPr>
          <w:rFonts w:ascii="Times New Roman" w:hAnsi="Times New Roman"/>
          <w:sz w:val="24"/>
        </w:rPr>
        <w:t xml:space="preserve">L'analyse documentaire conduit au constat que </w:t>
      </w:r>
      <w:r>
        <w:rPr>
          <w:rFonts w:ascii="Times New Roman" w:hAnsi="Times New Roman"/>
          <w:b/>
          <w:sz w:val="24"/>
        </w:rPr>
        <w:t>le PSIE présente une efficacité moyenne à élevée</w:t>
      </w:r>
      <w:r>
        <w:rPr>
          <w:rFonts w:ascii="Times New Roman" w:hAnsi="Times New Roman"/>
          <w:sz w:val="24"/>
        </w:rPr>
        <w:t>. En volume d'insertions, le programme a dépassé sa cible initiale avec 9 263 insertions réalisées. Le mécanisme de prise en charge salariale a fonctionné de manière régulière avec 18,3 milliards FCFA versés. Les mesures d'accompagnement sont en place mais leur couverture n'est pas quantifiée. La concentration géographique et l'absence de données sur la qualité et les groupes non atteints constituent les principales limites à ce stade.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Dimension analysée</w:t>
            </w:r>
          </w:p>
        </w:tc>
        <w:tc>
          <w:tcPr>
            <w:tcW w:type="dxa" w:w="3041"/>
            <w:shd w:val="clear" w:color="auto" w:fill="003366"/>
          </w:tcPr>
          <w:p>
            <w:r>
              <w:rPr>
                <w:rFonts w:ascii="Times New Roman" w:hAnsi="Times New Roman"/>
                <w:b/>
                <w:color w:val="FFFFFF"/>
                <w:sz w:val="20"/>
              </w:rPr>
              <w:t>Jugement</w:t>
            </w:r>
          </w:p>
        </w:tc>
        <w:tc>
          <w:tcPr>
            <w:tcW w:type="dxa" w:w="3041"/>
            <w:shd w:val="clear" w:color="auto" w:fill="003366"/>
          </w:tcPr>
          <w:p>
            <w:r>
              <w:rPr>
                <w:rFonts w:ascii="Times New Roman" w:hAnsi="Times New Roman"/>
                <w:b/>
                <w:color w:val="FFFFFF"/>
                <w:sz w:val="20"/>
              </w:rPr>
              <w:t>Justification principale</w:t>
            </w:r>
          </w:p>
        </w:tc>
      </w:tr>
      <w:tr>
        <w:tc>
          <w:tcPr>
            <w:tcW w:type="dxa" w:w="3041"/>
          </w:tcPr>
          <w:p>
            <w:r>
              <w:rPr>
                <w:rFonts w:ascii="Times New Roman" w:hAnsi="Times New Roman"/>
                <w:b w:val="0"/>
                <w:sz w:val="20"/>
              </w:rPr>
              <w:t>Actions d'immersion et d'encadrement (QE9)</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9 263 insertions, dépassement de +15,8 % de la cible initiale</w:t>
            </w:r>
          </w:p>
        </w:tc>
      </w:tr>
      <w:tr>
        <w:tc>
          <w:tcPr>
            <w:tcW w:type="dxa" w:w="3041"/>
          </w:tcPr>
          <w:p>
            <w:r>
              <w:rPr>
                <w:rFonts w:ascii="Times New Roman" w:hAnsi="Times New Roman"/>
                <w:b w:val="0"/>
                <w:sz w:val="20"/>
              </w:rPr>
              <w:t>Soutien financier à la prise en charge salariale (QE10)</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18,3 milliards FCFA versés, prise en charge 100 %, paiements réguliers</w:t>
            </w:r>
          </w:p>
        </w:tc>
      </w:tr>
      <w:tr>
        <w:tc>
          <w:tcPr>
            <w:tcW w:type="dxa" w:w="3041"/>
          </w:tcPr>
          <w:p>
            <w:r>
              <w:rPr>
                <w:rFonts w:ascii="Times New Roman" w:hAnsi="Times New Roman"/>
                <w:b w:val="0"/>
                <w:sz w:val="20"/>
              </w:rPr>
              <w:t>Accompagnement à l'employabilité (QE11)</w:t>
            </w:r>
          </w:p>
        </w:tc>
        <w:tc>
          <w:tcPr>
            <w:tcW w:type="dxa" w:w="3041"/>
          </w:tcPr>
          <w:p>
            <w:r>
              <w:rPr>
                <w:rFonts w:ascii="Times New Roman" w:hAnsi="Times New Roman"/>
                <w:b w:val="0"/>
                <w:sz w:val="20"/>
              </w:rPr>
              <w:t>Moyen</w:t>
            </w:r>
          </w:p>
        </w:tc>
        <w:tc>
          <w:tcPr>
            <w:tcW w:type="dxa" w:w="3041"/>
          </w:tcPr>
          <w:p>
            <w:r>
              <w:rPr>
                <w:rFonts w:ascii="Times New Roman" w:hAnsi="Times New Roman"/>
                <w:b w:val="0"/>
                <w:sz w:val="20"/>
              </w:rPr>
              <w:t>Dispositif en place mais couverture quantitative non documentée</w:t>
            </w:r>
          </w:p>
        </w:tc>
      </w:tr>
      <w:tr>
        <w:tc>
          <w:tcPr>
            <w:tcW w:type="dxa" w:w="3041"/>
          </w:tcPr>
          <w:p>
            <w:r>
              <w:rPr>
                <w:rFonts w:ascii="Times New Roman" w:hAnsi="Times New Roman"/>
                <w:b w:val="0"/>
                <w:sz w:val="20"/>
              </w:rPr>
              <w:t>Portée et conformité aux prévisions (QE12+QE13)</w:t>
            </w:r>
          </w:p>
        </w:tc>
        <w:tc>
          <w:tcPr>
            <w:tcW w:type="dxa" w:w="3041"/>
          </w:tcPr>
          <w:p>
            <w:r>
              <w:rPr>
                <w:rFonts w:ascii="Times New Roman" w:hAnsi="Times New Roman"/>
                <w:b w:val="0"/>
                <w:sz w:val="20"/>
              </w:rPr>
              <w:t>Moyen à élevé</w:t>
            </w:r>
          </w:p>
        </w:tc>
        <w:tc>
          <w:tcPr>
            <w:tcW w:type="dxa" w:w="3041"/>
          </w:tcPr>
          <w:p>
            <w:r>
              <w:rPr>
                <w:rFonts w:ascii="Times New Roman" w:hAnsi="Times New Roman"/>
                <w:b w:val="0"/>
                <w:sz w:val="20"/>
              </w:rPr>
              <w:t>Dépassement en insertions cumulées ; concentration géographique documentée</w:t>
            </w:r>
          </w:p>
        </w:tc>
      </w:tr>
      <w:tr>
        <w:tc>
          <w:tcPr>
            <w:tcW w:type="dxa" w:w="3041"/>
          </w:tcPr>
          <w:p>
            <w:r>
              <w:rPr>
                <w:rFonts w:ascii="Times New Roman" w:hAnsi="Times New Roman"/>
                <w:b w:val="0"/>
                <w:sz w:val="20"/>
              </w:rPr>
              <w:t>Actions non prévues (QE14)</w:t>
            </w:r>
          </w:p>
        </w:tc>
        <w:tc>
          <w:tcPr>
            <w:tcW w:type="dxa" w:w="3041"/>
          </w:tcPr>
          <w:p>
            <w:r>
              <w:rPr>
                <w:rFonts w:ascii="Times New Roman" w:hAnsi="Times New Roman"/>
                <w:b w:val="0"/>
                <w:sz w:val="20"/>
              </w:rPr>
              <w:t>Positif</w:t>
            </w:r>
          </w:p>
        </w:tc>
        <w:tc>
          <w:tcPr>
            <w:tcW w:type="dxa" w:w="3041"/>
          </w:tcPr>
          <w:p>
            <w:r>
              <w:rPr>
                <w:rFonts w:ascii="Times New Roman" w:hAnsi="Times New Roman"/>
                <w:b w:val="0"/>
                <w:sz w:val="20"/>
              </w:rPr>
              <w:t>Réseaux sociaux + GDIZ : évolutions désirables et cohérentes</w:t>
            </w:r>
          </w:p>
        </w:tc>
      </w:tr>
      <w:tr>
        <w:tc>
          <w:tcPr>
            <w:tcW w:type="dxa" w:w="3041"/>
          </w:tcPr>
          <w:p>
            <w:r>
              <w:rPr>
                <w:rFonts w:ascii="Times New Roman" w:hAnsi="Times New Roman"/>
                <w:b w:val="0"/>
                <w:sz w:val="20"/>
              </w:rPr>
              <w:t>Qualité des services (QE15)</w:t>
            </w:r>
          </w:p>
        </w:tc>
        <w:tc>
          <w:tcPr>
            <w:tcW w:type="dxa" w:w="3041"/>
          </w:tcPr>
          <w:p>
            <w:r>
              <w:rPr>
                <w:rFonts w:ascii="Times New Roman" w:hAnsi="Times New Roman"/>
                <w:b w:val="0"/>
                <w:sz w:val="20"/>
              </w:rPr>
              <w:t>Non mesurable (Phase 2)</w:t>
            </w:r>
          </w:p>
        </w:tc>
        <w:tc>
          <w:tcPr>
            <w:tcW w:type="dxa" w:w="3041"/>
          </w:tcPr>
          <w:p>
            <w:r>
              <w:rPr>
                <w:rFonts w:ascii="Times New Roman" w:hAnsi="Times New Roman"/>
                <w:b w:val="0"/>
                <w:sz w:val="20"/>
              </w:rPr>
              <w:t>Absence de données de satisfaction quantifiées</w:t>
            </w:r>
          </w:p>
        </w:tc>
      </w:tr>
      <w:tr>
        <w:tc>
          <w:tcPr>
            <w:tcW w:type="dxa" w:w="3041"/>
          </w:tcPr>
          <w:p>
            <w:r>
              <w:rPr>
                <w:rFonts w:ascii="Times New Roman" w:hAnsi="Times New Roman"/>
                <w:b w:val="0"/>
                <w:sz w:val="20"/>
              </w:rPr>
              <w:t>Groupes non atteints (QE16)</w:t>
            </w:r>
          </w:p>
        </w:tc>
        <w:tc>
          <w:tcPr>
            <w:tcW w:type="dxa" w:w="3041"/>
          </w:tcPr>
          <w:p>
            <w:r>
              <w:rPr>
                <w:rFonts w:ascii="Times New Roman" w:hAnsi="Times New Roman"/>
                <w:b w:val="0"/>
                <w:sz w:val="20"/>
              </w:rPr>
              <w:t>À approfondir (Phase 2)</w:t>
            </w:r>
          </w:p>
        </w:tc>
        <w:tc>
          <w:tcPr>
            <w:tcW w:type="dxa" w:w="3041"/>
          </w:tcPr>
          <w:p>
            <w:r>
              <w:rPr>
                <w:rFonts w:ascii="Times New Roman" w:hAnsi="Times New Roman"/>
                <w:b w:val="0"/>
                <w:sz w:val="20"/>
              </w:rPr>
              <w:t>Sous-représentation documentée des zones rurales et du niveau BAC pro</w:t>
            </w:r>
          </w:p>
        </w:tc>
      </w:tr>
      <w:tr>
        <w:tc>
          <w:tcPr>
            <w:tcW w:type="dxa" w:w="3041"/>
          </w:tcPr>
          <w:p>
            <w:r>
              <w:rPr>
                <w:rFonts w:ascii="Times New Roman" w:hAnsi="Times New Roman"/>
                <w:b w:val="0"/>
                <w:sz w:val="20"/>
              </w:rPr>
              <w:t>Jugement global</w:t>
            </w:r>
          </w:p>
        </w:tc>
        <w:tc>
          <w:tcPr>
            <w:tcW w:type="dxa" w:w="3041"/>
          </w:tcPr>
          <w:p>
            <w:r>
              <w:rPr>
                <w:rFonts w:ascii="Times New Roman" w:hAnsi="Times New Roman"/>
                <w:b w:val="0"/>
                <w:sz w:val="20"/>
              </w:rPr>
              <w:t>MOYEN À ÉLEVÉ</w:t>
            </w:r>
          </w:p>
        </w:tc>
        <w:tc>
          <w:tcPr>
            <w:tcW w:type="dxa" w:w="3041"/>
          </w:tcPr>
          <w:p>
            <w:r>
              <w:rPr>
                <w:rFonts w:ascii="Times New Roman" w:hAnsi="Times New Roman"/>
                <w:b w:val="0"/>
                <w:sz w:val="20"/>
              </w:rPr>
              <w:t>Forte performance en insertions ; limites sur équité territoriale et données de qualité</w:t>
            </w:r>
          </w:p>
        </w:tc>
      </w:tr>
    </w:tbl>
    <w:p/>
    <w:p/>
    <w:p>
      <w:pPr>
        <w:pStyle w:val="Heading2"/>
      </w:pPr>
      <w:r>
        <w:rPr>
          <w:rFonts w:ascii="Times New Roman" w:hAnsi="Times New Roman"/>
          <w:color w:val="003366"/>
          <w:sz w:val="28"/>
        </w:rPr>
        <w:t>7. CONCLUSIONS PRÉLIMINAIRES ET RECOMMANDATIONS</w:t>
      </w:r>
    </w:p>
    <w:p>
      <w:pPr>
        <w:pStyle w:val="Heading3"/>
      </w:pPr>
      <w:r>
        <w:rPr>
          <w:rFonts w:ascii="Times New Roman" w:hAnsi="Times New Roman"/>
          <w:color w:val="1F4E79"/>
          <w:sz w:val="26"/>
        </w:rPr>
        <w:t>7.1 Synthèse des jugements évaluatifs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3366"/>
          </w:tcPr>
          <w:p>
            <w:r>
              <w:rPr>
                <w:rFonts w:ascii="Times New Roman" w:hAnsi="Times New Roman"/>
                <w:b/>
                <w:color w:val="FFFFFF"/>
                <w:sz w:val="20"/>
              </w:rPr>
              <w:t>Critère OCDE</w:t>
            </w:r>
          </w:p>
        </w:tc>
        <w:tc>
          <w:tcPr>
            <w:tcW w:type="dxa" w:w="3041"/>
            <w:shd w:val="clear" w:color="auto" w:fill="003366"/>
          </w:tcPr>
          <w:p>
            <w:r>
              <w:rPr>
                <w:rFonts w:ascii="Times New Roman" w:hAnsi="Times New Roman"/>
                <w:b/>
                <w:color w:val="FFFFFF"/>
                <w:sz w:val="20"/>
              </w:rPr>
              <w:t>Jugement global</w:t>
            </w:r>
          </w:p>
        </w:tc>
        <w:tc>
          <w:tcPr>
            <w:tcW w:type="dxa" w:w="3041"/>
            <w:shd w:val="clear" w:color="auto" w:fill="003366"/>
          </w:tcPr>
          <w:p>
            <w:r>
              <w:rPr>
                <w:rFonts w:ascii="Times New Roman" w:hAnsi="Times New Roman"/>
                <w:b/>
                <w:color w:val="FFFFFF"/>
                <w:sz w:val="20"/>
              </w:rPr>
              <w:t>Niveau de confiance</w:t>
            </w:r>
          </w:p>
        </w:tc>
      </w:tr>
      <w:tr>
        <w:tc>
          <w:tcPr>
            <w:tcW w:type="dxa" w:w="3041"/>
          </w:tcPr>
          <w:p>
            <w:r>
              <w:rPr>
                <w:rFonts w:ascii="Times New Roman" w:hAnsi="Times New Roman"/>
                <w:b w:val="0"/>
                <w:sz w:val="20"/>
              </w:rPr>
              <w:t>Pertinence</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Élevé — documenté par le Prodoc, les statistiques INSAE et la réponse des entreprises</w:t>
            </w:r>
          </w:p>
        </w:tc>
      </w:tr>
      <w:tr>
        <w:tc>
          <w:tcPr>
            <w:tcW w:type="dxa" w:w="3041"/>
          </w:tcPr>
          <w:p>
            <w:r>
              <w:rPr>
                <w:rFonts w:ascii="Times New Roman" w:hAnsi="Times New Roman"/>
                <w:b w:val="0"/>
                <w:sz w:val="20"/>
              </w:rPr>
              <w:t>Cohérence</w:t>
            </w:r>
          </w:p>
        </w:tc>
        <w:tc>
          <w:tcPr>
            <w:tcW w:type="dxa" w:w="3041"/>
          </w:tcPr>
          <w:p>
            <w:r>
              <w:rPr>
                <w:rFonts w:ascii="Times New Roman" w:hAnsi="Times New Roman"/>
                <w:b w:val="0"/>
                <w:sz w:val="20"/>
              </w:rPr>
              <w:t>Élevé</w:t>
            </w:r>
          </w:p>
        </w:tc>
        <w:tc>
          <w:tcPr>
            <w:tcW w:type="dxa" w:w="3041"/>
          </w:tcPr>
          <w:p>
            <w:r>
              <w:rPr>
                <w:rFonts w:ascii="Times New Roman" w:hAnsi="Times New Roman"/>
                <w:b w:val="0"/>
                <w:sz w:val="20"/>
              </w:rPr>
              <w:t>Moyen à élevé — cadre logique formalisé, mais révision salariale non formellement intégrée</w:t>
            </w:r>
          </w:p>
        </w:tc>
      </w:tr>
      <w:tr>
        <w:tc>
          <w:tcPr>
            <w:tcW w:type="dxa" w:w="3041"/>
          </w:tcPr>
          <w:p>
            <w:r>
              <w:rPr>
                <w:rFonts w:ascii="Times New Roman" w:hAnsi="Times New Roman"/>
                <w:b w:val="0"/>
                <w:sz w:val="20"/>
              </w:rPr>
              <w:t>Efficacité</w:t>
            </w:r>
          </w:p>
        </w:tc>
        <w:tc>
          <w:tcPr>
            <w:tcW w:type="dxa" w:w="3041"/>
          </w:tcPr>
          <w:p>
            <w:r>
              <w:rPr>
                <w:rFonts w:ascii="Times New Roman" w:hAnsi="Times New Roman"/>
                <w:b w:val="0"/>
                <w:sz w:val="20"/>
              </w:rPr>
              <w:t>Moyen à élevé</w:t>
            </w:r>
          </w:p>
        </w:tc>
        <w:tc>
          <w:tcPr>
            <w:tcW w:type="dxa" w:w="3041"/>
          </w:tcPr>
          <w:p>
            <w:r>
              <w:rPr>
                <w:rFonts w:ascii="Times New Roman" w:hAnsi="Times New Roman"/>
                <w:b w:val="0"/>
                <w:sz w:val="20"/>
              </w:rPr>
              <w:t>Élevé en volume d'insertions ; moyen pour la couverture géographique et sectorielle</w:t>
            </w:r>
          </w:p>
        </w:tc>
      </w:tr>
    </w:tbl>
    <w:p/>
    <w:p>
      <w:r>
        <w:rPr>
          <w:rFonts w:ascii="Times New Roman" w:hAnsi="Times New Roman"/>
          <w:sz w:val="24"/>
        </w:rPr>
      </w:r>
      <w:r>
        <w:rPr>
          <w:rFonts w:ascii="Times New Roman" w:hAnsi="Times New Roman"/>
          <w:b/>
          <w:sz w:val="24"/>
        </w:rPr>
        <w:t>Conclusion générale :</w:t>
      </w:r>
      <w:r>
        <w:rPr>
          <w:rFonts w:ascii="Times New Roman" w:hAnsi="Times New Roman"/>
          <w:sz w:val="24"/>
        </w:rPr>
        <w:t xml:space="preserve"> Le PSIE est un programme bien conçu, pertinent et cohérent, qui a produit des résultats significatifs en termes d'insertion professionnelle en 5 ans. Ses performances sont en progression constante et ses coûts opérationnels maîtrisés. Les principaux défis portent sur l'équité géographique, la couverture sectorielle, et la mesure de la durabilité des insertions.</w:t>
      </w:r>
    </w:p>
    <w:p>
      <w:pPr>
        <w:pStyle w:val="Heading3"/>
      </w:pPr>
      <w:r>
        <w:rPr>
          <w:rFonts w:ascii="Times New Roman" w:hAnsi="Times New Roman"/>
          <w:color w:val="1F4E79"/>
          <w:sz w:val="26"/>
        </w:rPr>
        <w:t>7.2 Recommandations</w:t>
      </w:r>
    </w:p>
    <w:p>
      <w:pPr>
        <w:pStyle w:val="Heading4"/>
      </w:pPr>
      <w:r>
        <w:rPr>
          <w:rFonts w:ascii="Times New Roman" w:hAnsi="Times New Roman"/>
          <w:color w:val="333333"/>
          <w:sz w:val="24"/>
        </w:rPr>
        <w:t>Recommandations relatives à la Pertinence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003366"/>
          </w:tcPr>
          <w:p>
            <w:r>
              <w:rPr>
                <w:rFonts w:ascii="Times New Roman" w:hAnsi="Times New Roman"/>
                <w:b/>
                <w:color w:val="FFFFFF"/>
                <w:sz w:val="20"/>
              </w:rPr>
              <w:t>N°</w:t>
            </w:r>
          </w:p>
        </w:tc>
        <w:tc>
          <w:tcPr>
            <w:tcW w:type="dxa" w:w="1824"/>
            <w:shd w:val="clear" w:color="auto" w:fill="003366"/>
          </w:tcPr>
          <w:p>
            <w:r>
              <w:rPr>
                <w:rFonts w:ascii="Times New Roman" w:hAnsi="Times New Roman"/>
                <w:b/>
                <w:color w:val="FFFFFF"/>
                <w:sz w:val="20"/>
              </w:rPr>
              <w:t>Recommandation</w:t>
            </w:r>
          </w:p>
        </w:tc>
        <w:tc>
          <w:tcPr>
            <w:tcW w:type="dxa" w:w="1824"/>
            <w:shd w:val="clear" w:color="auto" w:fill="003366"/>
          </w:tcPr>
          <w:p>
            <w:r>
              <w:rPr>
                <w:rFonts w:ascii="Times New Roman" w:hAnsi="Times New Roman"/>
                <w:b/>
                <w:color w:val="FFFFFF"/>
                <w:sz w:val="20"/>
              </w:rPr>
              <w:t>Priorité</w:t>
            </w:r>
          </w:p>
        </w:tc>
        <w:tc>
          <w:tcPr>
            <w:tcW w:type="dxa" w:w="1824"/>
            <w:shd w:val="clear" w:color="auto" w:fill="003366"/>
          </w:tcPr>
          <w:p>
            <w:r>
              <w:rPr>
                <w:rFonts w:ascii="Times New Roman" w:hAnsi="Times New Roman"/>
                <w:b/>
                <w:color w:val="FFFFFF"/>
                <w:sz w:val="20"/>
              </w:rPr>
              <w:t>Acteur responsable</w:t>
            </w:r>
          </w:p>
        </w:tc>
        <w:tc>
          <w:tcPr>
            <w:tcW w:type="dxa" w:w="1824"/>
            <w:shd w:val="clear" w:color="auto" w:fill="003366"/>
          </w:tcPr>
          <w:p>
            <w:r>
              <w:rPr>
                <w:rFonts w:ascii="Times New Roman" w:hAnsi="Times New Roman"/>
                <w:b/>
                <w:color w:val="FFFFFF"/>
                <w:sz w:val="20"/>
              </w:rPr>
              <w:t>Échéance</w:t>
            </w:r>
          </w:p>
        </w:tc>
      </w:tr>
      <w:tr>
        <w:tc>
          <w:tcPr>
            <w:tcW w:type="dxa" w:w="1824"/>
          </w:tcPr>
          <w:p>
            <w:r>
              <w:rPr>
                <w:rFonts w:ascii="Times New Roman" w:hAnsi="Times New Roman"/>
                <w:b w:val="0"/>
                <w:sz w:val="20"/>
              </w:rPr>
              <w:t>R1</w:t>
            </w:r>
          </w:p>
        </w:tc>
        <w:tc>
          <w:tcPr>
            <w:tcW w:type="dxa" w:w="1824"/>
          </w:tcPr>
          <w:p>
            <w:r>
              <w:rPr>
                <w:rFonts w:ascii="Times New Roman" w:hAnsi="Times New Roman"/>
                <w:b w:val="0"/>
                <w:sz w:val="20"/>
              </w:rPr>
              <w:t>Conduire une analyse actualisée de l'adéquation formation-emploi (par filière et région) pour ajuster les quotas de qualifications par cohorte aux besoins réels actuels du marché.</w:t>
            </w:r>
          </w:p>
        </w:tc>
        <w:tc>
          <w:tcPr>
            <w:tcW w:type="dxa" w:w="1824"/>
          </w:tcPr>
          <w:p>
            <w:r>
              <w:rPr>
                <w:rFonts w:ascii="Times New Roman" w:hAnsi="Times New Roman"/>
                <w:b w:val="0"/>
                <w:sz w:val="20"/>
              </w:rPr>
              <w:t>Haute</w:t>
            </w:r>
          </w:p>
        </w:tc>
        <w:tc>
          <w:tcPr>
            <w:tcW w:type="dxa" w:w="1824"/>
          </w:tcPr>
          <w:p>
            <w:r>
              <w:rPr>
                <w:rFonts w:ascii="Times New Roman" w:hAnsi="Times New Roman"/>
                <w:b w:val="0"/>
                <w:sz w:val="20"/>
              </w:rPr>
              <w:t>Coordination PSIE / ANPE / INSAE</w:t>
            </w:r>
          </w:p>
        </w:tc>
        <w:tc>
          <w:tcPr>
            <w:tcW w:type="dxa" w:w="1824"/>
          </w:tcPr>
          <w:p>
            <w:r>
              <w:rPr>
                <w:rFonts w:ascii="Times New Roman" w:hAnsi="Times New Roman"/>
                <w:b w:val="0"/>
                <w:sz w:val="20"/>
              </w:rPr>
              <w:t>Court terme (2026)</w:t>
            </w:r>
          </w:p>
        </w:tc>
      </w:tr>
      <w:tr>
        <w:tc>
          <w:tcPr>
            <w:tcW w:type="dxa" w:w="1824"/>
          </w:tcPr>
          <w:p>
            <w:r>
              <w:rPr>
                <w:rFonts w:ascii="Times New Roman" w:hAnsi="Times New Roman"/>
                <w:b w:val="0"/>
                <w:sz w:val="20"/>
              </w:rPr>
              <w:t>R2</w:t>
            </w:r>
          </w:p>
        </w:tc>
        <w:tc>
          <w:tcPr>
            <w:tcW w:type="dxa" w:w="1824"/>
          </w:tcPr>
          <w:p>
            <w:r>
              <w:rPr>
                <w:rFonts w:ascii="Times New Roman" w:hAnsi="Times New Roman"/>
                <w:b w:val="0"/>
                <w:sz w:val="20"/>
              </w:rPr>
              <w:t>Explorer l'extension du plafond d'âge à 40 ans pour les chômeurs de longue durée, en cohérence avec la réalité du chômage structurel béninois.</w:t>
            </w:r>
          </w:p>
        </w:tc>
        <w:tc>
          <w:tcPr>
            <w:tcW w:type="dxa" w:w="1824"/>
          </w:tcPr>
          <w:p>
            <w:r>
              <w:rPr>
                <w:rFonts w:ascii="Times New Roman" w:hAnsi="Times New Roman"/>
                <w:b w:val="0"/>
                <w:sz w:val="20"/>
              </w:rPr>
              <w:t>Moyenne</w:t>
            </w:r>
          </w:p>
        </w:tc>
        <w:tc>
          <w:tcPr>
            <w:tcW w:type="dxa" w:w="1824"/>
          </w:tcPr>
          <w:p>
            <w:r>
              <w:rPr>
                <w:rFonts w:ascii="Times New Roman" w:hAnsi="Times New Roman"/>
                <w:b w:val="0"/>
                <w:sz w:val="20"/>
              </w:rPr>
              <w:t>Comité de pilotage / Ministère de l'Emploi</w:t>
            </w:r>
          </w:p>
        </w:tc>
        <w:tc>
          <w:tcPr>
            <w:tcW w:type="dxa" w:w="1824"/>
          </w:tcPr>
          <w:p>
            <w:r>
              <w:rPr>
                <w:rFonts w:ascii="Times New Roman" w:hAnsi="Times New Roman"/>
                <w:b w:val="0"/>
                <w:sz w:val="20"/>
              </w:rPr>
              <w:t>Moyen terme</w:t>
            </w:r>
          </w:p>
        </w:tc>
      </w:tr>
    </w:tbl>
    <w:p/>
    <w:p>
      <w:pPr>
        <w:pStyle w:val="Heading4"/>
      </w:pPr>
      <w:r>
        <w:rPr>
          <w:rFonts w:ascii="Times New Roman" w:hAnsi="Times New Roman"/>
          <w:color w:val="333333"/>
          <w:sz w:val="24"/>
        </w:rPr>
        <w:t>Recommandations relatives à la Cohérence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003366"/>
          </w:tcPr>
          <w:p>
            <w:r>
              <w:rPr>
                <w:rFonts w:ascii="Times New Roman" w:hAnsi="Times New Roman"/>
                <w:b/>
                <w:color w:val="FFFFFF"/>
                <w:sz w:val="20"/>
              </w:rPr>
              <w:t>N°</w:t>
            </w:r>
          </w:p>
        </w:tc>
        <w:tc>
          <w:tcPr>
            <w:tcW w:type="dxa" w:w="1824"/>
            <w:shd w:val="clear" w:color="auto" w:fill="003366"/>
          </w:tcPr>
          <w:p>
            <w:r>
              <w:rPr>
                <w:rFonts w:ascii="Times New Roman" w:hAnsi="Times New Roman"/>
                <w:b/>
                <w:color w:val="FFFFFF"/>
                <w:sz w:val="20"/>
              </w:rPr>
              <w:t>Recommandation</w:t>
            </w:r>
          </w:p>
        </w:tc>
        <w:tc>
          <w:tcPr>
            <w:tcW w:type="dxa" w:w="1824"/>
            <w:shd w:val="clear" w:color="auto" w:fill="003366"/>
          </w:tcPr>
          <w:p>
            <w:r>
              <w:rPr>
                <w:rFonts w:ascii="Times New Roman" w:hAnsi="Times New Roman"/>
                <w:b/>
                <w:color w:val="FFFFFF"/>
                <w:sz w:val="20"/>
              </w:rPr>
              <w:t>Priorité</w:t>
            </w:r>
          </w:p>
        </w:tc>
        <w:tc>
          <w:tcPr>
            <w:tcW w:type="dxa" w:w="1824"/>
            <w:shd w:val="clear" w:color="auto" w:fill="003366"/>
          </w:tcPr>
          <w:p>
            <w:r>
              <w:rPr>
                <w:rFonts w:ascii="Times New Roman" w:hAnsi="Times New Roman"/>
                <w:b/>
                <w:color w:val="FFFFFF"/>
                <w:sz w:val="20"/>
              </w:rPr>
              <w:t>Acteur responsable</w:t>
            </w:r>
          </w:p>
        </w:tc>
        <w:tc>
          <w:tcPr>
            <w:tcW w:type="dxa" w:w="1824"/>
            <w:shd w:val="clear" w:color="auto" w:fill="003366"/>
          </w:tcPr>
          <w:p>
            <w:r>
              <w:rPr>
                <w:rFonts w:ascii="Times New Roman" w:hAnsi="Times New Roman"/>
                <w:b/>
                <w:color w:val="FFFFFF"/>
                <w:sz w:val="20"/>
              </w:rPr>
              <w:t>Échéance</w:t>
            </w:r>
          </w:p>
        </w:tc>
      </w:tr>
      <w:tr>
        <w:tc>
          <w:tcPr>
            <w:tcW w:type="dxa" w:w="1824"/>
          </w:tcPr>
          <w:p>
            <w:r>
              <w:rPr>
                <w:rFonts w:ascii="Times New Roman" w:hAnsi="Times New Roman"/>
                <w:b w:val="0"/>
                <w:sz w:val="20"/>
              </w:rPr>
              <w:t>R3</w:t>
            </w:r>
          </w:p>
        </w:tc>
        <w:tc>
          <w:tcPr>
            <w:tcW w:type="dxa" w:w="1824"/>
          </w:tcPr>
          <w:p>
            <w:r>
              <w:rPr>
                <w:rFonts w:ascii="Times New Roman" w:hAnsi="Times New Roman"/>
                <w:b w:val="0"/>
                <w:sz w:val="20"/>
              </w:rPr>
              <w:t>Formaliser un avenant au cadre logique et au budget pour intégrer la révision de la grille salariale et la prolongation du programme au-delà de 2025, avec des cibles actualisées.</w:t>
            </w:r>
          </w:p>
        </w:tc>
        <w:tc>
          <w:tcPr>
            <w:tcW w:type="dxa" w:w="1824"/>
          </w:tcPr>
          <w:p>
            <w:r>
              <w:rPr>
                <w:rFonts w:ascii="Times New Roman" w:hAnsi="Times New Roman"/>
                <w:b w:val="0"/>
                <w:sz w:val="20"/>
              </w:rPr>
              <w:t>Haute</w:t>
            </w:r>
          </w:p>
        </w:tc>
        <w:tc>
          <w:tcPr>
            <w:tcW w:type="dxa" w:w="1824"/>
          </w:tcPr>
          <w:p>
            <w:r>
              <w:rPr>
                <w:rFonts w:ascii="Times New Roman" w:hAnsi="Times New Roman"/>
                <w:b w:val="0"/>
                <w:sz w:val="20"/>
              </w:rPr>
              <w:t>Coordination PSIE / BAI</w:t>
            </w:r>
          </w:p>
        </w:tc>
        <w:tc>
          <w:tcPr>
            <w:tcW w:type="dxa" w:w="1824"/>
          </w:tcPr>
          <w:p>
            <w:r>
              <w:rPr>
                <w:rFonts w:ascii="Times New Roman" w:hAnsi="Times New Roman"/>
                <w:b w:val="0"/>
                <w:sz w:val="20"/>
              </w:rPr>
              <w:t>Court terme (2026)</w:t>
            </w:r>
          </w:p>
        </w:tc>
      </w:tr>
      <w:tr>
        <w:tc>
          <w:tcPr>
            <w:tcW w:type="dxa" w:w="1824"/>
          </w:tcPr>
          <w:p>
            <w:r>
              <w:rPr>
                <w:rFonts w:ascii="Times New Roman" w:hAnsi="Times New Roman"/>
                <w:b w:val="0"/>
                <w:sz w:val="20"/>
              </w:rPr>
              <w:t>R4</w:t>
            </w:r>
          </w:p>
        </w:tc>
        <w:tc>
          <w:tcPr>
            <w:tcW w:type="dxa" w:w="1824"/>
          </w:tcPr>
          <w:p>
            <w:r>
              <w:rPr>
                <w:rFonts w:ascii="Times New Roman" w:hAnsi="Times New Roman"/>
                <w:b w:val="0"/>
                <w:sz w:val="20"/>
              </w:rPr>
              <w:t>Mettre en place un mécanisme formel de coordination avec les autres programmes d'emploi (FNPEEJ, autres) pour éviter les doublons de bénéficiaires et les incohérences dans les conditions d'accès.</w:t>
            </w:r>
          </w:p>
        </w:tc>
        <w:tc>
          <w:tcPr>
            <w:tcW w:type="dxa" w:w="1824"/>
          </w:tcPr>
          <w:p>
            <w:r>
              <w:rPr>
                <w:rFonts w:ascii="Times New Roman" w:hAnsi="Times New Roman"/>
                <w:b w:val="0"/>
                <w:sz w:val="20"/>
              </w:rPr>
              <w:t>Moyenne</w:t>
            </w:r>
          </w:p>
        </w:tc>
        <w:tc>
          <w:tcPr>
            <w:tcW w:type="dxa" w:w="1824"/>
          </w:tcPr>
          <w:p>
            <w:r>
              <w:rPr>
                <w:rFonts w:ascii="Times New Roman" w:hAnsi="Times New Roman"/>
                <w:b w:val="0"/>
                <w:sz w:val="20"/>
              </w:rPr>
              <w:t>ANPE / Ministère de l'Emploi</w:t>
            </w:r>
          </w:p>
        </w:tc>
        <w:tc>
          <w:tcPr>
            <w:tcW w:type="dxa" w:w="1824"/>
          </w:tcPr>
          <w:p>
            <w:r>
              <w:rPr>
                <w:rFonts w:ascii="Times New Roman" w:hAnsi="Times New Roman"/>
                <w:b w:val="0"/>
                <w:sz w:val="20"/>
              </w:rPr>
              <w:t>Moyen terme</w:t>
            </w:r>
          </w:p>
        </w:tc>
      </w:tr>
    </w:tbl>
    <w:p/>
    <w:p>
      <w:pPr>
        <w:pStyle w:val="Heading4"/>
      </w:pPr>
      <w:r>
        <w:rPr>
          <w:rFonts w:ascii="Times New Roman" w:hAnsi="Times New Roman"/>
          <w:color w:val="333333"/>
          <w:sz w:val="24"/>
        </w:rPr>
        <w:t>Recommandations relatives à l'Efficacité</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003366"/>
          </w:tcPr>
          <w:p>
            <w:r>
              <w:rPr>
                <w:rFonts w:ascii="Times New Roman" w:hAnsi="Times New Roman"/>
                <w:b/>
                <w:color w:val="FFFFFF"/>
                <w:sz w:val="20"/>
              </w:rPr>
              <w:t>N°</w:t>
            </w:r>
          </w:p>
        </w:tc>
        <w:tc>
          <w:tcPr>
            <w:tcW w:type="dxa" w:w="1824"/>
            <w:shd w:val="clear" w:color="auto" w:fill="003366"/>
          </w:tcPr>
          <w:p>
            <w:r>
              <w:rPr>
                <w:rFonts w:ascii="Times New Roman" w:hAnsi="Times New Roman"/>
                <w:b/>
                <w:color w:val="FFFFFF"/>
                <w:sz w:val="20"/>
              </w:rPr>
              <w:t>Recommandation</w:t>
            </w:r>
          </w:p>
        </w:tc>
        <w:tc>
          <w:tcPr>
            <w:tcW w:type="dxa" w:w="1824"/>
            <w:shd w:val="clear" w:color="auto" w:fill="003366"/>
          </w:tcPr>
          <w:p>
            <w:r>
              <w:rPr>
                <w:rFonts w:ascii="Times New Roman" w:hAnsi="Times New Roman"/>
                <w:b/>
                <w:color w:val="FFFFFF"/>
                <w:sz w:val="20"/>
              </w:rPr>
              <w:t>Priorité</w:t>
            </w:r>
          </w:p>
        </w:tc>
        <w:tc>
          <w:tcPr>
            <w:tcW w:type="dxa" w:w="1824"/>
            <w:shd w:val="clear" w:color="auto" w:fill="003366"/>
          </w:tcPr>
          <w:p>
            <w:r>
              <w:rPr>
                <w:rFonts w:ascii="Times New Roman" w:hAnsi="Times New Roman"/>
                <w:b/>
                <w:color w:val="FFFFFF"/>
                <w:sz w:val="20"/>
              </w:rPr>
              <w:t>Acteur responsable</w:t>
            </w:r>
          </w:p>
        </w:tc>
        <w:tc>
          <w:tcPr>
            <w:tcW w:type="dxa" w:w="1824"/>
            <w:shd w:val="clear" w:color="auto" w:fill="003366"/>
          </w:tcPr>
          <w:p>
            <w:r>
              <w:rPr>
                <w:rFonts w:ascii="Times New Roman" w:hAnsi="Times New Roman"/>
                <w:b/>
                <w:color w:val="FFFFFF"/>
                <w:sz w:val="20"/>
              </w:rPr>
              <w:t>Échéance</w:t>
            </w:r>
          </w:p>
        </w:tc>
      </w:tr>
      <w:tr>
        <w:tc>
          <w:tcPr>
            <w:tcW w:type="dxa" w:w="1824"/>
          </w:tcPr>
          <w:p>
            <w:r>
              <w:rPr>
                <w:rFonts w:ascii="Times New Roman" w:hAnsi="Times New Roman"/>
                <w:b w:val="0"/>
                <w:sz w:val="20"/>
              </w:rPr>
              <w:t>R5</w:t>
            </w:r>
          </w:p>
        </w:tc>
        <w:tc>
          <w:tcPr>
            <w:tcW w:type="dxa" w:w="1824"/>
          </w:tcPr>
          <w:p>
            <w:r>
              <w:rPr>
                <w:rFonts w:ascii="Times New Roman" w:hAnsi="Times New Roman"/>
                <w:b w:val="0"/>
                <w:sz w:val="20"/>
              </w:rPr>
              <w:t>Développer une stratégie de déconcentration géographique ciblant les 10 départements sous-représentés, notamment les Collines, le Couffo, la Donga, l'Alibori et l'Atacora — en s'appuyant sur les antennes de l'ANPE et des campagnes de sensibilisation mobiles — avec pour objectif d'augmenter la part des insertions hors Littoral/Atlantique à au moins 25 % d'ici fin 2026 (contre 14,5 % au 30 septembre 2025).</w:t>
            </w:r>
          </w:p>
        </w:tc>
        <w:tc>
          <w:tcPr>
            <w:tcW w:type="dxa" w:w="1824"/>
          </w:tcPr>
          <w:p>
            <w:r>
              <w:rPr>
                <w:rFonts w:ascii="Times New Roman" w:hAnsi="Times New Roman"/>
                <w:b w:val="0"/>
                <w:sz w:val="20"/>
              </w:rPr>
              <w:t>Haute</w:t>
            </w:r>
          </w:p>
        </w:tc>
        <w:tc>
          <w:tcPr>
            <w:tcW w:type="dxa" w:w="1824"/>
          </w:tcPr>
          <w:p>
            <w:r>
              <w:rPr>
                <w:rFonts w:ascii="Times New Roman" w:hAnsi="Times New Roman"/>
                <w:b w:val="0"/>
                <w:sz w:val="20"/>
              </w:rPr>
              <w:t>Coordination PSIE / ANPE</w:t>
            </w:r>
          </w:p>
        </w:tc>
        <w:tc>
          <w:tcPr>
            <w:tcW w:type="dxa" w:w="1824"/>
          </w:tcPr>
          <w:p>
            <w:r>
              <w:rPr>
                <w:rFonts w:ascii="Times New Roman" w:hAnsi="Times New Roman"/>
                <w:b w:val="0"/>
                <w:sz w:val="20"/>
              </w:rPr>
              <w:t>Court terme (2026)</w:t>
            </w:r>
          </w:p>
        </w:tc>
      </w:tr>
      <w:tr>
        <w:tc>
          <w:tcPr>
            <w:tcW w:type="dxa" w:w="1824"/>
          </w:tcPr>
          <w:p>
            <w:r>
              <w:rPr>
                <w:rFonts w:ascii="Times New Roman" w:hAnsi="Times New Roman"/>
                <w:b w:val="0"/>
                <w:sz w:val="20"/>
              </w:rPr>
              <w:t>R6</w:t>
            </w:r>
          </w:p>
        </w:tc>
        <w:tc>
          <w:tcPr>
            <w:tcW w:type="dxa" w:w="1824"/>
          </w:tcPr>
          <w:p>
            <w:r>
              <w:rPr>
                <w:rFonts w:ascii="Times New Roman" w:hAnsi="Times New Roman"/>
                <w:b w:val="0"/>
                <w:sz w:val="20"/>
              </w:rPr>
              <w:t>Renforcer le dispositif de prospection dans les secteurs sous-représentés (TIC, hôtellerie-restauration-tourisme, énergies renouvelables) en établissant des partenariats ciblés avec les associations professionnelles de ces secteurs.</w:t>
            </w:r>
          </w:p>
        </w:tc>
        <w:tc>
          <w:tcPr>
            <w:tcW w:type="dxa" w:w="1824"/>
          </w:tcPr>
          <w:p>
            <w:r>
              <w:rPr>
                <w:rFonts w:ascii="Times New Roman" w:hAnsi="Times New Roman"/>
                <w:b w:val="0"/>
                <w:sz w:val="20"/>
              </w:rPr>
              <w:t>Haute</w:t>
            </w:r>
          </w:p>
        </w:tc>
        <w:tc>
          <w:tcPr>
            <w:tcW w:type="dxa" w:w="1824"/>
          </w:tcPr>
          <w:p>
            <w:r>
              <w:rPr>
                <w:rFonts w:ascii="Times New Roman" w:hAnsi="Times New Roman"/>
                <w:b w:val="0"/>
                <w:sz w:val="20"/>
              </w:rPr>
              <w:t>Coordination PSIE / ANPE</w:t>
            </w:r>
          </w:p>
        </w:tc>
        <w:tc>
          <w:tcPr>
            <w:tcW w:type="dxa" w:w="1824"/>
          </w:tcPr>
          <w:p>
            <w:r>
              <w:rPr>
                <w:rFonts w:ascii="Times New Roman" w:hAnsi="Times New Roman"/>
                <w:b w:val="0"/>
                <w:sz w:val="20"/>
              </w:rPr>
              <w:t>Court terme (2026)</w:t>
            </w:r>
          </w:p>
        </w:tc>
      </w:tr>
      <w:tr>
        <w:tc>
          <w:tcPr>
            <w:tcW w:type="dxa" w:w="1824"/>
          </w:tcPr>
          <w:p>
            <w:r>
              <w:rPr>
                <w:rFonts w:ascii="Times New Roman" w:hAnsi="Times New Roman"/>
                <w:b w:val="0"/>
                <w:sz w:val="20"/>
              </w:rPr>
              <w:t>R7</w:t>
            </w:r>
          </w:p>
        </w:tc>
        <w:tc>
          <w:tcPr>
            <w:tcW w:type="dxa" w:w="1824"/>
          </w:tcPr>
          <w:p>
            <w:r>
              <w:rPr>
                <w:rFonts w:ascii="Times New Roman" w:hAnsi="Times New Roman"/>
                <w:b w:val="0"/>
                <w:sz w:val="20"/>
              </w:rPr>
              <w:t>Formaliser et opérationnaliser le suivi des alumni (bénéficiaires post-programme à 6, 12 et 24 mois) pour renseigner les taux de rétention et alimenter une future évaluation d'impact.</w:t>
            </w:r>
          </w:p>
        </w:tc>
        <w:tc>
          <w:tcPr>
            <w:tcW w:type="dxa" w:w="1824"/>
          </w:tcPr>
          <w:p>
            <w:r>
              <w:rPr>
                <w:rFonts w:ascii="Times New Roman" w:hAnsi="Times New Roman"/>
                <w:b w:val="0"/>
                <w:sz w:val="20"/>
              </w:rPr>
              <w:t>Haute</w:t>
            </w:r>
          </w:p>
        </w:tc>
        <w:tc>
          <w:tcPr>
            <w:tcW w:type="dxa" w:w="1824"/>
          </w:tcPr>
          <w:p>
            <w:r>
              <w:rPr>
                <w:rFonts w:ascii="Times New Roman" w:hAnsi="Times New Roman"/>
                <w:b w:val="0"/>
                <w:sz w:val="20"/>
              </w:rPr>
              <w:t>Coordination PSIE / Spécialiste S-E</w:t>
            </w:r>
          </w:p>
        </w:tc>
        <w:tc>
          <w:tcPr>
            <w:tcW w:type="dxa" w:w="1824"/>
          </w:tcPr>
          <w:p>
            <w:r>
              <w:rPr>
                <w:rFonts w:ascii="Times New Roman" w:hAnsi="Times New Roman"/>
                <w:b w:val="0"/>
                <w:sz w:val="20"/>
              </w:rPr>
              <w:t>Court terme (2026)</w:t>
            </w:r>
          </w:p>
        </w:tc>
      </w:tr>
      <w:tr>
        <w:tc>
          <w:tcPr>
            <w:tcW w:type="dxa" w:w="1824"/>
          </w:tcPr>
          <w:p>
            <w:r>
              <w:rPr>
                <w:rFonts w:ascii="Times New Roman" w:hAnsi="Times New Roman"/>
                <w:b w:val="0"/>
                <w:sz w:val="20"/>
              </w:rPr>
              <w:t>R8</w:t>
            </w:r>
          </w:p>
        </w:tc>
        <w:tc>
          <w:tcPr>
            <w:tcW w:type="dxa" w:w="1824"/>
          </w:tcPr>
          <w:p>
            <w:r>
              <w:rPr>
                <w:rFonts w:ascii="Times New Roman" w:hAnsi="Times New Roman"/>
                <w:b w:val="0"/>
                <w:sz w:val="20"/>
              </w:rPr>
              <w:t>Renforcer les mécanismes de suivi et de sanction des entreprises ne respectant pas les clauses contractuelles (notamment les licenciements injustifiés pendant la période d'immersion).</w:t>
            </w:r>
          </w:p>
        </w:tc>
        <w:tc>
          <w:tcPr>
            <w:tcW w:type="dxa" w:w="1824"/>
          </w:tcPr>
          <w:p>
            <w:r>
              <w:rPr>
                <w:rFonts w:ascii="Times New Roman" w:hAnsi="Times New Roman"/>
                <w:b w:val="0"/>
                <w:sz w:val="20"/>
              </w:rPr>
              <w:t>Haute</w:t>
            </w:r>
          </w:p>
        </w:tc>
        <w:tc>
          <w:tcPr>
            <w:tcW w:type="dxa" w:w="1824"/>
          </w:tcPr>
          <w:p>
            <w:r>
              <w:rPr>
                <w:rFonts w:ascii="Times New Roman" w:hAnsi="Times New Roman"/>
                <w:b w:val="0"/>
                <w:sz w:val="20"/>
              </w:rPr>
              <w:t>Comité technique PSIE / ANPE</w:t>
            </w:r>
          </w:p>
        </w:tc>
        <w:tc>
          <w:tcPr>
            <w:tcW w:type="dxa" w:w="1824"/>
          </w:tcPr>
          <w:p>
            <w:r>
              <w:rPr>
                <w:rFonts w:ascii="Times New Roman" w:hAnsi="Times New Roman"/>
                <w:b w:val="0"/>
                <w:sz w:val="20"/>
              </w:rPr>
              <w:t>Court terme (2026)</w:t>
            </w:r>
          </w:p>
        </w:tc>
      </w:tr>
      <w:tr>
        <w:tc>
          <w:tcPr>
            <w:tcW w:type="dxa" w:w="1824"/>
          </w:tcPr>
          <w:p>
            <w:r>
              <w:rPr>
                <w:rFonts w:ascii="Times New Roman" w:hAnsi="Times New Roman"/>
                <w:b w:val="0"/>
                <w:sz w:val="20"/>
              </w:rPr>
              <w:t>R9</w:t>
            </w:r>
          </w:p>
        </w:tc>
        <w:tc>
          <w:tcPr>
            <w:tcW w:type="dxa" w:w="1824"/>
          </w:tcPr>
          <w:p>
            <w:r>
              <w:rPr>
                <w:rFonts w:ascii="Times New Roman" w:hAnsi="Times New Roman"/>
                <w:b w:val="0"/>
                <w:sz w:val="20"/>
              </w:rPr>
              <w:t>Mettre en place un système de collecte de la satisfaction des bénéficiaires et des entreprises (enquête annuelle) pour compléter le tableau de bord des indicateurs.</w:t>
            </w:r>
          </w:p>
        </w:tc>
        <w:tc>
          <w:tcPr>
            <w:tcW w:type="dxa" w:w="1824"/>
          </w:tcPr>
          <w:p>
            <w:r>
              <w:rPr>
                <w:rFonts w:ascii="Times New Roman" w:hAnsi="Times New Roman"/>
                <w:b w:val="0"/>
                <w:sz w:val="20"/>
              </w:rPr>
              <w:t>Moyenne</w:t>
            </w:r>
          </w:p>
        </w:tc>
        <w:tc>
          <w:tcPr>
            <w:tcW w:type="dxa" w:w="1824"/>
          </w:tcPr>
          <w:p>
            <w:r>
              <w:rPr>
                <w:rFonts w:ascii="Times New Roman" w:hAnsi="Times New Roman"/>
                <w:b w:val="0"/>
                <w:sz w:val="20"/>
              </w:rPr>
              <w:t>Spécialiste S-E / Coordination PSIE</w:t>
            </w:r>
          </w:p>
        </w:tc>
        <w:tc>
          <w:tcPr>
            <w:tcW w:type="dxa" w:w="1824"/>
          </w:tcPr>
          <w:p>
            <w:r>
              <w:rPr>
                <w:rFonts w:ascii="Times New Roman" w:hAnsi="Times New Roman"/>
                <w:b w:val="0"/>
                <w:sz w:val="20"/>
              </w:rPr>
              <w:t>Moyen terme</w:t>
            </w:r>
          </w:p>
        </w:tc>
      </w:tr>
    </w:tbl>
    <w:p/>
    <w:p/>
    <w:p>
      <w:pPr>
        <w:pStyle w:val="Heading2"/>
      </w:pPr>
      <w:r>
        <w:rPr>
          <w:rFonts w:ascii="Times New Roman" w:hAnsi="Times New Roman"/>
          <w:color w:val="003366"/>
          <w:sz w:val="28"/>
        </w:rPr>
        <w:t>8. LIMITES DE L'ÉVALUATION</w:t>
      </w:r>
    </w:p>
    <w:p>
      <w:pPr>
        <w:ind w:left="432"/>
      </w:pPr>
      <w:r>
        <w:rPr>
          <w:rFonts w:ascii="Times New Roman" w:hAnsi="Times New Roman"/>
          <w:sz w:val="24"/>
        </w:rPr>
      </w:r>
      <w:r>
        <w:rPr>
          <w:rFonts w:ascii="Times New Roman" w:hAnsi="Times New Roman"/>
          <w:b/>
          <w:sz w:val="24"/>
        </w:rPr>
        <w:t>Critères non couverts</w:t>
      </w:r>
      <w:r>
        <w:rPr>
          <w:rFonts w:ascii="Times New Roman" w:hAnsi="Times New Roman"/>
          <w:sz w:val="24"/>
        </w:rPr>
        <w:t xml:space="preserve"> : Efficience, effets/impacts, durabilité et genre seront évalués en Phase 2 lors de la collecte de données primaires.</w:t>
      </w:r>
    </w:p>
    <w:p>
      <w:pPr>
        <w:ind w:left="432"/>
      </w:pPr>
      <w:r>
        <w:rPr>
          <w:rFonts w:ascii="Times New Roman" w:hAnsi="Times New Roman"/>
          <w:sz w:val="24"/>
        </w:rPr>
      </w:r>
      <w:r>
        <w:rPr>
          <w:rFonts w:ascii="Times New Roman" w:hAnsi="Times New Roman"/>
          <w:b/>
          <w:sz w:val="24"/>
        </w:rPr>
        <w:t>Absence de données sur la rétention post-programme</w:t>
      </w:r>
      <w:r>
        <w:rPr>
          <w:rFonts w:ascii="Times New Roman" w:hAnsi="Times New Roman"/>
          <w:sz w:val="24"/>
        </w:rPr>
        <w:t xml:space="preserve"> : Le taux de maintien en emploi des allocataires après la période de 24 mois n'est pas documenté dans les sources disponibles.</w:t>
      </w:r>
    </w:p>
    <w:p>
      <w:pPr>
        <w:ind w:left="432"/>
      </w:pPr>
      <w:r>
        <w:rPr>
          <w:rFonts w:ascii="Times New Roman" w:hAnsi="Times New Roman"/>
          <w:sz w:val="24"/>
        </w:rPr>
      </w:r>
      <w:r>
        <w:rPr>
          <w:rFonts w:ascii="Times New Roman" w:hAnsi="Times New Roman"/>
          <w:b/>
          <w:sz w:val="24"/>
        </w:rPr>
        <w:t>Données statistiques</w:t>
      </w:r>
      <w:r>
        <w:rPr>
          <w:rFonts w:ascii="Times New Roman" w:hAnsi="Times New Roman"/>
          <w:sz w:val="24"/>
        </w:rPr>
        <w:t xml:space="preserve"> : Les données de diagnostic du marché du travail utilisées dans le Prodoc datent de 2015-2017 ; une actualisation est nécessaire pour les prochaines phases.</w:t>
      </w:r>
    </w:p>
    <w:p>
      <w:pPr>
        <w:ind w:left="432"/>
      </w:pPr>
      <w:r>
        <w:rPr>
          <w:rFonts w:ascii="Times New Roman" w:hAnsi="Times New Roman"/>
          <w:sz w:val="24"/>
        </w:rPr>
      </w:r>
      <w:r>
        <w:rPr>
          <w:rFonts w:ascii="Times New Roman" w:hAnsi="Times New Roman"/>
          <w:b/>
          <w:sz w:val="24"/>
        </w:rPr>
        <w:t>Biais de rapport</w:t>
      </w:r>
      <w:r>
        <w:rPr>
          <w:rFonts w:ascii="Times New Roman" w:hAnsi="Times New Roman"/>
          <w:sz w:val="24"/>
        </w:rPr>
        <w:t xml:space="preserve"> : Les rapports officiels tendent à mettre en avant les succès. Les données sur les abandons, les litiges et les non-conformités des entreprises sont limitées.</w:t>
      </w:r>
    </w:p>
    <w:p>
      <w:pPr>
        <w:ind w:left="432"/>
      </w:pPr>
      <w:r>
        <w:rPr>
          <w:rFonts w:ascii="Times New Roman" w:hAnsi="Times New Roman"/>
          <w:sz w:val="24"/>
        </w:rPr>
      </w:r>
      <w:r>
        <w:rPr>
          <w:rFonts w:ascii="Times New Roman" w:hAnsi="Times New Roman"/>
          <w:b/>
          <w:sz w:val="24"/>
        </w:rPr>
        <w:t>Absence d'entretiens</w:t>
      </w:r>
      <w:r>
        <w:rPr>
          <w:rFonts w:ascii="Times New Roman" w:hAnsi="Times New Roman"/>
          <w:sz w:val="24"/>
        </w:rPr>
        <w:t xml:space="preserve"> : Les constats reposent exclusivement sur les documents disponibles, sans recueil des perceptions des bénéficiaires, des entreprises ou des équipes de mise en œuvre.</w:t>
      </w:r>
    </w:p>
    <w:p/>
    <w:p>
      <w:pPr>
        <w:pStyle w:val="Heading2"/>
      </w:pPr>
      <w:r>
        <w:rPr>
          <w:rFonts w:ascii="Times New Roman" w:hAnsi="Times New Roman"/>
          <w:color w:val="003366"/>
          <w:sz w:val="28"/>
        </w:rPr>
        <w:t>9. ANNEXES</w:t>
      </w:r>
    </w:p>
    <w:p>
      <w:pPr>
        <w:pStyle w:val="Heading3"/>
      </w:pPr>
      <w:r>
        <w:rPr>
          <w:rFonts w:ascii="Times New Roman" w:hAnsi="Times New Roman"/>
          <w:color w:val="1F4E79"/>
          <w:sz w:val="26"/>
        </w:rPr>
        <w:t>Annexe 1 — Matrice d'évaluation complète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003366"/>
          </w:tcPr>
          <w:p>
            <w:r>
              <w:rPr>
                <w:rFonts w:ascii="Times New Roman" w:hAnsi="Times New Roman"/>
                <w:b/>
                <w:color w:val="FFFFFF"/>
                <w:sz w:val="20"/>
              </w:rPr>
              <w:t>Critère</w:t>
            </w:r>
          </w:p>
        </w:tc>
        <w:tc>
          <w:tcPr>
            <w:tcW w:type="dxa" w:w="1824"/>
            <w:shd w:val="clear" w:color="auto" w:fill="003366"/>
          </w:tcPr>
          <w:p>
            <w:r>
              <w:rPr>
                <w:rFonts w:ascii="Times New Roman" w:hAnsi="Times New Roman"/>
                <w:b/>
                <w:color w:val="FFFFFF"/>
                <w:sz w:val="20"/>
              </w:rPr>
              <w:t>Question évaluative</w:t>
            </w:r>
          </w:p>
        </w:tc>
        <w:tc>
          <w:tcPr>
            <w:tcW w:type="dxa" w:w="1824"/>
            <w:shd w:val="clear" w:color="auto" w:fill="003366"/>
          </w:tcPr>
          <w:p>
            <w:r>
              <w:rPr>
                <w:rFonts w:ascii="Times New Roman" w:hAnsi="Times New Roman"/>
                <w:b/>
                <w:color w:val="FFFFFF"/>
                <w:sz w:val="20"/>
              </w:rPr>
              <w:t>Éléments de preuve mobilisés</w:t>
            </w:r>
          </w:p>
        </w:tc>
        <w:tc>
          <w:tcPr>
            <w:tcW w:type="dxa" w:w="1824"/>
            <w:shd w:val="clear" w:color="auto" w:fill="003366"/>
          </w:tcPr>
          <w:p>
            <w:r>
              <w:rPr>
                <w:rFonts w:ascii="Times New Roman" w:hAnsi="Times New Roman"/>
                <w:b/>
                <w:color w:val="FFFFFF"/>
                <w:sz w:val="20"/>
              </w:rPr>
              <w:t>Source</w:t>
            </w:r>
          </w:p>
        </w:tc>
        <w:tc>
          <w:tcPr>
            <w:tcW w:type="dxa" w:w="1824"/>
            <w:shd w:val="clear" w:color="auto" w:fill="003366"/>
          </w:tcPr>
          <w:p>
            <w:r>
              <w:rPr>
                <w:rFonts w:ascii="Times New Roman" w:hAnsi="Times New Roman"/>
                <w:b/>
                <w:color w:val="FFFFFF"/>
                <w:sz w:val="20"/>
              </w:rPr>
              <w:t>Jugement</w:t>
            </w:r>
          </w:p>
        </w:tc>
      </w:tr>
      <w:tr>
        <w:tc>
          <w:tcPr>
            <w:tcW w:type="dxa" w:w="1824"/>
          </w:tcPr>
          <w:p>
            <w:r>
              <w:rPr>
                <w:rFonts w:ascii="Times New Roman" w:hAnsi="Times New Roman"/>
                <w:b w:val="0"/>
                <w:sz w:val="20"/>
              </w:rPr>
              <w:t>Pertinence</w:t>
            </w:r>
          </w:p>
        </w:tc>
        <w:tc>
          <w:tcPr>
            <w:tcW w:type="dxa" w:w="1824"/>
          </w:tcPr>
          <w:p>
            <w:r>
              <w:rPr>
                <w:rFonts w:ascii="Times New Roman" w:hAnsi="Times New Roman"/>
                <w:b w:val="0"/>
                <w:sz w:val="20"/>
              </w:rPr>
              <w:t>QE1.1 — Adéquation aux besoins</w:t>
            </w:r>
          </w:p>
        </w:tc>
        <w:tc>
          <w:tcPr>
            <w:tcW w:type="dxa" w:w="1824"/>
          </w:tcPr>
          <w:p>
            <w:r>
              <w:rPr>
                <w:rFonts w:ascii="Times New Roman" w:hAnsi="Times New Roman"/>
                <w:b w:val="0"/>
                <w:sz w:val="20"/>
              </w:rPr>
              <w:t>Taux de sous-emploi 72 % ; demande des entreprises ; profils ciblés alignés</w:t>
            </w:r>
          </w:p>
        </w:tc>
        <w:tc>
          <w:tcPr>
            <w:tcW w:type="dxa" w:w="1824"/>
          </w:tcPr>
          <w:p>
            <w:r>
              <w:rPr>
                <w:rFonts w:ascii="Times New Roman" w:hAnsi="Times New Roman"/>
                <w:b w:val="0"/>
                <w:sz w:val="20"/>
              </w:rPr>
              <w:t>Prodoc §2 ; INSAE 2017</w:t>
            </w:r>
          </w:p>
        </w:tc>
        <w:tc>
          <w:tcPr>
            <w:tcW w:type="dxa" w:w="1824"/>
          </w:tcPr>
          <w:p>
            <w:r>
              <w:rPr>
                <w:rFonts w:ascii="Times New Roman" w:hAnsi="Times New Roman"/>
                <w:b w:val="0"/>
                <w:sz w:val="20"/>
              </w:rPr>
              <w:t>Élevé</w:t>
            </w:r>
          </w:p>
        </w:tc>
      </w:tr>
      <w:tr>
        <w:tc>
          <w:tcPr>
            <w:tcW w:type="dxa" w:w="1824"/>
          </w:tcPr>
          <w:p>
            <w:r>
              <w:rPr>
                <w:rFonts w:ascii="Times New Roman" w:hAnsi="Times New Roman"/>
                <w:b w:val="0"/>
                <w:sz w:val="20"/>
              </w:rPr>
              <w:t>Pertinence</w:t>
            </w:r>
          </w:p>
        </w:tc>
        <w:tc>
          <w:tcPr>
            <w:tcW w:type="dxa" w:w="1824"/>
          </w:tcPr>
          <w:p>
            <w:r>
              <w:rPr>
                <w:rFonts w:ascii="Times New Roman" w:hAnsi="Times New Roman"/>
                <w:b w:val="0"/>
                <w:sz w:val="20"/>
              </w:rPr>
              <w:t>QE1.2 — Alignement priorités nationales</w:t>
            </w:r>
          </w:p>
        </w:tc>
        <w:tc>
          <w:tcPr>
            <w:tcW w:type="dxa" w:w="1824"/>
          </w:tcPr>
          <w:p>
            <w:r>
              <w:rPr>
                <w:rFonts w:ascii="Times New Roman" w:hAnsi="Times New Roman"/>
                <w:b w:val="0"/>
                <w:sz w:val="20"/>
              </w:rPr>
              <w:t>Ancrage PAG 2016-2021 ; initiative présidentielle ; PNE 2017-2026</w:t>
            </w:r>
          </w:p>
        </w:tc>
        <w:tc>
          <w:tcPr>
            <w:tcW w:type="dxa" w:w="1824"/>
          </w:tcPr>
          <w:p>
            <w:r>
              <w:rPr>
                <w:rFonts w:ascii="Times New Roman" w:hAnsi="Times New Roman"/>
                <w:b w:val="0"/>
                <w:sz w:val="20"/>
              </w:rPr>
              <w:t>Prodoc §1 ; Rapport MO (conclusion)</w:t>
            </w:r>
          </w:p>
        </w:tc>
        <w:tc>
          <w:tcPr>
            <w:tcW w:type="dxa" w:w="1824"/>
          </w:tcPr>
          <w:p>
            <w:r>
              <w:rPr>
                <w:rFonts w:ascii="Times New Roman" w:hAnsi="Times New Roman"/>
                <w:b w:val="0"/>
                <w:sz w:val="20"/>
              </w:rPr>
              <w:t>Élevé</w:t>
            </w:r>
          </w:p>
        </w:tc>
      </w:tr>
      <w:tr>
        <w:tc>
          <w:tcPr>
            <w:tcW w:type="dxa" w:w="1824"/>
          </w:tcPr>
          <w:p>
            <w:r>
              <w:rPr>
                <w:rFonts w:ascii="Times New Roman" w:hAnsi="Times New Roman"/>
                <w:b w:val="0"/>
                <w:sz w:val="20"/>
              </w:rPr>
              <w:t>Pertinence</w:t>
            </w:r>
          </w:p>
        </w:tc>
        <w:tc>
          <w:tcPr>
            <w:tcW w:type="dxa" w:w="1824"/>
          </w:tcPr>
          <w:p>
            <w:r>
              <w:rPr>
                <w:rFonts w:ascii="Times New Roman" w:hAnsi="Times New Roman"/>
                <w:b w:val="0"/>
                <w:sz w:val="20"/>
              </w:rPr>
              <w:t>QE1.3 — Diagnostic pertinent et actuel</w:t>
            </w:r>
          </w:p>
        </w:tc>
        <w:tc>
          <w:tcPr>
            <w:tcW w:type="dxa" w:w="1824"/>
          </w:tcPr>
          <w:p>
            <w:r>
              <w:rPr>
                <w:rFonts w:ascii="Times New Roman" w:hAnsi="Times New Roman"/>
                <w:b w:val="0"/>
                <w:sz w:val="20"/>
              </w:rPr>
              <w:t>Modèle centré entreprises ; mécanisme tiers-payant ; prolongation 2025</w:t>
            </w:r>
          </w:p>
        </w:tc>
        <w:tc>
          <w:tcPr>
            <w:tcW w:type="dxa" w:w="1824"/>
          </w:tcPr>
          <w:p>
            <w:r>
              <w:rPr>
                <w:rFonts w:ascii="Times New Roman" w:hAnsi="Times New Roman"/>
                <w:b w:val="0"/>
                <w:sz w:val="20"/>
              </w:rPr>
              <w:t>Prodoc §3 ; Rapport MO (conclusion)</w:t>
            </w:r>
          </w:p>
        </w:tc>
        <w:tc>
          <w:tcPr>
            <w:tcW w:type="dxa" w:w="1824"/>
          </w:tcPr>
          <w:p>
            <w:r>
              <w:rPr>
                <w:rFonts w:ascii="Times New Roman" w:hAnsi="Times New Roman"/>
                <w:b w:val="0"/>
                <w:sz w:val="20"/>
              </w:rPr>
              <w:t>Élevé</w:t>
            </w:r>
          </w:p>
        </w:tc>
      </w:tr>
      <w:tr>
        <w:tc>
          <w:tcPr>
            <w:tcW w:type="dxa" w:w="1824"/>
          </w:tcPr>
          <w:p>
            <w:r>
              <w:rPr>
                <w:rFonts w:ascii="Times New Roman" w:hAnsi="Times New Roman"/>
                <w:b w:val="0"/>
                <w:sz w:val="20"/>
              </w:rPr>
              <w:t>Cohérence</w:t>
            </w:r>
          </w:p>
        </w:tc>
        <w:tc>
          <w:tcPr>
            <w:tcW w:type="dxa" w:w="1824"/>
          </w:tcPr>
          <w:p>
            <w:r>
              <w:rPr>
                <w:rFonts w:ascii="Times New Roman" w:hAnsi="Times New Roman"/>
                <w:b w:val="0"/>
                <w:sz w:val="20"/>
              </w:rPr>
              <w:t>QE2.1 — Logique interne</w:t>
            </w:r>
          </w:p>
        </w:tc>
        <w:tc>
          <w:tcPr>
            <w:tcW w:type="dxa" w:w="1824"/>
          </w:tcPr>
          <w:p>
            <w:r>
              <w:rPr>
                <w:rFonts w:ascii="Times New Roman" w:hAnsi="Times New Roman"/>
                <w:b w:val="0"/>
                <w:sz w:val="20"/>
              </w:rPr>
              <w:t>Cadre logique R1→OS1, R2→OS2 ; hypothèses explicitées ; budget cohérent</w:t>
            </w:r>
          </w:p>
        </w:tc>
        <w:tc>
          <w:tcPr>
            <w:tcW w:type="dxa" w:w="1824"/>
          </w:tcPr>
          <w:p>
            <w:r>
              <w:rPr>
                <w:rFonts w:ascii="Times New Roman" w:hAnsi="Times New Roman"/>
                <w:b w:val="0"/>
                <w:sz w:val="20"/>
              </w:rPr>
              <w:t>Cadre Logique ; Prodoc §9</w:t>
            </w:r>
          </w:p>
        </w:tc>
        <w:tc>
          <w:tcPr>
            <w:tcW w:type="dxa" w:w="1824"/>
          </w:tcPr>
          <w:p>
            <w:r>
              <w:rPr>
                <w:rFonts w:ascii="Times New Roman" w:hAnsi="Times New Roman"/>
                <w:b w:val="0"/>
                <w:sz w:val="20"/>
              </w:rPr>
              <w:t>Élevé</w:t>
            </w:r>
          </w:p>
        </w:tc>
      </w:tr>
      <w:tr>
        <w:tc>
          <w:tcPr>
            <w:tcW w:type="dxa" w:w="1824"/>
          </w:tcPr>
          <w:p>
            <w:r>
              <w:rPr>
                <w:rFonts w:ascii="Times New Roman" w:hAnsi="Times New Roman"/>
                <w:b w:val="0"/>
                <w:sz w:val="20"/>
              </w:rPr>
              <w:t>Cohérence</w:t>
            </w:r>
          </w:p>
        </w:tc>
        <w:tc>
          <w:tcPr>
            <w:tcW w:type="dxa" w:w="1824"/>
          </w:tcPr>
          <w:p>
            <w:r>
              <w:rPr>
                <w:rFonts w:ascii="Times New Roman" w:hAnsi="Times New Roman"/>
                <w:b w:val="0"/>
                <w:sz w:val="20"/>
              </w:rPr>
              <w:t>QE2.2 — Cohérence avec PAG/PNE</w:t>
            </w:r>
          </w:p>
        </w:tc>
        <w:tc>
          <w:tcPr>
            <w:tcW w:type="dxa" w:w="1824"/>
          </w:tcPr>
          <w:p>
            <w:r>
              <w:rPr>
                <w:rFonts w:ascii="Times New Roman" w:hAnsi="Times New Roman"/>
                <w:b w:val="0"/>
                <w:sz w:val="20"/>
              </w:rPr>
              <w:t>Ancrage PAG explicite ; ANPE comme agence d'exécution (cohérence institutionnelle)</w:t>
            </w:r>
          </w:p>
        </w:tc>
        <w:tc>
          <w:tcPr>
            <w:tcW w:type="dxa" w:w="1824"/>
          </w:tcPr>
          <w:p>
            <w:r>
              <w:rPr>
                <w:rFonts w:ascii="Times New Roman" w:hAnsi="Times New Roman"/>
                <w:b w:val="0"/>
                <w:sz w:val="20"/>
              </w:rPr>
              <w:t>Prodoc §1, §8</w:t>
            </w:r>
          </w:p>
        </w:tc>
        <w:tc>
          <w:tcPr>
            <w:tcW w:type="dxa" w:w="1824"/>
          </w:tcPr>
          <w:p>
            <w:r>
              <w:rPr>
                <w:rFonts w:ascii="Times New Roman" w:hAnsi="Times New Roman"/>
                <w:b w:val="0"/>
                <w:sz w:val="20"/>
              </w:rPr>
              <w:t>Élevé</w:t>
            </w:r>
          </w:p>
        </w:tc>
      </w:tr>
      <w:tr>
        <w:tc>
          <w:tcPr>
            <w:tcW w:type="dxa" w:w="1824"/>
          </w:tcPr>
          <w:p>
            <w:r>
              <w:rPr>
                <w:rFonts w:ascii="Times New Roman" w:hAnsi="Times New Roman"/>
                <w:b w:val="0"/>
                <w:sz w:val="20"/>
              </w:rPr>
              <w:t>Cohérence</w:t>
            </w:r>
          </w:p>
        </w:tc>
        <w:tc>
          <w:tcPr>
            <w:tcW w:type="dxa" w:w="1824"/>
          </w:tcPr>
          <w:p>
            <w:r>
              <w:rPr>
                <w:rFonts w:ascii="Times New Roman" w:hAnsi="Times New Roman"/>
                <w:b w:val="0"/>
                <w:sz w:val="20"/>
              </w:rPr>
              <w:t>QE2.3 — Chevauchements</w:t>
            </w:r>
          </w:p>
        </w:tc>
        <w:tc>
          <w:tcPr>
            <w:tcW w:type="dxa" w:w="1824"/>
          </w:tcPr>
          <w:p>
            <w:r>
              <w:rPr>
                <w:rFonts w:ascii="Times New Roman" w:hAnsi="Times New Roman"/>
                <w:b w:val="0"/>
                <w:sz w:val="20"/>
              </w:rPr>
              <w:t>Intégration PTA ANPE ; pas de doublon documenté ; précédent PAES assumé</w:t>
            </w:r>
          </w:p>
        </w:tc>
        <w:tc>
          <w:tcPr>
            <w:tcW w:type="dxa" w:w="1824"/>
          </w:tcPr>
          <w:p>
            <w:r>
              <w:rPr>
                <w:rFonts w:ascii="Times New Roman" w:hAnsi="Times New Roman"/>
                <w:b w:val="0"/>
                <w:sz w:val="20"/>
              </w:rPr>
              <w:t>Prodoc §8 ; Rapport MO</w:t>
            </w:r>
          </w:p>
        </w:tc>
        <w:tc>
          <w:tcPr>
            <w:tcW w:type="dxa" w:w="1824"/>
          </w:tcPr>
          <w:p>
            <w:r>
              <w:rPr>
                <w:rFonts w:ascii="Times New Roman" w:hAnsi="Times New Roman"/>
                <w:b w:val="0"/>
                <w:sz w:val="20"/>
              </w:rPr>
              <w:t>Élevé</w:t>
            </w:r>
          </w:p>
        </w:tc>
      </w:tr>
      <w:tr>
        <w:tc>
          <w:tcPr>
            <w:tcW w:type="dxa" w:w="1824"/>
          </w:tcPr>
          <w:p>
            <w:r>
              <w:rPr>
                <w:rFonts w:ascii="Times New Roman" w:hAnsi="Times New Roman"/>
                <w:b w:val="0"/>
                <w:sz w:val="20"/>
              </w:rPr>
              <w:t>Efficacité</w:t>
            </w:r>
          </w:p>
        </w:tc>
        <w:tc>
          <w:tcPr>
            <w:tcW w:type="dxa" w:w="1824"/>
          </w:tcPr>
          <w:p>
            <w:r>
              <w:rPr>
                <w:rFonts w:ascii="Times New Roman" w:hAnsi="Times New Roman"/>
                <w:b w:val="0"/>
                <w:sz w:val="20"/>
              </w:rPr>
              <w:t>QE3.1 — Atteinte objectifs insertions</w:t>
            </w:r>
          </w:p>
        </w:tc>
        <w:tc>
          <w:tcPr>
            <w:tcW w:type="dxa" w:w="1824"/>
          </w:tcPr>
          <w:p>
            <w:r>
              <w:rPr>
                <w:rFonts w:ascii="Times New Roman" w:hAnsi="Times New Roman"/>
                <w:b w:val="0"/>
                <w:sz w:val="20"/>
              </w:rPr>
              <w:t>9 263 insertions (juillet 2020 – sept. 2025) ; dépassement cible initiale 8 000</w:t>
            </w:r>
          </w:p>
        </w:tc>
        <w:tc>
          <w:tcPr>
            <w:tcW w:type="dxa" w:w="1824"/>
          </w:tcPr>
          <w:p>
            <w:r>
              <w:rPr>
                <w:rFonts w:ascii="Times New Roman" w:hAnsi="Times New Roman"/>
                <w:b w:val="0"/>
                <w:sz w:val="20"/>
              </w:rPr>
              <w:t>Rapport MO Tableau 2</w:t>
            </w:r>
          </w:p>
        </w:tc>
        <w:tc>
          <w:tcPr>
            <w:tcW w:type="dxa" w:w="1824"/>
          </w:tcPr>
          <w:p>
            <w:r>
              <w:rPr>
                <w:rFonts w:ascii="Times New Roman" w:hAnsi="Times New Roman"/>
                <w:b w:val="0"/>
                <w:sz w:val="20"/>
              </w:rPr>
              <w:t>Élevé</w:t>
            </w:r>
          </w:p>
        </w:tc>
      </w:tr>
      <w:tr>
        <w:tc>
          <w:tcPr>
            <w:tcW w:type="dxa" w:w="1824"/>
          </w:tcPr>
          <w:p>
            <w:r>
              <w:rPr>
                <w:rFonts w:ascii="Times New Roman" w:hAnsi="Times New Roman"/>
                <w:b w:val="0"/>
                <w:sz w:val="20"/>
              </w:rPr>
              <w:t>Efficacité</w:t>
            </w:r>
          </w:p>
        </w:tc>
        <w:tc>
          <w:tcPr>
            <w:tcW w:type="dxa" w:w="1824"/>
          </w:tcPr>
          <w:p>
            <w:r>
              <w:rPr>
                <w:rFonts w:ascii="Times New Roman" w:hAnsi="Times New Roman"/>
                <w:b w:val="0"/>
                <w:sz w:val="20"/>
              </w:rPr>
              <w:t>QE3.2 — Atteinte des extrants 2025</w:t>
            </w:r>
          </w:p>
        </w:tc>
        <w:tc>
          <w:tcPr>
            <w:tcW w:type="dxa" w:w="1824"/>
          </w:tcPr>
          <w:p>
            <w:r>
              <w:rPr>
                <w:rFonts w:ascii="Times New Roman" w:hAnsi="Times New Roman"/>
                <w:b w:val="0"/>
                <w:sz w:val="20"/>
              </w:rPr>
              <w:t>111,8 % entreprises ; 85,3 % insertions ; 87,7 % postes publiés</w:t>
            </w:r>
          </w:p>
        </w:tc>
        <w:tc>
          <w:tcPr>
            <w:tcW w:type="dxa" w:w="1824"/>
          </w:tcPr>
          <w:p>
            <w:r>
              <w:rPr>
                <w:rFonts w:ascii="Times New Roman" w:hAnsi="Times New Roman"/>
                <w:b w:val="0"/>
                <w:sz w:val="20"/>
              </w:rPr>
              <w:t>Rapport MO Tableau 1</w:t>
            </w:r>
          </w:p>
        </w:tc>
        <w:tc>
          <w:tcPr>
            <w:tcW w:type="dxa" w:w="1824"/>
          </w:tcPr>
          <w:p>
            <w:r>
              <w:rPr>
                <w:rFonts w:ascii="Times New Roman" w:hAnsi="Times New Roman"/>
                <w:b w:val="0"/>
                <w:sz w:val="20"/>
              </w:rPr>
              <w:t>Moyen à élevé</w:t>
            </w:r>
          </w:p>
        </w:tc>
      </w:tr>
      <w:tr>
        <w:tc>
          <w:tcPr>
            <w:tcW w:type="dxa" w:w="1824"/>
          </w:tcPr>
          <w:p>
            <w:r>
              <w:rPr>
                <w:rFonts w:ascii="Times New Roman" w:hAnsi="Times New Roman"/>
                <w:b w:val="0"/>
                <w:sz w:val="20"/>
              </w:rPr>
              <w:t>Efficacité</w:t>
            </w:r>
          </w:p>
        </w:tc>
        <w:tc>
          <w:tcPr>
            <w:tcW w:type="dxa" w:w="1824"/>
          </w:tcPr>
          <w:p>
            <w:r>
              <w:rPr>
                <w:rFonts w:ascii="Times New Roman" w:hAnsi="Times New Roman"/>
                <w:b w:val="0"/>
                <w:sz w:val="20"/>
              </w:rPr>
              <w:t>QE3.3 — Facteurs d'influence</w:t>
            </w:r>
          </w:p>
        </w:tc>
        <w:tc>
          <w:tcPr>
            <w:tcW w:type="dxa" w:w="1824"/>
          </w:tcPr>
          <w:p>
            <w:r>
              <w:rPr>
                <w:rFonts w:ascii="Times New Roman" w:hAnsi="Times New Roman"/>
                <w:b w:val="0"/>
                <w:sz w:val="20"/>
              </w:rPr>
              <w:t>GDIZ, réseaux sociaux, CCIB (+) ; concentration géographique, TIC/hôtellerie, abandon (-)</w:t>
            </w:r>
          </w:p>
        </w:tc>
        <w:tc>
          <w:tcPr>
            <w:tcW w:type="dxa" w:w="1824"/>
          </w:tcPr>
          <w:p>
            <w:r>
              <w:rPr>
                <w:rFonts w:ascii="Times New Roman" w:hAnsi="Times New Roman"/>
                <w:b w:val="0"/>
                <w:sz w:val="20"/>
              </w:rPr>
              <w:t>Rapport MO (difficultés)</w:t>
            </w:r>
          </w:p>
        </w:tc>
        <w:tc>
          <w:tcPr>
            <w:tcW w:type="dxa" w:w="1824"/>
          </w:tcPr>
          <w:p>
            <w:r>
              <w:rPr>
                <w:rFonts w:ascii="Times New Roman" w:hAnsi="Times New Roman"/>
                <w:b w:val="0"/>
                <w:sz w:val="20"/>
              </w:rPr>
              <w:t>Mixte</w:t>
            </w:r>
          </w:p>
        </w:tc>
      </w:tr>
      <w:tr>
        <w:tc>
          <w:tcPr>
            <w:tcW w:type="dxa" w:w="1824"/>
          </w:tcPr>
          <w:p>
            <w:r>
              <w:rPr>
                <w:rFonts w:ascii="Times New Roman" w:hAnsi="Times New Roman"/>
                <w:b w:val="0"/>
                <w:sz w:val="20"/>
              </w:rPr>
              <w:t>Efficacité</w:t>
            </w:r>
          </w:p>
        </w:tc>
        <w:tc>
          <w:tcPr>
            <w:tcW w:type="dxa" w:w="1824"/>
          </w:tcPr>
          <w:p>
            <w:r>
              <w:rPr>
                <w:rFonts w:ascii="Times New Roman" w:hAnsi="Times New Roman"/>
                <w:b w:val="0"/>
                <w:sz w:val="20"/>
              </w:rPr>
              <w:t>QE3.4 — Qualité S-E</w:t>
            </w:r>
          </w:p>
        </w:tc>
        <w:tc>
          <w:tcPr>
            <w:tcW w:type="dxa" w:w="1824"/>
          </w:tcPr>
          <w:p>
            <w:r>
              <w:rPr>
                <w:rFonts w:ascii="Times New Roman" w:hAnsi="Times New Roman"/>
                <w:b w:val="0"/>
                <w:sz w:val="20"/>
              </w:rPr>
              <w:t>Plateforme, tableaux de bord, rapports ; mais absence données rétention post-programme</w:t>
            </w:r>
          </w:p>
        </w:tc>
        <w:tc>
          <w:tcPr>
            <w:tcW w:type="dxa" w:w="1824"/>
          </w:tcPr>
          <w:p>
            <w:r>
              <w:rPr>
                <w:rFonts w:ascii="Times New Roman" w:hAnsi="Times New Roman"/>
                <w:b w:val="0"/>
                <w:sz w:val="20"/>
              </w:rPr>
              <w:t>Prodoc §7 ; Rapport MO</w:t>
            </w:r>
          </w:p>
        </w:tc>
        <w:tc>
          <w:tcPr>
            <w:tcW w:type="dxa" w:w="1824"/>
          </w:tcPr>
          <w:p>
            <w:r>
              <w:rPr>
                <w:rFonts w:ascii="Times New Roman" w:hAnsi="Times New Roman"/>
                <w:b w:val="0"/>
                <w:sz w:val="20"/>
              </w:rPr>
              <w:t>Moyen</w:t>
            </w:r>
          </w:p>
        </w:tc>
      </w:tr>
    </w:tbl>
    <w:p/>
    <w:p>
      <w:pPr>
        <w:pStyle w:val="Heading3"/>
      </w:pPr>
      <w:r>
        <w:rPr>
          <w:rFonts w:ascii="Times New Roman" w:hAnsi="Times New Roman"/>
          <w:color w:val="1F4E79"/>
          <w:sz w:val="26"/>
        </w:rPr>
        <w:t>Annexe 2 — Liste des documents consultés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shd w:val="clear" w:color="auto" w:fill="003366"/>
          </w:tcPr>
          <w:p>
            <w:r>
              <w:rPr>
                <w:rFonts w:ascii="Times New Roman" w:hAnsi="Times New Roman"/>
                <w:b/>
                <w:color w:val="FFFFFF"/>
                <w:sz w:val="20"/>
              </w:rPr>
              <w:t>N°</w:t>
            </w:r>
          </w:p>
        </w:tc>
        <w:tc>
          <w:tcPr>
            <w:tcW w:type="dxa" w:w="1520"/>
            <w:shd w:val="clear" w:color="auto" w:fill="003366"/>
          </w:tcPr>
          <w:p>
            <w:r>
              <w:rPr>
                <w:rFonts w:ascii="Times New Roman" w:hAnsi="Times New Roman"/>
                <w:b/>
                <w:color w:val="FFFFFF"/>
                <w:sz w:val="20"/>
              </w:rPr>
              <w:t>Intitulé du document</w:t>
            </w:r>
          </w:p>
        </w:tc>
        <w:tc>
          <w:tcPr>
            <w:tcW w:type="dxa" w:w="1520"/>
            <w:shd w:val="clear" w:color="auto" w:fill="003366"/>
          </w:tcPr>
          <w:p>
            <w:r>
              <w:rPr>
                <w:rFonts w:ascii="Times New Roman" w:hAnsi="Times New Roman"/>
                <w:b/>
                <w:color w:val="FFFFFF"/>
                <w:sz w:val="20"/>
              </w:rPr>
              <w:t>Type</w:t>
            </w:r>
          </w:p>
        </w:tc>
        <w:tc>
          <w:tcPr>
            <w:tcW w:type="dxa" w:w="1520"/>
            <w:shd w:val="clear" w:color="auto" w:fill="003366"/>
          </w:tcPr>
          <w:p>
            <w:r>
              <w:rPr>
                <w:rFonts w:ascii="Times New Roman" w:hAnsi="Times New Roman"/>
                <w:b/>
                <w:color w:val="FFFFFF"/>
                <w:sz w:val="20"/>
              </w:rPr>
              <w:t>Auteur/Institution</w:t>
            </w:r>
          </w:p>
        </w:tc>
        <w:tc>
          <w:tcPr>
            <w:tcW w:type="dxa" w:w="1520"/>
            <w:shd w:val="clear" w:color="auto" w:fill="003366"/>
          </w:tcPr>
          <w:p>
            <w:r>
              <w:rPr>
                <w:rFonts w:ascii="Times New Roman" w:hAnsi="Times New Roman"/>
                <w:b/>
                <w:color w:val="FFFFFF"/>
                <w:sz w:val="20"/>
              </w:rPr>
              <w:t>Date</w:t>
            </w:r>
          </w:p>
        </w:tc>
        <w:tc>
          <w:tcPr>
            <w:tcW w:type="dxa" w:w="1520"/>
            <w:shd w:val="clear" w:color="auto" w:fill="003366"/>
          </w:tcPr>
          <w:p>
            <w:r>
              <w:rPr>
                <w:rFonts w:ascii="Times New Roman" w:hAnsi="Times New Roman"/>
                <w:b/>
                <w:color w:val="FFFFFF"/>
                <w:sz w:val="20"/>
              </w:rPr>
              <w:t>Dossier</w:t>
            </w:r>
          </w:p>
        </w:tc>
      </w:tr>
      <w:tr>
        <w:tc>
          <w:tcPr>
            <w:tcW w:type="dxa" w:w="1520"/>
          </w:tcPr>
          <w:p>
            <w:r>
              <w:rPr>
                <w:rFonts w:ascii="Times New Roman" w:hAnsi="Times New Roman"/>
                <w:b w:val="0"/>
                <w:sz w:val="20"/>
              </w:rPr>
              <w:t>1</w:t>
            </w:r>
          </w:p>
        </w:tc>
        <w:tc>
          <w:tcPr>
            <w:tcW w:type="dxa" w:w="1520"/>
          </w:tcPr>
          <w:p>
            <w:r>
              <w:rPr>
                <w:rFonts w:ascii="Times New Roman" w:hAnsi="Times New Roman"/>
                <w:b w:val="0"/>
                <w:sz w:val="20"/>
              </w:rPr>
              <w:t>Prodoc PSIE-BéninF (revu) 03.04.20.pdf</w:t>
            </w:r>
          </w:p>
        </w:tc>
        <w:tc>
          <w:tcPr>
            <w:tcW w:type="dxa" w:w="1520"/>
          </w:tcPr>
          <w:p>
            <w:r>
              <w:rPr>
                <w:rFonts w:ascii="Times New Roman" w:hAnsi="Times New Roman"/>
                <w:b w:val="0"/>
                <w:sz w:val="20"/>
              </w:rPr>
              <w:t>Document de programme</w:t>
            </w:r>
          </w:p>
        </w:tc>
        <w:tc>
          <w:tcPr>
            <w:tcW w:type="dxa" w:w="1520"/>
          </w:tcPr>
          <w:p>
            <w:r>
              <w:rPr>
                <w:rFonts w:ascii="Times New Roman" w:hAnsi="Times New Roman"/>
                <w:b w:val="0"/>
                <w:sz w:val="20"/>
              </w:rPr>
              <w:t>Gouvernement du Bénin / Présidence</w:t>
            </w:r>
          </w:p>
        </w:tc>
        <w:tc>
          <w:tcPr>
            <w:tcW w:type="dxa" w:w="1520"/>
          </w:tcPr>
          <w:p>
            <w:r>
              <w:rPr>
                <w:rFonts w:ascii="Times New Roman" w:hAnsi="Times New Roman"/>
                <w:b w:val="0"/>
                <w:sz w:val="20"/>
              </w:rPr>
              <w:t>Mars 2020</w:t>
            </w:r>
          </w:p>
        </w:tc>
        <w:tc>
          <w:tcPr>
            <w:tcW w:type="dxa" w:w="1520"/>
          </w:tcPr>
          <w:p>
            <w:r>
              <w:rPr>
                <w:rFonts w:ascii="Times New Roman" w:hAnsi="Times New Roman"/>
                <w:b w:val="0"/>
                <w:sz w:val="20"/>
              </w:rPr>
              <w:t>`docs/psie/01_document_projet/`</w:t>
            </w:r>
          </w:p>
        </w:tc>
      </w:tr>
      <w:tr>
        <w:tc>
          <w:tcPr>
            <w:tcW w:type="dxa" w:w="1520"/>
          </w:tcPr>
          <w:p>
            <w:r>
              <w:rPr>
                <w:rFonts w:ascii="Times New Roman" w:hAnsi="Times New Roman"/>
                <w:b w:val="0"/>
                <w:sz w:val="20"/>
              </w:rPr>
              <w:t>2</w:t>
            </w:r>
          </w:p>
        </w:tc>
        <w:tc>
          <w:tcPr>
            <w:tcW w:type="dxa" w:w="1520"/>
          </w:tcPr>
          <w:p>
            <w:r>
              <w:rPr>
                <w:rFonts w:ascii="Times New Roman" w:hAnsi="Times New Roman"/>
                <w:b w:val="0"/>
                <w:sz w:val="20"/>
              </w:rPr>
              <w:t>Cadre Logique PSIE.pdf</w:t>
            </w:r>
          </w:p>
        </w:tc>
        <w:tc>
          <w:tcPr>
            <w:tcW w:type="dxa" w:w="1520"/>
          </w:tcPr>
          <w:p>
            <w:r>
              <w:rPr>
                <w:rFonts w:ascii="Times New Roman" w:hAnsi="Times New Roman"/>
                <w:b w:val="0"/>
                <w:sz w:val="20"/>
              </w:rPr>
              <w:t>Cadre de résultats</w:t>
            </w:r>
          </w:p>
        </w:tc>
        <w:tc>
          <w:tcPr>
            <w:tcW w:type="dxa" w:w="1520"/>
          </w:tcPr>
          <w:p>
            <w:r>
              <w:rPr>
                <w:rFonts w:ascii="Times New Roman" w:hAnsi="Times New Roman"/>
                <w:b w:val="0"/>
                <w:sz w:val="20"/>
              </w:rPr>
              <w:t>Coordination PSIE / ANPE</w:t>
            </w:r>
          </w:p>
        </w:tc>
        <w:tc>
          <w:tcPr>
            <w:tcW w:type="dxa" w:w="1520"/>
          </w:tcPr>
          <w:p>
            <w:r>
              <w:rPr>
                <w:rFonts w:ascii="Times New Roman" w:hAnsi="Times New Roman"/>
                <w:b w:val="0"/>
                <w:sz w:val="20"/>
              </w:rPr>
              <w:t>2020</w:t>
            </w:r>
          </w:p>
        </w:tc>
        <w:tc>
          <w:tcPr>
            <w:tcW w:type="dxa" w:w="1520"/>
          </w:tcPr>
          <w:p>
            <w:r>
              <w:rPr>
                <w:rFonts w:ascii="Times New Roman" w:hAnsi="Times New Roman"/>
                <w:b w:val="0"/>
                <w:sz w:val="20"/>
              </w:rPr>
              <w:t>`docs/psie/03_cadre_logique/`</w:t>
            </w:r>
          </w:p>
        </w:tc>
      </w:tr>
      <w:tr>
        <w:tc>
          <w:tcPr>
            <w:tcW w:type="dxa" w:w="1520"/>
          </w:tcPr>
          <w:p>
            <w:r>
              <w:rPr>
                <w:rFonts w:ascii="Times New Roman" w:hAnsi="Times New Roman"/>
                <w:b w:val="0"/>
                <w:sz w:val="20"/>
              </w:rPr>
              <w:t>3</w:t>
            </w:r>
          </w:p>
        </w:tc>
        <w:tc>
          <w:tcPr>
            <w:tcW w:type="dxa" w:w="1520"/>
          </w:tcPr>
          <w:p>
            <w:r>
              <w:rPr>
                <w:rFonts w:ascii="Times New Roman" w:hAnsi="Times New Roman"/>
                <w:b w:val="0"/>
                <w:sz w:val="20"/>
              </w:rPr>
              <w:t>Rapport actualisé de mise en œuvre du PSIE juil. 2020 – sept. 2025</w:t>
            </w:r>
          </w:p>
        </w:tc>
        <w:tc>
          <w:tcPr>
            <w:tcW w:type="dxa" w:w="1520"/>
          </w:tcPr>
          <w:p>
            <w:r>
              <w:rPr>
                <w:rFonts w:ascii="Times New Roman" w:hAnsi="Times New Roman"/>
                <w:b w:val="0"/>
                <w:sz w:val="20"/>
              </w:rPr>
              <w:t>Rapport d'activités</w:t>
            </w:r>
          </w:p>
        </w:tc>
        <w:tc>
          <w:tcPr>
            <w:tcW w:type="dxa" w:w="1520"/>
          </w:tcPr>
          <w:p>
            <w:r>
              <w:rPr>
                <w:rFonts w:ascii="Times New Roman" w:hAnsi="Times New Roman"/>
                <w:b w:val="0"/>
                <w:sz w:val="20"/>
              </w:rPr>
              <w:t>Coordination PSIE / ANPE</w:t>
            </w:r>
          </w:p>
        </w:tc>
        <w:tc>
          <w:tcPr>
            <w:tcW w:type="dxa" w:w="1520"/>
          </w:tcPr>
          <w:p>
            <w:r>
              <w:rPr>
                <w:rFonts w:ascii="Times New Roman" w:hAnsi="Times New Roman"/>
                <w:b w:val="0"/>
                <w:sz w:val="20"/>
              </w:rPr>
              <w:t>Octobre 2025</w:t>
            </w:r>
          </w:p>
        </w:tc>
        <w:tc>
          <w:tcPr>
            <w:tcW w:type="dxa" w:w="1520"/>
          </w:tcPr>
          <w:p>
            <w:r>
              <w:rPr>
                <w:rFonts w:ascii="Times New Roman" w:hAnsi="Times New Roman"/>
                <w:b w:val="0"/>
                <w:sz w:val="20"/>
              </w:rPr>
              <w:t>`docs/psie/02_rapport_mise_en_oeuvre/`</w:t>
            </w:r>
          </w:p>
        </w:tc>
      </w:tr>
    </w:tbl>
    <w:p/>
    <w:p>
      <w:pPr>
        <w:pStyle w:val="Heading3"/>
      </w:pPr>
      <w:r>
        <w:rPr>
          <w:rFonts w:ascii="Times New Roman" w:hAnsi="Times New Roman"/>
          <w:color w:val="1F4E79"/>
          <w:sz w:val="26"/>
        </w:rPr>
        <w:t>Annexe 3 — Glossaire des termes clés</w:t>
      </w:r>
    </w:p>
    <w:tbl>
      <w:tblPr>
        <w:tblStyle w:val="TableGrid"/>
        <w:tblW w:type="auto" w:w="0"/>
        <w:tblLook w:firstColumn="1" w:firstRow="1" w:lastColumn="0" w:lastRow="0" w:noHBand="0" w:noVBand="1" w:val="04A0"/>
      </w:tblPr>
      <w:tblGrid>
        <w:gridCol w:w="4561"/>
        <w:gridCol w:w="4561"/>
      </w:tblGrid>
      <w:tr>
        <w:tc>
          <w:tcPr>
            <w:tcW w:type="dxa" w:w="4561"/>
            <w:shd w:val="clear" w:color="auto" w:fill="003366"/>
          </w:tcPr>
          <w:p>
            <w:r>
              <w:rPr>
                <w:rFonts w:ascii="Times New Roman" w:hAnsi="Times New Roman"/>
                <w:b/>
                <w:color w:val="FFFFFF"/>
                <w:sz w:val="20"/>
              </w:rPr>
              <w:t>Terme</w:t>
            </w:r>
          </w:p>
        </w:tc>
        <w:tc>
          <w:tcPr>
            <w:tcW w:type="dxa" w:w="4561"/>
            <w:shd w:val="clear" w:color="auto" w:fill="003366"/>
          </w:tcPr>
          <w:p>
            <w:r>
              <w:rPr>
                <w:rFonts w:ascii="Times New Roman" w:hAnsi="Times New Roman"/>
                <w:b/>
                <w:color w:val="FFFFFF"/>
                <w:sz w:val="20"/>
              </w:rPr>
              <w:t>Définition</w:t>
            </w:r>
          </w:p>
        </w:tc>
      </w:tr>
      <w:tr>
        <w:tc>
          <w:tcPr>
            <w:tcW w:type="dxa" w:w="4561"/>
          </w:tcPr>
          <w:p>
            <w:r>
              <w:rPr>
                <w:rFonts w:ascii="Times New Roman" w:hAnsi="Times New Roman"/>
                <w:b w:val="0"/>
                <w:sz w:val="20"/>
              </w:rPr>
              <w:t>Pertinence</w:t>
            </w:r>
          </w:p>
        </w:tc>
        <w:tc>
          <w:tcPr>
            <w:tcW w:type="dxa" w:w="4561"/>
          </w:tcPr>
          <w:p>
            <w:r>
              <w:rPr>
                <w:rFonts w:ascii="Times New Roman" w:hAnsi="Times New Roman"/>
                <w:b w:val="0"/>
                <w:sz w:val="20"/>
              </w:rPr>
              <w:t>Mesure dans laquelle les objectifs du programme correspondent aux besoins des bénéficiaires et aux priorités nationales.</w:t>
            </w:r>
          </w:p>
        </w:tc>
      </w:tr>
      <w:tr>
        <w:tc>
          <w:tcPr>
            <w:tcW w:type="dxa" w:w="4561"/>
          </w:tcPr>
          <w:p>
            <w:r>
              <w:rPr>
                <w:rFonts w:ascii="Times New Roman" w:hAnsi="Times New Roman"/>
                <w:b w:val="0"/>
                <w:sz w:val="20"/>
              </w:rPr>
              <w:t>Cohérence interne</w:t>
            </w:r>
          </w:p>
        </w:tc>
        <w:tc>
          <w:tcPr>
            <w:tcW w:type="dxa" w:w="4561"/>
          </w:tcPr>
          <w:p>
            <w:r>
              <w:rPr>
                <w:rFonts w:ascii="Times New Roman" w:hAnsi="Times New Roman"/>
                <w:b w:val="0"/>
                <w:sz w:val="20"/>
              </w:rPr>
              <w:t>Solidité de la logique d'intervention propre au programme (enchaînement intrants → activités → extrants → résultats).</w:t>
            </w:r>
          </w:p>
        </w:tc>
      </w:tr>
      <w:tr>
        <w:tc>
          <w:tcPr>
            <w:tcW w:type="dxa" w:w="4561"/>
          </w:tcPr>
          <w:p>
            <w:r>
              <w:rPr>
                <w:rFonts w:ascii="Times New Roman" w:hAnsi="Times New Roman"/>
                <w:b w:val="0"/>
                <w:sz w:val="20"/>
              </w:rPr>
              <w:t>Cohérence externe</w:t>
            </w:r>
          </w:p>
        </w:tc>
        <w:tc>
          <w:tcPr>
            <w:tcW w:type="dxa" w:w="4561"/>
          </w:tcPr>
          <w:p>
            <w:r>
              <w:rPr>
                <w:rFonts w:ascii="Times New Roman" w:hAnsi="Times New Roman"/>
                <w:b w:val="0"/>
                <w:sz w:val="20"/>
              </w:rPr>
              <w:t>Compatibilité du programme avec d'autres politiques, programmes et institutions.</w:t>
            </w:r>
          </w:p>
        </w:tc>
      </w:tr>
      <w:tr>
        <w:tc>
          <w:tcPr>
            <w:tcW w:type="dxa" w:w="4561"/>
          </w:tcPr>
          <w:p>
            <w:r>
              <w:rPr>
                <w:rFonts w:ascii="Times New Roman" w:hAnsi="Times New Roman"/>
                <w:b w:val="0"/>
                <w:sz w:val="20"/>
              </w:rPr>
              <w:t>Efficacité</w:t>
            </w:r>
          </w:p>
        </w:tc>
        <w:tc>
          <w:tcPr>
            <w:tcW w:type="dxa" w:w="4561"/>
          </w:tcPr>
          <w:p>
            <w:r>
              <w:rPr>
                <w:rFonts w:ascii="Times New Roman" w:hAnsi="Times New Roman"/>
                <w:b w:val="0"/>
                <w:sz w:val="20"/>
              </w:rPr>
              <w:t>Mesure dans laquelle le programme a atteint ou est en voie d'atteindre ses objectifs fixés.</w:t>
            </w:r>
          </w:p>
        </w:tc>
      </w:tr>
      <w:tr>
        <w:tc>
          <w:tcPr>
            <w:tcW w:type="dxa" w:w="4561"/>
          </w:tcPr>
          <w:p>
            <w:r>
              <w:rPr>
                <w:rFonts w:ascii="Times New Roman" w:hAnsi="Times New Roman"/>
                <w:b w:val="0"/>
                <w:sz w:val="20"/>
              </w:rPr>
              <w:t>Allocataire</w:t>
            </w:r>
          </w:p>
        </w:tc>
        <w:tc>
          <w:tcPr>
            <w:tcW w:type="dxa" w:w="4561"/>
          </w:tcPr>
          <w:p>
            <w:r>
              <w:rPr>
                <w:rFonts w:ascii="Times New Roman" w:hAnsi="Times New Roman"/>
                <w:b w:val="0"/>
                <w:sz w:val="20"/>
              </w:rPr>
              <w:t>Jeune chercheur d'emploi bénéficiaire du PSIE, placé dans une entreprise et dont le salaire est pris en charge par l'État.</w:t>
            </w:r>
          </w:p>
        </w:tc>
      </w:tr>
      <w:tr>
        <w:tc>
          <w:tcPr>
            <w:tcW w:type="dxa" w:w="4561"/>
          </w:tcPr>
          <w:p>
            <w:r>
              <w:rPr>
                <w:rFonts w:ascii="Times New Roman" w:hAnsi="Times New Roman"/>
                <w:b w:val="0"/>
                <w:sz w:val="20"/>
              </w:rPr>
              <w:t>Extrant</w:t>
            </w:r>
          </w:p>
        </w:tc>
        <w:tc>
          <w:tcPr>
            <w:tcW w:type="dxa" w:w="4561"/>
          </w:tcPr>
          <w:p>
            <w:r>
              <w:rPr>
                <w:rFonts w:ascii="Times New Roman" w:hAnsi="Times New Roman"/>
                <w:b w:val="0"/>
                <w:sz w:val="20"/>
              </w:rPr>
              <w:t>Produit direct des activités du programme (ex. nombre de personnes insérées en emploi).</w:t>
            </w:r>
          </w:p>
        </w:tc>
      </w:tr>
      <w:tr>
        <w:tc>
          <w:tcPr>
            <w:tcW w:type="dxa" w:w="4561"/>
          </w:tcPr>
          <w:p>
            <w:r>
              <w:rPr>
                <w:rFonts w:ascii="Times New Roman" w:hAnsi="Times New Roman"/>
                <w:b w:val="0"/>
                <w:sz w:val="20"/>
              </w:rPr>
              <w:t>Tiers-payant</w:t>
            </w:r>
          </w:p>
        </w:tc>
        <w:tc>
          <w:tcPr>
            <w:tcW w:type="dxa" w:w="4561"/>
          </w:tcPr>
          <w:p>
            <w:r>
              <w:rPr>
                <w:rFonts w:ascii="Times New Roman" w:hAnsi="Times New Roman"/>
                <w:b w:val="0"/>
                <w:sz w:val="20"/>
              </w:rPr>
              <w:t>Mécanisme par lequel l'État (via le Trésor) verse directement le salaire aux allocataires pour le compte de l'entreprise.</w:t>
            </w:r>
          </w:p>
        </w:tc>
      </w:tr>
      <w:tr>
        <w:tc>
          <w:tcPr>
            <w:tcW w:type="dxa" w:w="4561"/>
          </w:tcPr>
          <w:p>
            <w:r>
              <w:rPr>
                <w:rFonts w:ascii="Times New Roman" w:hAnsi="Times New Roman"/>
                <w:b w:val="0"/>
                <w:sz w:val="20"/>
              </w:rPr>
              <w:t>PSIE</w:t>
            </w:r>
          </w:p>
        </w:tc>
        <w:tc>
          <w:tcPr>
            <w:tcW w:type="dxa" w:w="4561"/>
          </w:tcPr>
          <w:p>
            <w:r>
              <w:rPr>
                <w:rFonts w:ascii="Times New Roman" w:hAnsi="Times New Roman"/>
                <w:b w:val="0"/>
                <w:sz w:val="20"/>
              </w:rPr>
              <w:t>Programme Spécial d'Insertion dans l'Emploi (Bénin).</w:t>
            </w:r>
          </w:p>
        </w:tc>
      </w:tr>
      <w:tr>
        <w:tc>
          <w:tcPr>
            <w:tcW w:type="dxa" w:w="4561"/>
          </w:tcPr>
          <w:p>
            <w:r>
              <w:rPr>
                <w:rFonts w:ascii="Times New Roman" w:hAnsi="Times New Roman"/>
                <w:b w:val="0"/>
                <w:sz w:val="20"/>
              </w:rPr>
              <w:t>ANPE</w:t>
            </w:r>
          </w:p>
        </w:tc>
        <w:tc>
          <w:tcPr>
            <w:tcW w:type="dxa" w:w="4561"/>
          </w:tcPr>
          <w:p>
            <w:r>
              <w:rPr>
                <w:rFonts w:ascii="Times New Roman" w:hAnsi="Times New Roman"/>
                <w:b w:val="0"/>
                <w:sz w:val="20"/>
              </w:rPr>
              <w:t>Agence Nationale Pour l'Emploi (Bénin) — agence d'exécution du PSIE.</w:t>
            </w:r>
          </w:p>
        </w:tc>
      </w:tr>
      <w:tr>
        <w:tc>
          <w:tcPr>
            <w:tcW w:type="dxa" w:w="4561"/>
          </w:tcPr>
          <w:p>
            <w:r>
              <w:rPr>
                <w:rFonts w:ascii="Times New Roman" w:hAnsi="Times New Roman"/>
                <w:b w:val="0"/>
                <w:sz w:val="20"/>
              </w:rPr>
              <w:t>INSAE</w:t>
            </w:r>
          </w:p>
        </w:tc>
        <w:tc>
          <w:tcPr>
            <w:tcW w:type="dxa" w:w="4561"/>
          </w:tcPr>
          <w:p>
            <w:r>
              <w:rPr>
                <w:rFonts w:ascii="Times New Roman" w:hAnsi="Times New Roman"/>
                <w:b w:val="0"/>
                <w:sz w:val="20"/>
              </w:rPr>
              <w:t>Institut National de la Statistique et de l'Analyse Économique (Bénin).</w:t>
            </w:r>
          </w:p>
        </w:tc>
      </w:tr>
      <w:tr>
        <w:tc>
          <w:tcPr>
            <w:tcW w:type="dxa" w:w="4561"/>
          </w:tcPr>
          <w:p>
            <w:r>
              <w:rPr>
                <w:rFonts w:ascii="Times New Roman" w:hAnsi="Times New Roman"/>
                <w:b w:val="0"/>
                <w:sz w:val="20"/>
              </w:rPr>
              <w:t>GDIZ</w:t>
            </w:r>
          </w:p>
        </w:tc>
        <w:tc>
          <w:tcPr>
            <w:tcW w:type="dxa" w:w="4561"/>
          </w:tcPr>
          <w:p>
            <w:r>
              <w:rPr>
                <w:rFonts w:ascii="Times New Roman" w:hAnsi="Times New Roman"/>
                <w:b w:val="0"/>
                <w:sz w:val="20"/>
              </w:rPr>
              <w:t>Zone Industrielle de Glo-Djigbé (Bénin) — moteur industriel national émergent.</w:t>
            </w:r>
          </w:p>
        </w:tc>
      </w:tr>
      <w:tr>
        <w:tc>
          <w:tcPr>
            <w:tcW w:type="dxa" w:w="4561"/>
          </w:tcPr>
          <w:p>
            <w:r>
              <w:rPr>
                <w:rFonts w:ascii="Times New Roman" w:hAnsi="Times New Roman"/>
                <w:b w:val="0"/>
                <w:sz w:val="20"/>
              </w:rPr>
              <w:t>PAG</w:t>
            </w:r>
          </w:p>
        </w:tc>
        <w:tc>
          <w:tcPr>
            <w:tcW w:type="dxa" w:w="4561"/>
          </w:tcPr>
          <w:p>
            <w:r>
              <w:rPr>
                <w:rFonts w:ascii="Times New Roman" w:hAnsi="Times New Roman"/>
                <w:b w:val="0"/>
                <w:sz w:val="20"/>
              </w:rPr>
              <w:t>Programme d'Actions du Gouvernement (Bénin).</w:t>
            </w:r>
          </w:p>
        </w:tc>
      </w:tr>
      <w:tr>
        <w:tc>
          <w:tcPr>
            <w:tcW w:type="dxa" w:w="4561"/>
          </w:tcPr>
          <w:p>
            <w:r>
              <w:rPr>
                <w:rFonts w:ascii="Times New Roman" w:hAnsi="Times New Roman"/>
                <w:b w:val="0"/>
                <w:sz w:val="20"/>
              </w:rPr>
              <w:t>PNE</w:t>
            </w:r>
          </w:p>
        </w:tc>
        <w:tc>
          <w:tcPr>
            <w:tcW w:type="dxa" w:w="4561"/>
          </w:tcPr>
          <w:p>
            <w:r>
              <w:rPr>
                <w:rFonts w:ascii="Times New Roman" w:hAnsi="Times New Roman"/>
                <w:b w:val="0"/>
                <w:sz w:val="20"/>
              </w:rPr>
              <w:t>Politique Nationale de l'Emploi 2017-2026 (Bénin).</w:t>
            </w:r>
          </w:p>
        </w:tc>
      </w:tr>
      <w:tr>
        <w:tc>
          <w:tcPr>
            <w:tcW w:type="dxa" w:w="4561"/>
          </w:tcPr>
          <w:p>
            <w:r>
              <w:rPr>
                <w:rFonts w:ascii="Times New Roman" w:hAnsi="Times New Roman"/>
                <w:b w:val="0"/>
                <w:sz w:val="20"/>
              </w:rPr>
              <w:t>CNSS</w:t>
            </w:r>
          </w:p>
        </w:tc>
        <w:tc>
          <w:tcPr>
            <w:tcW w:type="dxa" w:w="4561"/>
          </w:tcPr>
          <w:p>
            <w:r>
              <w:rPr>
                <w:rFonts w:ascii="Times New Roman" w:hAnsi="Times New Roman"/>
                <w:b w:val="0"/>
                <w:sz w:val="20"/>
              </w:rPr>
              <w:t>Caisse Nationale de Sécurité Sociale (Bénin).</w:t>
            </w:r>
          </w:p>
        </w:tc>
      </w:tr>
    </w:tbl>
    <w:p/>
    <w:p>
      <w:pPr>
        <w:pStyle w:val="Heading3"/>
      </w:pPr>
      <w:r>
        <w:rPr>
          <w:rFonts w:ascii="Times New Roman" w:hAnsi="Times New Roman"/>
          <w:color w:val="1F4E79"/>
          <w:sz w:val="26"/>
        </w:rPr>
        <w:t>Annexe 4 — Critères OCDE/CAD reportés à la Phase 2</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3366"/>
          </w:tcPr>
          <w:p>
            <w:r>
              <w:rPr>
                <w:rFonts w:ascii="Times New Roman" w:hAnsi="Times New Roman"/>
                <w:b/>
                <w:color w:val="FFFFFF"/>
                <w:sz w:val="20"/>
              </w:rPr>
              <w:t>Critère</w:t>
            </w:r>
          </w:p>
        </w:tc>
        <w:tc>
          <w:tcPr>
            <w:tcW w:type="dxa" w:w="2280"/>
            <w:shd w:val="clear" w:color="auto" w:fill="003366"/>
          </w:tcPr>
          <w:p>
            <w:r>
              <w:rPr>
                <w:rFonts w:ascii="Times New Roman" w:hAnsi="Times New Roman"/>
                <w:b/>
                <w:color w:val="FFFFFF"/>
                <w:sz w:val="20"/>
              </w:rPr>
              <w:t>Définition</w:t>
            </w:r>
          </w:p>
        </w:tc>
        <w:tc>
          <w:tcPr>
            <w:tcW w:type="dxa" w:w="2280"/>
            <w:shd w:val="clear" w:color="auto" w:fill="003366"/>
          </w:tcPr>
          <w:p>
            <w:r>
              <w:rPr>
                <w:rFonts w:ascii="Times New Roman" w:hAnsi="Times New Roman"/>
                <w:b/>
                <w:color w:val="FFFFFF"/>
                <w:sz w:val="20"/>
              </w:rPr>
              <w:t>Données nécessaires</w:t>
            </w:r>
          </w:p>
        </w:tc>
        <w:tc>
          <w:tcPr>
            <w:tcW w:type="dxa" w:w="2280"/>
            <w:shd w:val="clear" w:color="auto" w:fill="003366"/>
          </w:tcPr>
          <w:p>
            <w:r>
              <w:rPr>
                <w:rFonts w:ascii="Times New Roman" w:hAnsi="Times New Roman"/>
                <w:b/>
                <w:color w:val="FFFFFF"/>
                <w:sz w:val="20"/>
              </w:rPr>
              <w:t>Disponibilité estimée</w:t>
            </w:r>
          </w:p>
        </w:tc>
      </w:tr>
      <w:tr>
        <w:tc>
          <w:tcPr>
            <w:tcW w:type="dxa" w:w="2280"/>
          </w:tcPr>
          <w:p>
            <w:r>
              <w:rPr>
                <w:rFonts w:ascii="Times New Roman" w:hAnsi="Times New Roman"/>
                <w:b w:val="0"/>
                <w:sz w:val="20"/>
              </w:rPr>
              <w:t>Efficience</w:t>
            </w:r>
          </w:p>
        </w:tc>
        <w:tc>
          <w:tcPr>
            <w:tcW w:type="dxa" w:w="2280"/>
          </w:tcPr>
          <w:p>
            <w:r>
              <w:rPr>
                <w:rFonts w:ascii="Times New Roman" w:hAnsi="Times New Roman"/>
                <w:b w:val="0"/>
                <w:sz w:val="20"/>
              </w:rPr>
              <w:t>Mesure dans laquelle les ressources sont converties en résultats de façon économique (coût par bénéficiaire, comparaison avec des programmes similaires dans la région).</w:t>
            </w:r>
          </w:p>
        </w:tc>
        <w:tc>
          <w:tcPr>
            <w:tcW w:type="dxa" w:w="2280"/>
          </w:tcPr>
          <w:p>
            <w:r>
              <w:rPr>
                <w:rFonts w:ascii="Times New Roman" w:hAnsi="Times New Roman"/>
                <w:b w:val="0"/>
                <w:sz w:val="20"/>
              </w:rPr>
              <w:t>Données financières détaillées par activité ; coûts des programmes comparables (CEDEAO).</w:t>
            </w:r>
          </w:p>
        </w:tc>
        <w:tc>
          <w:tcPr>
            <w:tcW w:type="dxa" w:w="2280"/>
          </w:tcPr>
          <w:p>
            <w:r>
              <w:rPr>
                <w:rFonts w:ascii="Times New Roman" w:hAnsi="Times New Roman"/>
                <w:b w:val="0"/>
                <w:sz w:val="20"/>
              </w:rPr>
              <w:t>Phase 2</w:t>
            </w:r>
          </w:p>
        </w:tc>
      </w:tr>
      <w:tr>
        <w:tc>
          <w:tcPr>
            <w:tcW w:type="dxa" w:w="2280"/>
          </w:tcPr>
          <w:p>
            <w:r>
              <w:rPr>
                <w:rFonts w:ascii="Times New Roman" w:hAnsi="Times New Roman"/>
                <w:b w:val="0"/>
                <w:sz w:val="20"/>
              </w:rPr>
              <w:t>Effets/Impacts</w:t>
            </w:r>
          </w:p>
        </w:tc>
        <w:tc>
          <w:tcPr>
            <w:tcW w:type="dxa" w:w="2280"/>
          </w:tcPr>
          <w:p>
            <w:r>
              <w:rPr>
                <w:rFonts w:ascii="Times New Roman" w:hAnsi="Times New Roman"/>
                <w:b w:val="0"/>
                <w:sz w:val="20"/>
              </w:rPr>
              <w:t>Changements à long terme chez les bénéficiaires (taux de maintien en emploi post-programme, évolution salariale, impact sur la pauvreté des ménages).</w:t>
            </w:r>
          </w:p>
        </w:tc>
        <w:tc>
          <w:tcPr>
            <w:tcW w:type="dxa" w:w="2280"/>
          </w:tcPr>
          <w:p>
            <w:r>
              <w:rPr>
                <w:rFonts w:ascii="Times New Roman" w:hAnsi="Times New Roman"/>
                <w:b w:val="0"/>
                <w:sz w:val="20"/>
              </w:rPr>
              <w:t>Enquête auprès des alumni à 6, 12 et 24 mois ; données longitudinales.</w:t>
            </w:r>
          </w:p>
        </w:tc>
        <w:tc>
          <w:tcPr>
            <w:tcW w:type="dxa" w:w="2280"/>
          </w:tcPr>
          <w:p>
            <w:r>
              <w:rPr>
                <w:rFonts w:ascii="Times New Roman" w:hAnsi="Times New Roman"/>
                <w:b w:val="0"/>
                <w:sz w:val="20"/>
              </w:rPr>
              <w:t>Phase 2</w:t>
            </w:r>
          </w:p>
        </w:tc>
      </w:tr>
      <w:tr>
        <w:tc>
          <w:tcPr>
            <w:tcW w:type="dxa" w:w="2280"/>
          </w:tcPr>
          <w:p>
            <w:r>
              <w:rPr>
                <w:rFonts w:ascii="Times New Roman" w:hAnsi="Times New Roman"/>
                <w:b w:val="0"/>
                <w:sz w:val="20"/>
              </w:rPr>
              <w:t>Durabilité</w:t>
            </w:r>
          </w:p>
        </w:tc>
        <w:tc>
          <w:tcPr>
            <w:tcW w:type="dxa" w:w="2280"/>
          </w:tcPr>
          <w:p>
            <w:r>
              <w:rPr>
                <w:rFonts w:ascii="Times New Roman" w:hAnsi="Times New Roman"/>
                <w:b w:val="0"/>
                <w:sz w:val="20"/>
              </w:rPr>
              <w:t>Mesure dans laquelle les bénéfices nets perdurent après la fin de l'immersion (maintien en emploi par les entreprises, auto-emploi des alumni).</w:t>
            </w:r>
          </w:p>
        </w:tc>
        <w:tc>
          <w:tcPr>
            <w:tcW w:type="dxa" w:w="2280"/>
          </w:tcPr>
          <w:p>
            <w:r>
              <w:rPr>
                <w:rFonts w:ascii="Times New Roman" w:hAnsi="Times New Roman"/>
                <w:b w:val="0"/>
                <w:sz w:val="20"/>
              </w:rPr>
              <w:t>Entretiens avec bénéficiaires et entreprises ; données de suivi post-programme.</w:t>
            </w:r>
          </w:p>
        </w:tc>
        <w:tc>
          <w:tcPr>
            <w:tcW w:type="dxa" w:w="2280"/>
          </w:tcPr>
          <w:p>
            <w:r>
              <w:rPr>
                <w:rFonts w:ascii="Times New Roman" w:hAnsi="Times New Roman"/>
                <w:b w:val="0"/>
                <w:sz w:val="20"/>
              </w:rPr>
              <w:t>Phase 2</w:t>
            </w:r>
          </w:p>
        </w:tc>
      </w:tr>
      <w:tr>
        <w:tc>
          <w:tcPr>
            <w:tcW w:type="dxa" w:w="2280"/>
          </w:tcPr>
          <w:p>
            <w:r>
              <w:rPr>
                <w:rFonts w:ascii="Times New Roman" w:hAnsi="Times New Roman"/>
                <w:b w:val="0"/>
                <w:sz w:val="20"/>
              </w:rPr>
              <w:t>Genre</w:t>
            </w:r>
          </w:p>
        </w:tc>
        <w:tc>
          <w:tcPr>
            <w:tcW w:type="dxa" w:w="2280"/>
          </w:tcPr>
          <w:p>
            <w:r>
              <w:rPr>
                <w:rFonts w:ascii="Times New Roman" w:hAnsi="Times New Roman"/>
                <w:b w:val="0"/>
                <w:sz w:val="20"/>
              </w:rPr>
              <w:t>Mesure dans laquelle le programme tient compte des inégalités hommes-femmes (part des femmes bénéficiaires, secteurs, niveaux de qualification, accès géographique).</w:t>
            </w:r>
          </w:p>
        </w:tc>
        <w:tc>
          <w:tcPr>
            <w:tcW w:type="dxa" w:w="2280"/>
          </w:tcPr>
          <w:p>
            <w:r>
              <w:rPr>
                <w:rFonts w:ascii="Times New Roman" w:hAnsi="Times New Roman"/>
                <w:b w:val="0"/>
                <w:sz w:val="20"/>
              </w:rPr>
              <w:t>Données désagrégées par sexe (non disponibles dans les documents actuels).</w:t>
            </w:r>
          </w:p>
        </w:tc>
        <w:tc>
          <w:tcPr>
            <w:tcW w:type="dxa" w:w="2280"/>
          </w:tcPr>
          <w:p>
            <w:r>
              <w:rPr>
                <w:rFonts w:ascii="Times New Roman" w:hAnsi="Times New Roman"/>
                <w:b w:val="0"/>
                <w:sz w:val="20"/>
              </w:rPr>
              <w:t>Phase 2</w:t>
            </w:r>
          </w:p>
        </w:tc>
      </w:tr>
    </w:tbl>
    <w:p/>
    <w:p/>
    <w:p>
      <w:r>
        <w:rPr>
          <w:rFonts w:ascii="Times New Roman" w:hAnsi="Times New Roman"/>
          <w:sz w:val="24"/>
        </w:rPr>
      </w:r>
      <w:r>
        <w:rPr>
          <w:rFonts w:ascii="Times New Roman" w:hAnsi="Times New Roman"/>
          <w:i/>
          <w:sz w:val="24"/>
        </w:rPr>
        <w:t xml:space="preserve">Document préparé conformément aux </w:t>
      </w:r>
      <w:r>
        <w:rPr>
          <w:rFonts w:ascii="Times New Roman" w:hAnsi="Times New Roman"/>
          <w:sz w:val="24"/>
        </w:rPr>
      </w:r>
      <w:r>
        <w:rPr>
          <w:rFonts w:ascii="Times New Roman" w:hAnsi="Times New Roman"/>
          <w:i/>
          <w:sz w:val="24"/>
        </w:rPr>
        <w:t>Normes de qualité pour l'évaluation du développement</w:t>
      </w:r>
      <w:r>
        <w:rPr>
          <w:rFonts w:ascii="Times New Roman" w:hAnsi="Times New Roman"/>
          <w:sz w:val="24"/>
        </w:rPr>
      </w:r>
      <w:r>
        <w:rPr>
          <w:rFonts w:ascii="Times New Roman" w:hAnsi="Times New Roman"/>
          <w:i/>
          <w:sz w:val="24"/>
        </w:rPr>
        <w:t xml:space="preserve"> du CAD-OCDE (2010).</w:t>
      </w:r>
      <w:r>
        <w:rPr>
          <w:rFonts w:ascii="Times New Roman" w:hAnsi="Times New Roman"/>
          <w:sz w:val="24"/>
        </w:rPr>
      </w:r>
    </w:p>
    <w:p>
      <w:r>
        <w:rPr>
          <w:rFonts w:ascii="Times New Roman" w:hAnsi="Times New Roman"/>
          <w:sz w:val="24"/>
        </w:rPr>
      </w:r>
      <w:r>
        <w:rPr>
          <w:rFonts w:ascii="Times New Roman" w:hAnsi="Times New Roman"/>
          <w:i/>
          <w:sz w:val="24"/>
        </w:rPr>
        <w:t>Sources principales : Prodoc PSIE-BéninF (revu) mars 2020 · Cadre Logique PSIE · Rapport actualisé de mise en œuvre du PSIE juillet 2020 – septembre 2025 (octobre 2025) · Base de données PSIE, septembre 2025.</w:t>
      </w:r>
      <w:r>
        <w:rPr>
          <w:rFonts w:ascii="Times New Roman" w:hAnsi="Times New Roman"/>
          <w:sz w:val="24"/>
        </w:rPr>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