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864"/>
          <w:sz w:val="28"/>
        </w:rPr>
        <w:t>REPUBLIQUE DU BENIN</w:t>
      </w:r>
    </w:p>
    <w:p/>
    <w:p>
      <w:pPr>
        <w:jc w:val="center"/>
      </w:pPr>
      <w:r>
        <w:rPr>
          <w:b/>
          <w:color w:val="1F3864"/>
          <w:sz w:val="40"/>
        </w:rPr>
        <w:t>EVALUATION DU PROGRAMME SPECIAL</w:t>
        <w:br/>
        <w:t>D'INSERTION DANS L'EMPLOI (PSIE)</w:t>
      </w:r>
    </w:p>
    <w:p/>
    <w:p>
      <w:pPr>
        <w:jc w:val="center"/>
      </w:pPr>
      <w:r>
        <w:rPr>
          <w:i/>
          <w:color w:val="2E74B5"/>
          <w:sz w:val="26"/>
        </w:rPr>
        <w:t>Rapport d'Evaluation - Criteres OCDE/CAD : Pertinence, Coherence et Efficacite</w:t>
      </w:r>
    </w:p>
    <w:p/>
    <w:tbl>
      <w:tblPr>
        <w:tblStyle w:val="TableGrid"/>
        <w:tblW w:type="auto" w:w="0"/>
        <w:jc w:val="center"/>
        <w:tblLook w:firstColumn="1" w:firstRow="1" w:lastColumn="0" w:lastRow="0" w:noHBand="0" w:noVBand="1" w:val="04A0"/>
      </w:tblPr>
      <w:tblGrid>
        <w:gridCol w:w="4618"/>
        <w:gridCol w:w="4618"/>
      </w:tblGrid>
      <w:tr>
        <w:tc>
          <w:tcPr>
            <w:tcW w:type="dxa" w:w="2835"/>
            <w:shd w:val="clear" w:color="auto" w:fill="DEEAF1"/>
          </w:tcPr>
          <w:p>
            <w:r>
              <w:rPr>
                <w:b/>
                <w:color w:val="1F3864"/>
              </w:rPr>
              <w:t>Programme</w:t>
            </w:r>
          </w:p>
        </w:tc>
        <w:tc>
          <w:tcPr>
            <w:tcW w:type="dxa" w:w="5669"/>
          </w:tcPr>
          <w:p>
            <w:r>
              <w:t>Programme Special d'Insertion dans l'Emploi (PSIE)</w:t>
            </w:r>
          </w:p>
        </w:tc>
      </w:tr>
      <w:tr>
        <w:tc>
          <w:tcPr>
            <w:tcW w:type="dxa" w:w="2835"/>
            <w:shd w:val="clear" w:color="auto" w:fill="DEEAF1"/>
          </w:tcPr>
          <w:p>
            <w:r>
              <w:rPr>
                <w:b/>
                <w:color w:val="1F3864"/>
              </w:rPr>
              <w:t>Pays</w:t>
            </w:r>
          </w:p>
        </w:tc>
        <w:tc>
          <w:tcPr>
            <w:tcW w:type="dxa" w:w="5669"/>
          </w:tcPr>
          <w:p>
            <w:r>
              <w:t>Republique du Benin</w:t>
            </w:r>
          </w:p>
        </w:tc>
      </w:tr>
      <w:tr>
        <w:tc>
          <w:tcPr>
            <w:tcW w:type="dxa" w:w="2835"/>
            <w:shd w:val="clear" w:color="auto" w:fill="DEEAF1"/>
          </w:tcPr>
          <w:p>
            <w:r>
              <w:rPr>
                <w:b/>
                <w:color w:val="1F3864"/>
              </w:rPr>
              <w:t>Secteur</w:t>
            </w:r>
          </w:p>
        </w:tc>
        <w:tc>
          <w:tcPr>
            <w:tcW w:type="dxa" w:w="5669"/>
          </w:tcPr>
          <w:p>
            <w:r>
              <w:t>Emploi et Formation Professionnelle</w:t>
            </w:r>
          </w:p>
        </w:tc>
      </w:tr>
      <w:tr>
        <w:tc>
          <w:tcPr>
            <w:tcW w:type="dxa" w:w="2835"/>
            <w:shd w:val="clear" w:color="auto" w:fill="DEEAF1"/>
          </w:tcPr>
          <w:p>
            <w:r>
              <w:rPr>
                <w:b/>
                <w:color w:val="1F3864"/>
              </w:rPr>
              <w:t>Criteres evalues</w:t>
            </w:r>
          </w:p>
        </w:tc>
        <w:tc>
          <w:tcPr>
            <w:tcW w:type="dxa" w:w="5669"/>
          </w:tcPr>
          <w:p>
            <w:r>
              <w:t>Pertinence / Coherence / Efficacite</w:t>
            </w:r>
          </w:p>
        </w:tc>
      </w:tr>
      <w:tr>
        <w:tc>
          <w:tcPr>
            <w:tcW w:type="dxa" w:w="2835"/>
            <w:shd w:val="clear" w:color="auto" w:fill="DEEAF1"/>
          </w:tcPr>
          <w:p>
            <w:r>
              <w:rPr>
                <w:b/>
                <w:color w:val="1F3864"/>
              </w:rPr>
              <w:t>Type d'evaluation</w:t>
            </w:r>
          </w:p>
        </w:tc>
        <w:tc>
          <w:tcPr>
            <w:tcW w:type="dxa" w:w="5669"/>
          </w:tcPr>
          <w:p>
            <w:r>
              <w:t>Evaluation de processus - Revue documentaire</w:t>
            </w:r>
          </w:p>
        </w:tc>
      </w:tr>
      <w:tr>
        <w:tc>
          <w:tcPr>
            <w:tcW w:type="dxa" w:w="2835"/>
            <w:shd w:val="clear" w:color="auto" w:fill="DEEAF1"/>
          </w:tcPr>
          <w:p>
            <w:r>
              <w:rPr>
                <w:b/>
                <w:color w:val="1F3864"/>
              </w:rPr>
              <w:t>Periode couverte</w:t>
            </w:r>
          </w:p>
        </w:tc>
        <w:tc>
          <w:tcPr>
            <w:tcW w:type="dxa" w:w="5669"/>
          </w:tcPr>
          <w:p>
            <w:r>
              <w:t>Juillet 2020 - Septembre 2025</w:t>
            </w:r>
          </w:p>
        </w:tc>
      </w:tr>
      <w:tr>
        <w:tc>
          <w:tcPr>
            <w:tcW w:type="dxa" w:w="2835"/>
            <w:shd w:val="clear" w:color="auto" w:fill="DEEAF1"/>
          </w:tcPr>
          <w:p>
            <w:r>
              <w:rPr>
                <w:b/>
                <w:color w:val="1F3864"/>
              </w:rPr>
              <w:t>Date du rapport</w:t>
            </w:r>
          </w:p>
        </w:tc>
        <w:tc>
          <w:tcPr>
            <w:tcW w:type="dxa" w:w="5669"/>
          </w:tcPr>
          <w:p>
            <w:r>
              <w:t>Fevrier 2026</w:t>
            </w:r>
          </w:p>
        </w:tc>
      </w:tr>
      <w:tr>
        <w:tc>
          <w:tcPr>
            <w:tcW w:type="dxa" w:w="2835"/>
            <w:shd w:val="clear" w:color="auto" w:fill="DEEAF1"/>
          </w:tcPr>
          <w:p>
            <w:r>
              <w:rPr>
                <w:b/>
                <w:color w:val="1F3864"/>
              </w:rPr>
              <w:t>Version</w:t>
            </w:r>
          </w:p>
        </w:tc>
        <w:tc>
          <w:tcPr>
            <w:tcW w:type="dxa" w:w="5669"/>
          </w:tcPr>
          <w:p>
            <w:r>
              <w:t>1.1 - Completee sur base documentaire</w:t>
            </w:r>
          </w:p>
        </w:tc>
      </w:tr>
    </w:tbl>
    <w:p/>
    <w:p>
      <w:pPr>
        <w:jc w:val="center"/>
      </w:pPr>
      <w:r>
        <w:rPr>
          <w:i/>
          <w:color w:val="606060"/>
          <w:sz w:val="18"/>
        </w:rPr>
        <w:t>Documents sources : Prodoc PSIE (mars 2020)  *  Cadre Logique PSIE  *  Rapport actualise de mise en oeuvre (juil. 2020 - sept. 2025)</w:t>
      </w:r>
    </w:p>
    <w:p>
      <w:r>
        <w:br w:type="page"/>
      </w:r>
    </w:p>
    <w:p>
      <w:pPr>
        <w:pStyle w:val="Heading1"/>
      </w:pPr>
      <w:r>
        <w:rPr>
          <w:rFonts w:ascii="Calibri" w:hAnsi="Calibri"/>
          <w:color w:val="1F3864"/>
        </w:rPr>
        <w:t>RESUME EXECUTIF</w:t>
      </w:r>
    </w:p>
    <w:p>
      <w:r>
        <w:rPr>
          <w:b w:val="0"/>
          <w:i w:val="0"/>
          <w:sz w:val="21"/>
        </w:rPr>
        <w:t>Le Programme Special d'Insertion dans l'Emploi (PSIE) est une initiative presidentielle lancee au Benin en juillet 2020. Son objectif est de faciliter l'insertion professionnelle de 2 000 jeunes diplomes par an dans les entreprises, a travers la prise en charge totale de leurs salaires par l'Etat sur une periode de deux ans par cohorte.</w:t>
      </w:r>
    </w:p>
    <w:p/>
    <w:p>
      <w:r>
        <w:rPr>
          <w:b/>
          <w:i w:val="0"/>
          <w:sz w:val="21"/>
        </w:rPr>
        <w:t>L'evaluation des trois premiers criteres OCDE/CAD aboutit aux constats suivants :</w:t>
      </w:r>
    </w:p>
    <w:p>
      <w:pPr>
        <w:pStyle w:val="ListBullet"/>
        <w:ind w:left="567"/>
      </w:pPr>
      <w:r>
        <w:rPr>
          <w:b/>
          <w:color w:val="1F3864"/>
        </w:rPr>
        <w:t xml:space="preserve">Pertinence - ELEVEE. </w:t>
      </w:r>
      <w:r>
        <w:rPr>
          <w:sz w:val="21"/>
        </w:rPr>
        <w:t>Le PSIE repond a un besoin structure : taux de sous-emploi des jeunes de 72 % (INSAE 2017), inadaptation formation-emploi, charges salariales limitant l'embauche. Ancrage explicite dans le PAG 2016-2021 et la PNE 2017-2026.</w:t>
      </w:r>
    </w:p>
    <w:p>
      <w:pPr>
        <w:pStyle w:val="ListBullet"/>
        <w:ind w:left="567"/>
      </w:pPr>
      <w:r>
        <w:rPr>
          <w:b/>
          <w:color w:val="1F3864"/>
        </w:rPr>
        <w:t xml:space="preserve">Coherence - ELEVEE. </w:t>
      </w:r>
      <w:r>
        <w:rPr>
          <w:sz w:val="21"/>
        </w:rPr>
        <w:t>Chaine de resultats logique et coherente, appuyee sur l'infrastructure existante de l'ANPE. Coherence externe avec les politiques nationales d'emploi forte.</w:t>
      </w:r>
    </w:p>
    <w:p>
      <w:pPr>
        <w:pStyle w:val="ListBullet"/>
        <w:ind w:left="567"/>
      </w:pPr>
      <w:r>
        <w:rPr>
          <w:b/>
          <w:color w:val="1F3864"/>
        </w:rPr>
        <w:t xml:space="preserve">Efficacite - MOYENNE A ELEVEE. </w:t>
      </w:r>
      <w:r>
        <w:rPr>
          <w:sz w:val="21"/>
        </w:rPr>
        <w:t>9 263 jeunes inseres en emploi entre juillet 2020 et septembre 2025 pour 18,3 milliards FCFA de salaires verses. Des defis persistent sur la couverture geographique (85,5 % des insertions dans Littoral/Atlantique).</w:t>
      </w:r>
    </w:p>
    <w:p/>
    <w:p>
      <w:r>
        <w:rPr>
          <w:b/>
          <w:i w:val="0"/>
          <w:sz w:val="21"/>
        </w:rPr>
        <w:t>Synthese des jugements evaluatifs</w:t>
      </w:r>
    </w:p>
    <w:tbl>
      <w:tblPr>
        <w:tblStyle w:val="TableGrid"/>
        <w:tblW w:type="auto" w:w="0"/>
        <w:tblLook w:firstColumn="1" w:firstRow="1" w:lastColumn="0" w:lastRow="0" w:noHBand="0" w:noVBand="1" w:val="04A0"/>
      </w:tblPr>
      <w:tblGrid>
        <w:gridCol w:w="3079"/>
        <w:gridCol w:w="3079"/>
        <w:gridCol w:w="3079"/>
      </w:tblGrid>
      <w:tr>
        <w:tc>
          <w:tcPr>
            <w:tcW w:type="dxa" w:w="2835"/>
            <w:shd w:val="clear" w:color="auto" w:fill="1F3864"/>
          </w:tcPr>
          <w:p>
            <w:r>
              <w:rPr>
                <w:b/>
                <w:color w:val="FFFFFF"/>
                <w:sz w:val="19"/>
              </w:rPr>
              <w:t>Critere OCDE/CAD</w:t>
            </w:r>
          </w:p>
        </w:tc>
        <w:tc>
          <w:tcPr>
            <w:tcW w:type="dxa" w:w="2835"/>
            <w:shd w:val="clear" w:color="auto" w:fill="1F3864"/>
          </w:tcPr>
          <w:p>
            <w:r>
              <w:rPr>
                <w:b/>
                <w:color w:val="FFFFFF"/>
                <w:sz w:val="19"/>
              </w:rPr>
              <w:t>Jugement global</w:t>
            </w:r>
          </w:p>
        </w:tc>
        <w:tc>
          <w:tcPr>
            <w:tcW w:type="dxa" w:w="2835"/>
            <w:shd w:val="clear" w:color="auto" w:fill="1F3864"/>
          </w:tcPr>
          <w:p>
            <w:r>
              <w:rPr>
                <w:b/>
                <w:color w:val="FFFFFF"/>
                <w:sz w:val="19"/>
              </w:rPr>
              <w:t>Niveau de confiance</w:t>
            </w:r>
          </w:p>
        </w:tc>
      </w:tr>
      <w:tr>
        <w:tc>
          <w:tcPr>
            <w:tcW w:type="dxa" w:w="2835"/>
            <w:shd w:val="clear" w:color="auto" w:fill="F2F2F2"/>
          </w:tcPr>
          <w:p>
            <w:r>
              <w:rPr>
                <w:b/>
                <w:sz w:val="19"/>
              </w:rPr>
              <w:t>Pertinence</w:t>
            </w:r>
          </w:p>
        </w:tc>
        <w:tc>
          <w:tcPr>
            <w:tcW w:type="dxa" w:w="2835"/>
            <w:shd w:val="clear" w:color="auto" w:fill="F2F2F2"/>
          </w:tcPr>
          <w:p>
            <w:r>
              <w:rPr>
                <w:sz w:val="19"/>
              </w:rPr>
              <w:t>ELEVE</w:t>
            </w:r>
          </w:p>
        </w:tc>
        <w:tc>
          <w:tcPr>
            <w:tcW w:type="dxa" w:w="2835"/>
            <w:shd w:val="clear" w:color="auto" w:fill="F2F2F2"/>
          </w:tcPr>
          <w:p>
            <w:r>
              <w:rPr>
                <w:sz w:val="19"/>
              </w:rPr>
              <w:t>Eleve</w:t>
            </w:r>
          </w:p>
        </w:tc>
      </w:tr>
      <w:tr>
        <w:tc>
          <w:tcPr>
            <w:tcW w:type="dxa" w:w="2835"/>
            <w:shd w:val="clear" w:color="auto" w:fill="FFFFFF"/>
          </w:tcPr>
          <w:p>
            <w:r>
              <w:rPr>
                <w:b/>
                <w:sz w:val="19"/>
              </w:rPr>
              <w:t>Coherence</w:t>
            </w:r>
          </w:p>
        </w:tc>
        <w:tc>
          <w:tcPr>
            <w:tcW w:type="dxa" w:w="2835"/>
            <w:shd w:val="clear" w:color="auto" w:fill="FFFFFF"/>
          </w:tcPr>
          <w:p>
            <w:r>
              <w:rPr>
                <w:sz w:val="19"/>
              </w:rPr>
              <w:t>ELEVE</w:t>
            </w:r>
          </w:p>
        </w:tc>
        <w:tc>
          <w:tcPr>
            <w:tcW w:type="dxa" w:w="2835"/>
            <w:shd w:val="clear" w:color="auto" w:fill="FFFFFF"/>
          </w:tcPr>
          <w:p>
            <w:r>
              <w:rPr>
                <w:sz w:val="19"/>
              </w:rPr>
              <w:t>Moyen a eleve</w:t>
            </w:r>
          </w:p>
        </w:tc>
      </w:tr>
      <w:tr>
        <w:tc>
          <w:tcPr>
            <w:tcW w:type="dxa" w:w="2835"/>
            <w:shd w:val="clear" w:color="auto" w:fill="F2F2F2"/>
          </w:tcPr>
          <w:p>
            <w:r>
              <w:rPr>
                <w:b/>
                <w:sz w:val="19"/>
              </w:rPr>
              <w:t>Efficacite</w:t>
            </w:r>
          </w:p>
        </w:tc>
        <w:tc>
          <w:tcPr>
            <w:tcW w:type="dxa" w:w="2835"/>
            <w:shd w:val="clear" w:color="auto" w:fill="F2F2F2"/>
          </w:tcPr>
          <w:p>
            <w:r>
              <w:rPr>
                <w:sz w:val="19"/>
              </w:rPr>
              <w:t>MOYEN A ELEVE</w:t>
            </w:r>
          </w:p>
        </w:tc>
        <w:tc>
          <w:tcPr>
            <w:tcW w:type="dxa" w:w="2835"/>
            <w:shd w:val="clear" w:color="auto" w:fill="F2F2F2"/>
          </w:tcPr>
          <w:p>
            <w:r>
              <w:rPr>
                <w:sz w:val="19"/>
              </w:rPr>
              <w:t>Eleve</w:t>
            </w:r>
          </w:p>
        </w:tc>
      </w:tr>
    </w:tbl>
    <w:p/>
    <w:p>
      <w:r>
        <w:br w:type="page"/>
      </w:r>
    </w:p>
    <w:p>
      <w:pPr>
        <w:pStyle w:val="Heading1"/>
      </w:pPr>
      <w:r>
        <w:rPr>
          <w:rFonts w:ascii="Calibri" w:hAnsi="Calibri"/>
          <w:color w:val="1F3864"/>
        </w:rPr>
        <w:t>1. CONTEXTE ET DESCRIPTION DU PROGRAMME PSIE</w:t>
      </w:r>
    </w:p>
    <w:p>
      <w:pPr>
        <w:pStyle w:val="Heading2"/>
      </w:pPr>
      <w:r>
        <w:rPr>
          <w:rFonts w:ascii="Calibri" w:hAnsi="Calibri"/>
          <w:color w:val="2E74B5"/>
        </w:rPr>
        <w:t>1.1 Historique</w:t>
      </w:r>
    </w:p>
    <w:p>
      <w:r>
        <w:rPr>
          <w:b w:val="0"/>
          <w:i w:val="0"/>
          <w:sz w:val="21"/>
        </w:rPr>
        <w:t>Le PSIE est une initiative presidentielle annoncee le 31 juillet 2019 par le President Patrice Talon lors du 59eme anniversaire de l'independance du Benin. Il s'inscrit dans le PAG 2016-2021 (traitement systematique de l'emploi dans toutes les interventions gouvernementales). Valide par le Conseil des ministres le 10 juin 2020, officiellement lance en juillet 2020, institue par decret en aout 2020.</w:t>
      </w:r>
    </w:p>
    <w:p>
      <w:r>
        <w:rPr>
          <w:b w:val="0"/>
          <w:i w:val="0"/>
          <w:sz w:val="21"/>
        </w:rPr>
        <w:t>En fevrier 2025, face aux resultats probants, le Conseil des ministres (session du 19 fevrier 2025) a autorise la prolongation du programme au-dela de son echeance initiale de decembre 2025.</w:t>
      </w:r>
    </w:p>
    <w:p>
      <w:pPr>
        <w:pStyle w:val="Heading2"/>
      </w:pPr>
      <w:r>
        <w:rPr>
          <w:rFonts w:ascii="Calibri" w:hAnsi="Calibri"/>
          <w:color w:val="2E74B5"/>
        </w:rPr>
        <w:t>1.2 Objectifs</w:t>
      </w:r>
    </w:p>
    <w:p>
      <w:r>
        <w:rPr>
          <w:b/>
          <w:i w:val="0"/>
          <w:sz w:val="21"/>
        </w:rPr>
        <w:t>Objectif general :</w:t>
      </w:r>
    </w:p>
    <w:p>
      <w:r>
        <w:rPr>
          <w:b w:val="0"/>
          <w:i w:val="0"/>
          <w:sz w:val="21"/>
        </w:rPr>
        <w:t>Faciliter l'insertion professionnelle de 2 000 jeunes diplomes par an dans les entreprises publiques et privees au Benin.</w:t>
      </w:r>
    </w:p>
    <w:p>
      <w:r>
        <w:rPr>
          <w:b/>
          <w:i w:val="0"/>
          <w:sz w:val="21"/>
        </w:rPr>
        <w:t>Objectifs specifiques :</w:t>
      </w:r>
    </w:p>
    <w:p>
      <w:pPr>
        <w:pStyle w:val="ListBullet"/>
        <w:ind w:left="567"/>
      </w:pPr>
      <w:r>
        <w:t>OS1 : Ameliorer l'employabilite des beneficiaires en vue de leur insertion professionnelle durable, grace aux actions d'immersion et d'encadrement.</w:t>
      </w:r>
    </w:p>
    <w:p>
      <w:pPr>
        <w:pStyle w:val="ListBullet"/>
        <w:ind w:left="567"/>
      </w:pPr>
      <w:r>
        <w:t>OS2 : Soutenir financierement la prise en charge totale des salaires des titulaires des nouveaux emplois crees par les entreprises dans le cadre du programme.</w:t>
      </w:r>
    </w:p>
    <w:p>
      <w:pPr>
        <w:pStyle w:val="Heading2"/>
      </w:pPr>
      <w:r>
        <w:rPr>
          <w:rFonts w:ascii="Calibri" w:hAnsi="Calibri"/>
          <w:color w:val="2E74B5"/>
        </w:rPr>
        <w:t>1.3 Population cible et repartition par qualification</w:t>
      </w:r>
    </w:p>
    <w:tbl>
      <w:tblPr>
        <w:tblStyle w:val="TableGrid"/>
        <w:tblW w:type="auto" w:w="0"/>
        <w:tblLook w:firstColumn="1" w:firstRow="1" w:lastColumn="0" w:lastRow="0" w:noHBand="0" w:noVBand="1" w:val="04A0"/>
      </w:tblPr>
      <w:tblGrid>
        <w:gridCol w:w="3079"/>
        <w:gridCol w:w="3079"/>
        <w:gridCol w:w="3079"/>
      </w:tblGrid>
      <w:tr>
        <w:tc>
          <w:tcPr>
            <w:tcW w:type="dxa" w:w="3969"/>
            <w:shd w:val="clear" w:color="auto" w:fill="1F3864"/>
          </w:tcPr>
          <w:p>
            <w:r>
              <w:rPr>
                <w:b/>
                <w:color w:val="FFFFFF"/>
                <w:sz w:val="19"/>
              </w:rPr>
              <w:t>Qualification</w:t>
            </w:r>
          </w:p>
        </w:tc>
        <w:tc>
          <w:tcPr>
            <w:tcW w:type="dxa" w:w="2268"/>
            <w:shd w:val="clear" w:color="auto" w:fill="1F3864"/>
          </w:tcPr>
          <w:p>
            <w:r>
              <w:rPr>
                <w:b/>
                <w:color w:val="FFFFFF"/>
                <w:sz w:val="19"/>
              </w:rPr>
              <w:t>Proportion</w:t>
            </w:r>
          </w:p>
        </w:tc>
        <w:tc>
          <w:tcPr>
            <w:tcW w:type="dxa" w:w="3402"/>
            <w:shd w:val="clear" w:color="auto" w:fill="1F3864"/>
          </w:tcPr>
          <w:p>
            <w:r>
              <w:rPr>
                <w:b/>
                <w:color w:val="FFFFFF"/>
                <w:sz w:val="19"/>
              </w:rPr>
              <w:t>Nombre / cohorte de 2 000</w:t>
            </w:r>
          </w:p>
        </w:tc>
      </w:tr>
      <w:tr>
        <w:tc>
          <w:tcPr>
            <w:tcW w:type="dxa" w:w="3969"/>
            <w:shd w:val="clear" w:color="auto" w:fill="F2F2F2"/>
          </w:tcPr>
          <w:p>
            <w:r>
              <w:rPr>
                <w:b/>
                <w:sz w:val="19"/>
              </w:rPr>
              <w:t>BAC professionnel</w:t>
            </w:r>
          </w:p>
        </w:tc>
        <w:tc>
          <w:tcPr>
            <w:tcW w:type="dxa" w:w="2268"/>
            <w:shd w:val="clear" w:color="auto" w:fill="F2F2F2"/>
          </w:tcPr>
          <w:p>
            <w:r>
              <w:rPr>
                <w:sz w:val="19"/>
              </w:rPr>
              <w:t>10 %</w:t>
            </w:r>
          </w:p>
        </w:tc>
        <w:tc>
          <w:tcPr>
            <w:tcW w:type="dxa" w:w="3402"/>
            <w:shd w:val="clear" w:color="auto" w:fill="F2F2F2"/>
          </w:tcPr>
          <w:p>
            <w:r>
              <w:rPr>
                <w:sz w:val="19"/>
              </w:rPr>
              <w:t>200</w:t>
            </w:r>
          </w:p>
        </w:tc>
      </w:tr>
      <w:tr>
        <w:tc>
          <w:tcPr>
            <w:tcW w:type="dxa" w:w="3969"/>
            <w:shd w:val="clear" w:color="auto" w:fill="FFFFFF"/>
          </w:tcPr>
          <w:p>
            <w:r>
              <w:rPr>
                <w:b/>
                <w:sz w:val="19"/>
              </w:rPr>
              <w:t>BTS/DUT (BAC+2)</w:t>
            </w:r>
          </w:p>
        </w:tc>
        <w:tc>
          <w:tcPr>
            <w:tcW w:type="dxa" w:w="2268"/>
            <w:shd w:val="clear" w:color="auto" w:fill="FFFFFF"/>
          </w:tcPr>
          <w:p>
            <w:r>
              <w:rPr>
                <w:sz w:val="19"/>
              </w:rPr>
              <w:t>30 %</w:t>
            </w:r>
          </w:p>
        </w:tc>
        <w:tc>
          <w:tcPr>
            <w:tcW w:type="dxa" w:w="3402"/>
            <w:shd w:val="clear" w:color="auto" w:fill="FFFFFF"/>
          </w:tcPr>
          <w:p>
            <w:r>
              <w:rPr>
                <w:sz w:val="19"/>
              </w:rPr>
              <w:t>600</w:t>
            </w:r>
          </w:p>
        </w:tc>
      </w:tr>
      <w:tr>
        <w:tc>
          <w:tcPr>
            <w:tcW w:type="dxa" w:w="3969"/>
            <w:shd w:val="clear" w:color="auto" w:fill="F2F2F2"/>
          </w:tcPr>
          <w:p>
            <w:r>
              <w:rPr>
                <w:b/>
                <w:sz w:val="19"/>
              </w:rPr>
              <w:t>DTS/Licence / Maitrise (BAC+3/4)</w:t>
            </w:r>
          </w:p>
        </w:tc>
        <w:tc>
          <w:tcPr>
            <w:tcW w:type="dxa" w:w="2268"/>
            <w:shd w:val="clear" w:color="auto" w:fill="F2F2F2"/>
          </w:tcPr>
          <w:p>
            <w:r>
              <w:rPr>
                <w:sz w:val="19"/>
              </w:rPr>
              <w:t>40 %</w:t>
            </w:r>
          </w:p>
        </w:tc>
        <w:tc>
          <w:tcPr>
            <w:tcW w:type="dxa" w:w="3402"/>
            <w:shd w:val="clear" w:color="auto" w:fill="F2F2F2"/>
          </w:tcPr>
          <w:p>
            <w:r>
              <w:rPr>
                <w:sz w:val="19"/>
              </w:rPr>
              <w:t>800</w:t>
            </w:r>
          </w:p>
        </w:tc>
      </w:tr>
      <w:tr>
        <w:tc>
          <w:tcPr>
            <w:tcW w:type="dxa" w:w="3969"/>
            <w:shd w:val="clear" w:color="auto" w:fill="FFFFFF"/>
          </w:tcPr>
          <w:p>
            <w:r>
              <w:rPr>
                <w:b/>
                <w:sz w:val="19"/>
              </w:rPr>
              <w:t>Master / Ingenieur (BAC+5)</w:t>
            </w:r>
          </w:p>
        </w:tc>
        <w:tc>
          <w:tcPr>
            <w:tcW w:type="dxa" w:w="2268"/>
            <w:shd w:val="clear" w:color="auto" w:fill="FFFFFF"/>
          </w:tcPr>
          <w:p>
            <w:r>
              <w:rPr>
                <w:sz w:val="19"/>
              </w:rPr>
              <w:t>20 %</w:t>
            </w:r>
          </w:p>
        </w:tc>
        <w:tc>
          <w:tcPr>
            <w:tcW w:type="dxa" w:w="3402"/>
            <w:shd w:val="clear" w:color="auto" w:fill="FFFFFF"/>
          </w:tcPr>
          <w:p>
            <w:r>
              <w:rPr>
                <w:sz w:val="19"/>
              </w:rPr>
              <w:t>400</w:t>
            </w:r>
          </w:p>
        </w:tc>
      </w:tr>
      <w:tr>
        <w:tc>
          <w:tcPr>
            <w:tcW w:type="dxa" w:w="3969"/>
            <w:shd w:val="clear" w:color="auto" w:fill="F2F2F2"/>
          </w:tcPr>
          <w:p>
            <w:r>
              <w:rPr>
                <w:b/>
                <w:sz w:val="19"/>
              </w:rPr>
              <w:t>TOTAL</w:t>
            </w:r>
          </w:p>
        </w:tc>
        <w:tc>
          <w:tcPr>
            <w:tcW w:type="dxa" w:w="2268"/>
            <w:shd w:val="clear" w:color="auto" w:fill="F2F2F2"/>
          </w:tcPr>
          <w:p>
            <w:r>
              <w:rPr>
                <w:sz w:val="19"/>
              </w:rPr>
              <w:t>100 %</w:t>
            </w:r>
          </w:p>
        </w:tc>
        <w:tc>
          <w:tcPr>
            <w:tcW w:type="dxa" w:w="3402"/>
            <w:shd w:val="clear" w:color="auto" w:fill="F2F2F2"/>
          </w:tcPr>
          <w:p>
            <w:r>
              <w:rPr>
                <w:sz w:val="19"/>
              </w:rPr>
              <w:t>2 000</w:t>
            </w:r>
          </w:p>
        </w:tc>
      </w:tr>
    </w:tbl>
    <w:p/>
    <w:p>
      <w:pPr>
        <w:pStyle w:val="Heading2"/>
      </w:pPr>
      <w:r>
        <w:rPr>
          <w:rFonts w:ascii="Calibri" w:hAnsi="Calibri"/>
          <w:color w:val="2E74B5"/>
        </w:rPr>
        <w:t>1.4 Budget et financement</w:t>
      </w:r>
    </w:p>
    <w:p>
      <w:r>
        <w:rPr>
          <w:b w:val="0"/>
          <w:i w:val="0"/>
          <w:sz w:val="21"/>
        </w:rPr>
        <w:t>Financement : 100 % ressources nationales (Budget de l'Etat beninois). Budget global previsionnel sur 5 ans : 46,60 milliards FCFA.</w:t>
      </w:r>
    </w:p>
    <w:tbl>
      <w:tblPr>
        <w:tblStyle w:val="TableGrid"/>
        <w:tblW w:type="auto" w:w="0"/>
        <w:tblLook w:firstColumn="1" w:firstRow="1" w:lastColumn="0" w:lastRow="0" w:noHBand="0" w:noVBand="1" w:val="04A0"/>
      </w:tblPr>
      <w:tblGrid>
        <w:gridCol w:w="3079"/>
        <w:gridCol w:w="3079"/>
        <w:gridCol w:w="3079"/>
      </w:tblGrid>
      <w:tr>
        <w:tc>
          <w:tcPr>
            <w:tcW w:type="dxa" w:w="4535"/>
            <w:shd w:val="clear" w:color="auto" w:fill="1F3864"/>
          </w:tcPr>
          <w:p>
            <w:r>
              <w:rPr>
                <w:b/>
                <w:color w:val="FFFFFF"/>
                <w:sz w:val="19"/>
              </w:rPr>
              <w:t>Rubrique</w:t>
            </w:r>
          </w:p>
        </w:tc>
        <w:tc>
          <w:tcPr>
            <w:tcW w:type="dxa" w:w="2835"/>
            <w:shd w:val="clear" w:color="auto" w:fill="1F3864"/>
          </w:tcPr>
          <w:p>
            <w:r>
              <w:rPr>
                <w:b/>
                <w:color w:val="FFFFFF"/>
                <w:sz w:val="19"/>
              </w:rPr>
              <w:t>Montant previsionnel</w:t>
            </w:r>
          </w:p>
        </w:tc>
        <w:tc>
          <w:tcPr>
            <w:tcW w:type="dxa" w:w="2268"/>
            <w:shd w:val="clear" w:color="auto" w:fill="1F3864"/>
          </w:tcPr>
          <w:p>
            <w:r>
              <w:rPr>
                <w:b/>
                <w:color w:val="FFFFFF"/>
                <w:sz w:val="19"/>
              </w:rPr>
              <w:t>Part</w:t>
            </w:r>
          </w:p>
        </w:tc>
      </w:tr>
      <w:tr>
        <w:tc>
          <w:tcPr>
            <w:tcW w:type="dxa" w:w="4535"/>
            <w:shd w:val="clear" w:color="auto" w:fill="F2F2F2"/>
          </w:tcPr>
          <w:p>
            <w:r>
              <w:rPr>
                <w:b/>
                <w:sz w:val="19"/>
              </w:rPr>
              <w:t>Salaires et charges sociales des allocataires</w:t>
            </w:r>
          </w:p>
        </w:tc>
        <w:tc>
          <w:tcPr>
            <w:tcW w:type="dxa" w:w="2835"/>
            <w:shd w:val="clear" w:color="auto" w:fill="F2F2F2"/>
          </w:tcPr>
          <w:p>
            <w:r>
              <w:rPr>
                <w:sz w:val="19"/>
              </w:rPr>
              <w:t>43,57 milliards FCFA</w:t>
            </w:r>
          </w:p>
        </w:tc>
        <w:tc>
          <w:tcPr>
            <w:tcW w:type="dxa" w:w="2268"/>
            <w:shd w:val="clear" w:color="auto" w:fill="F2F2F2"/>
          </w:tcPr>
          <w:p>
            <w:r>
              <w:rPr>
                <w:sz w:val="19"/>
              </w:rPr>
              <w:t>~93,5 %</w:t>
            </w:r>
          </w:p>
        </w:tc>
      </w:tr>
      <w:tr>
        <w:tc>
          <w:tcPr>
            <w:tcW w:type="dxa" w:w="4535"/>
            <w:shd w:val="clear" w:color="auto" w:fill="FFFFFF"/>
          </w:tcPr>
          <w:p>
            <w:r>
              <w:rPr>
                <w:b/>
                <w:sz w:val="19"/>
              </w:rPr>
              <w:t>Formation et encadrement</w:t>
            </w:r>
          </w:p>
        </w:tc>
        <w:tc>
          <w:tcPr>
            <w:tcW w:type="dxa" w:w="2835"/>
            <w:shd w:val="clear" w:color="auto" w:fill="FFFFFF"/>
          </w:tcPr>
          <w:p>
            <w:r>
              <w:rPr>
                <w:sz w:val="19"/>
              </w:rPr>
              <w:t>~1,4 milliard FCFA</w:t>
            </w:r>
          </w:p>
        </w:tc>
        <w:tc>
          <w:tcPr>
            <w:tcW w:type="dxa" w:w="2268"/>
            <w:shd w:val="clear" w:color="auto" w:fill="FFFFFF"/>
          </w:tcPr>
          <w:p>
            <w:r>
              <w:rPr>
                <w:sz w:val="19"/>
              </w:rPr>
              <w:t>~3,0 %</w:t>
            </w:r>
          </w:p>
        </w:tc>
      </w:tr>
      <w:tr>
        <w:tc>
          <w:tcPr>
            <w:tcW w:type="dxa" w:w="4535"/>
            <w:shd w:val="clear" w:color="auto" w:fill="F2F2F2"/>
          </w:tcPr>
          <w:p>
            <w:r>
              <w:rPr>
                <w:b/>
                <w:sz w:val="19"/>
              </w:rPr>
              <w:t>Fonctionnement et gestion administrative</w:t>
            </w:r>
          </w:p>
        </w:tc>
        <w:tc>
          <w:tcPr>
            <w:tcW w:type="dxa" w:w="2835"/>
            <w:shd w:val="clear" w:color="auto" w:fill="F2F2F2"/>
          </w:tcPr>
          <w:p>
            <w:r>
              <w:rPr>
                <w:sz w:val="19"/>
              </w:rPr>
              <w:t>~1,6 milliard FCFA</w:t>
            </w:r>
          </w:p>
        </w:tc>
        <w:tc>
          <w:tcPr>
            <w:tcW w:type="dxa" w:w="2268"/>
            <w:shd w:val="clear" w:color="auto" w:fill="F2F2F2"/>
          </w:tcPr>
          <w:p>
            <w:r>
              <w:rPr>
                <w:sz w:val="19"/>
              </w:rPr>
              <w:t>~3,5 %</w:t>
            </w:r>
          </w:p>
        </w:tc>
      </w:tr>
      <w:tr>
        <w:tc>
          <w:tcPr>
            <w:tcW w:type="dxa" w:w="4535"/>
            <w:shd w:val="clear" w:color="auto" w:fill="FFFFFF"/>
          </w:tcPr>
          <w:p>
            <w:r>
              <w:rPr>
                <w:b/>
                <w:sz w:val="19"/>
              </w:rPr>
              <w:t>TOTAL</w:t>
            </w:r>
          </w:p>
        </w:tc>
        <w:tc>
          <w:tcPr>
            <w:tcW w:type="dxa" w:w="2835"/>
            <w:shd w:val="clear" w:color="auto" w:fill="FFFFFF"/>
          </w:tcPr>
          <w:p>
            <w:r>
              <w:rPr>
                <w:sz w:val="19"/>
              </w:rPr>
              <w:t>46,60 milliards FCFA</w:t>
            </w:r>
          </w:p>
        </w:tc>
        <w:tc>
          <w:tcPr>
            <w:tcW w:type="dxa" w:w="2268"/>
            <w:shd w:val="clear" w:color="auto" w:fill="FFFFFF"/>
          </w:tcPr>
          <w:p>
            <w:r>
              <w:rPr>
                <w:sz w:val="19"/>
              </w:rPr>
              <w:t>100 %</w:t>
            </w:r>
          </w:p>
        </w:tc>
      </w:tr>
    </w:tbl>
    <w:p/>
    <w:p>
      <w:pPr>
        <w:pStyle w:val="Heading2"/>
      </w:pPr>
      <w:r>
        <w:rPr>
          <w:rFonts w:ascii="Calibri" w:hAnsi="Calibri"/>
          <w:color w:val="2E74B5"/>
        </w:rPr>
        <w:t>1.5 Cadre institutionnel</w:t>
      </w:r>
    </w:p>
    <w:tbl>
      <w:tblPr>
        <w:tblStyle w:val="TableGrid"/>
        <w:tblW w:type="auto" w:w="0"/>
        <w:tblLook w:firstColumn="1" w:firstRow="1" w:lastColumn="0" w:lastRow="0" w:noHBand="0" w:noVBand="1" w:val="04A0"/>
      </w:tblPr>
      <w:tblGrid>
        <w:gridCol w:w="4618"/>
        <w:gridCol w:w="4618"/>
      </w:tblGrid>
      <w:tr>
        <w:tc>
          <w:tcPr>
            <w:tcW w:type="dxa" w:w="3402"/>
            <w:shd w:val="clear" w:color="auto" w:fill="1F3864"/>
          </w:tcPr>
          <w:p>
            <w:r>
              <w:rPr>
                <w:b/>
                <w:color w:val="FFFFFF"/>
                <w:sz w:val="19"/>
              </w:rPr>
              <w:t>Acteur</w:t>
            </w:r>
          </w:p>
        </w:tc>
        <w:tc>
          <w:tcPr>
            <w:tcW w:type="dxa" w:w="6236"/>
            <w:shd w:val="clear" w:color="auto" w:fill="1F3864"/>
          </w:tcPr>
          <w:p>
            <w:r>
              <w:rPr>
                <w:b/>
                <w:color w:val="FFFFFF"/>
                <w:sz w:val="19"/>
              </w:rPr>
              <w:t>Role</w:t>
            </w:r>
          </w:p>
        </w:tc>
      </w:tr>
      <w:tr>
        <w:tc>
          <w:tcPr>
            <w:tcW w:type="dxa" w:w="3402"/>
            <w:shd w:val="clear" w:color="auto" w:fill="F2F2F2"/>
          </w:tcPr>
          <w:p>
            <w:r>
              <w:rPr>
                <w:b/>
                <w:sz w:val="19"/>
              </w:rPr>
              <w:t>Presidence de la Republique / BAI</w:t>
            </w:r>
          </w:p>
        </w:tc>
        <w:tc>
          <w:tcPr>
            <w:tcW w:type="dxa" w:w="6236"/>
            <w:shd w:val="clear" w:color="auto" w:fill="F2F2F2"/>
          </w:tcPr>
          <w:p>
            <w:r>
              <w:rPr>
                <w:sz w:val="19"/>
              </w:rPr>
              <w:t>Autorite de tutelle, financement, Unite de Coordination</w:t>
            </w:r>
          </w:p>
        </w:tc>
      </w:tr>
      <w:tr>
        <w:tc>
          <w:tcPr>
            <w:tcW w:type="dxa" w:w="3402"/>
            <w:shd w:val="clear" w:color="auto" w:fill="FFFFFF"/>
          </w:tcPr>
          <w:p>
            <w:r>
              <w:rPr>
                <w:b/>
                <w:sz w:val="19"/>
              </w:rPr>
              <w:t>Ministere en charge de l'Emploi</w:t>
            </w:r>
          </w:p>
        </w:tc>
        <w:tc>
          <w:tcPr>
            <w:tcW w:type="dxa" w:w="6236"/>
            <w:shd w:val="clear" w:color="auto" w:fill="FFFFFF"/>
          </w:tcPr>
          <w:p>
            <w:r>
              <w:rPr>
                <w:sz w:val="19"/>
              </w:rPr>
              <w:t>Supervision politique</w:t>
            </w:r>
          </w:p>
        </w:tc>
      </w:tr>
      <w:tr>
        <w:tc>
          <w:tcPr>
            <w:tcW w:type="dxa" w:w="3402"/>
            <w:shd w:val="clear" w:color="auto" w:fill="F2F2F2"/>
          </w:tcPr>
          <w:p>
            <w:r>
              <w:rPr>
                <w:b/>
                <w:sz w:val="19"/>
              </w:rPr>
              <w:t>ANPE</w:t>
            </w:r>
          </w:p>
        </w:tc>
        <w:tc>
          <w:tcPr>
            <w:tcW w:type="dxa" w:w="6236"/>
            <w:shd w:val="clear" w:color="auto" w:fill="F2F2F2"/>
          </w:tcPr>
          <w:p>
            <w:r>
              <w:rPr>
                <w:sz w:val="19"/>
              </w:rPr>
              <w:t>Agence d'execution : plateforme, conseillers en emploi, reseau territorial</w:t>
            </w:r>
          </w:p>
        </w:tc>
      </w:tr>
      <w:tr>
        <w:tc>
          <w:tcPr>
            <w:tcW w:type="dxa" w:w="3402"/>
            <w:shd w:val="clear" w:color="auto" w:fill="FFFFFF"/>
          </w:tcPr>
          <w:p>
            <w:r>
              <w:rPr>
                <w:b/>
                <w:sz w:val="19"/>
              </w:rPr>
              <w:t>Comite de pilotage (CA ANPE)</w:t>
            </w:r>
          </w:p>
        </w:tc>
        <w:tc>
          <w:tcPr>
            <w:tcW w:type="dxa" w:w="6236"/>
            <w:shd w:val="clear" w:color="auto" w:fill="FFFFFF"/>
          </w:tcPr>
          <w:p>
            <w:r>
              <w:rPr>
                <w:sz w:val="19"/>
              </w:rPr>
              <w:t>Orientations strategiques, validation des rapports et budgets</w:t>
            </w:r>
          </w:p>
        </w:tc>
      </w:tr>
      <w:tr>
        <w:tc>
          <w:tcPr>
            <w:tcW w:type="dxa" w:w="3402"/>
            <w:shd w:val="clear" w:color="auto" w:fill="F2F2F2"/>
          </w:tcPr>
          <w:p>
            <w:r>
              <w:rPr>
                <w:b/>
                <w:sz w:val="19"/>
              </w:rPr>
              <w:t>Comite technique (DG ANPE)</w:t>
            </w:r>
          </w:p>
        </w:tc>
        <w:tc>
          <w:tcPr>
            <w:tcW w:type="dxa" w:w="6236"/>
            <w:shd w:val="clear" w:color="auto" w:fill="F2F2F2"/>
          </w:tcPr>
          <w:p>
            <w:r>
              <w:rPr>
                <w:sz w:val="19"/>
              </w:rPr>
              <w:t>Validation technique, supervision mensuelle</w:t>
            </w:r>
          </w:p>
        </w:tc>
      </w:tr>
      <w:tr>
        <w:tc>
          <w:tcPr>
            <w:tcW w:type="dxa" w:w="3402"/>
            <w:shd w:val="clear" w:color="auto" w:fill="FFFFFF"/>
          </w:tcPr>
          <w:p>
            <w:r>
              <w:rPr>
                <w:b/>
                <w:sz w:val="19"/>
              </w:rPr>
              <w:t>Coordination du PSIE</w:t>
            </w:r>
          </w:p>
        </w:tc>
        <w:tc>
          <w:tcPr>
            <w:tcW w:type="dxa" w:w="6236"/>
            <w:shd w:val="clear" w:color="auto" w:fill="FFFFFF"/>
          </w:tcPr>
          <w:p>
            <w:r>
              <w:rPr>
                <w:sz w:val="19"/>
              </w:rPr>
              <w:t>Gestion operationnelle quotidienne</w:t>
            </w:r>
          </w:p>
        </w:tc>
      </w:tr>
      <w:tr>
        <w:tc>
          <w:tcPr>
            <w:tcW w:type="dxa" w:w="3402"/>
            <w:shd w:val="clear" w:color="auto" w:fill="F2F2F2"/>
          </w:tcPr>
          <w:p>
            <w:r>
              <w:rPr>
                <w:b/>
                <w:sz w:val="19"/>
              </w:rPr>
              <w:t>Tresor public</w:t>
            </w:r>
          </w:p>
        </w:tc>
        <w:tc>
          <w:tcPr>
            <w:tcW w:type="dxa" w:w="6236"/>
            <w:shd w:val="clear" w:color="auto" w:fill="F2F2F2"/>
          </w:tcPr>
          <w:p>
            <w:r>
              <w:rPr>
                <w:sz w:val="19"/>
              </w:rPr>
              <w:t>Paiement direct des salaires sur les comptes des allocataires</w:t>
            </w:r>
          </w:p>
        </w:tc>
      </w:tr>
    </w:tbl>
    <w:p/>
    <w:p>
      <w:r>
        <w:br w:type="page"/>
      </w:r>
    </w:p>
    <w:p>
      <w:pPr>
        <w:pStyle w:val="Heading1"/>
      </w:pPr>
      <w:r>
        <w:rPr>
          <w:rFonts w:ascii="Calibri" w:hAnsi="Calibri"/>
          <w:color w:val="1F3864"/>
        </w:rPr>
        <w:t>2. METHODOLOGIE D'EVALUATION</w:t>
      </w:r>
    </w:p>
    <w:p>
      <w:r>
        <w:rPr>
          <w:b w:val="0"/>
          <w:i w:val="0"/>
          <w:sz w:val="21"/>
        </w:rPr>
        <w:t>La presente evaluation repose sur une revue documentaire systematique des trois sources officielles du programme :</w:t>
      </w:r>
    </w:p>
    <w:p>
      <w:pPr>
        <w:pStyle w:val="ListBullet"/>
        <w:ind w:left="567"/>
      </w:pPr>
      <w:r>
        <w:t>Prodoc PSIE-BeninF (revu) 03.04.20 - Document de projet, 59 pages (mars 2020)</w:t>
      </w:r>
    </w:p>
    <w:p>
      <w:pPr>
        <w:pStyle w:val="ListBullet"/>
        <w:ind w:left="567"/>
      </w:pPr>
      <w:r>
        <w:t>Cadre Logique PSIE - Matrice officielle de resultats (4 pages)</w:t>
      </w:r>
    </w:p>
    <w:p>
      <w:pPr>
        <w:pStyle w:val="ListBullet"/>
        <w:ind w:left="567"/>
      </w:pPr>
      <w:r>
        <w:t>Rapport actualise de mise en oeuvre du PSIE, juil. 2020 - sept. 2025 (oct. 2025)</w:t>
      </w:r>
    </w:p>
    <w:p>
      <w:r>
        <w:rPr>
          <w:b w:val="0"/>
          <w:i/>
          <w:sz w:val="21"/>
        </w:rPr>
        <w:t>Les constats reposent sur la convergence des trois documents (triangulation par les sources). Les donnees statistiques sont tirees de la Base de donnees PSIE (septembre 2025).</w:t>
      </w:r>
    </w:p>
    <w:p/>
    <w:p>
      <w:pPr>
        <w:ind w:left="567" w:right="567"/>
      </w:pPr>
      <w:r>
        <w:rPr>
          <w:i/>
          <w:color w:val="404040"/>
        </w:rPr>
        <w:t>NOTE : Les criteres d'efficience, d'impacts, de durabilite et de genre seront evalues en Phase 2, lors de la collecte de donnees primaires (enquete aupres des beneficiaires, donnees desagregees par sexe, suivi longitudinal post-programme).</w:t>
      </w:r>
    </w:p>
    <w:p>
      <w:r>
        <w:br w:type="page"/>
      </w:r>
    </w:p>
    <w:p>
      <w:pPr>
        <w:pStyle w:val="Heading1"/>
      </w:pPr>
      <w:r>
        <w:rPr>
          <w:rFonts w:ascii="Calibri" w:hAnsi="Calibri"/>
          <w:color w:val="1F3864"/>
        </w:rPr>
        <w:t>3. CRITERE 1 - PERTINENCE</w:t>
      </w:r>
    </w:p>
    <w:p>
      <w:pPr>
        <w:ind w:left="567" w:right="567"/>
      </w:pPr>
      <w:r>
        <w:rPr>
          <w:i/>
          <w:color w:val="404040"/>
        </w:rPr>
        <w:t>Definition OCDE/CAD : La pertinence est la mesure dans laquelle les objectifs et la conception d'une intervention correspondent aux besoins, aux politiques et aux priorites des beneficiaires, du pays partenaire et des partenaires institutionnels.</w:t>
      </w:r>
    </w:p>
    <w:p/>
    <w:p>
      <w:pPr>
        <w:pStyle w:val="Heading2"/>
      </w:pPr>
      <w:r>
        <w:rPr>
          <w:rFonts w:ascii="Calibri" w:hAnsi="Calibri"/>
          <w:color w:val="2E74B5"/>
        </w:rPr>
        <w:t>3.1 Questions evaluatives</w:t>
      </w:r>
    </w:p>
    <w:tbl>
      <w:tblPr>
        <w:tblStyle w:val="TableGrid"/>
        <w:tblW w:type="auto" w:w="0"/>
        <w:tblLook w:firstColumn="1" w:firstRow="1" w:lastColumn="0" w:lastRow="0" w:noHBand="0" w:noVBand="1" w:val="04A0"/>
      </w:tblPr>
      <w:tblGrid>
        <w:gridCol w:w="4618"/>
        <w:gridCol w:w="4618"/>
      </w:tblGrid>
      <w:tr>
        <w:tc>
          <w:tcPr>
            <w:tcW w:type="dxa" w:w="1134"/>
            <w:shd w:val="clear" w:color="auto" w:fill="1F3864"/>
          </w:tcPr>
          <w:p>
            <w:r>
              <w:rPr>
                <w:b/>
                <w:color w:val="FFFFFF"/>
                <w:sz w:val="19"/>
              </w:rPr>
              <w:t>N°</w:t>
            </w:r>
          </w:p>
        </w:tc>
        <w:tc>
          <w:tcPr>
            <w:tcW w:type="dxa" w:w="8504"/>
            <w:shd w:val="clear" w:color="auto" w:fill="1F3864"/>
          </w:tcPr>
          <w:p>
            <w:r>
              <w:rPr>
                <w:b/>
                <w:color w:val="FFFFFF"/>
                <w:sz w:val="19"/>
              </w:rPr>
              <w:t>Question evaluative</w:t>
            </w:r>
          </w:p>
        </w:tc>
      </w:tr>
      <w:tr>
        <w:tc>
          <w:tcPr>
            <w:tcW w:type="dxa" w:w="1134"/>
            <w:shd w:val="clear" w:color="auto" w:fill="F2F2F2"/>
          </w:tcPr>
          <w:p>
            <w:r>
              <w:rPr>
                <w:b/>
                <w:sz w:val="19"/>
              </w:rPr>
              <w:t>QE1.1</w:t>
            </w:r>
          </w:p>
        </w:tc>
        <w:tc>
          <w:tcPr>
            <w:tcW w:type="dxa" w:w="8504"/>
            <w:shd w:val="clear" w:color="auto" w:fill="F2F2F2"/>
          </w:tcPr>
          <w:p>
            <w:r>
              <w:rPr>
                <w:sz w:val="19"/>
              </w:rPr>
              <w:t>Dans quelle mesure les objectifs du PSIE correspondent-ils aux besoins reels des populations cibles (jeunes diplomes chomeurs, entreprises en quete de main d'oeuvre) ?</w:t>
            </w:r>
          </w:p>
        </w:tc>
      </w:tr>
      <w:tr>
        <w:tc>
          <w:tcPr>
            <w:tcW w:type="dxa" w:w="1134"/>
            <w:shd w:val="clear" w:color="auto" w:fill="FFFFFF"/>
          </w:tcPr>
          <w:p>
            <w:r>
              <w:rPr>
                <w:b/>
                <w:sz w:val="19"/>
              </w:rPr>
              <w:t>QE1.2</w:t>
            </w:r>
          </w:p>
        </w:tc>
        <w:tc>
          <w:tcPr>
            <w:tcW w:type="dxa" w:w="8504"/>
            <w:shd w:val="clear" w:color="auto" w:fill="FFFFFF"/>
          </w:tcPr>
          <w:p>
            <w:r>
              <w:rPr>
                <w:sz w:val="19"/>
              </w:rPr>
              <w:t>Le programme est-il aligne sur les priorites nationales (PAG, PNE 2017-2026, ODD 8, Agenda 2063) ?</w:t>
            </w:r>
          </w:p>
        </w:tc>
      </w:tr>
      <w:tr>
        <w:tc>
          <w:tcPr>
            <w:tcW w:type="dxa" w:w="1134"/>
            <w:shd w:val="clear" w:color="auto" w:fill="F2F2F2"/>
          </w:tcPr>
          <w:p>
            <w:r>
              <w:rPr>
                <w:b/>
                <w:sz w:val="19"/>
              </w:rPr>
              <w:t>QE1.3</w:t>
            </w:r>
          </w:p>
        </w:tc>
        <w:tc>
          <w:tcPr>
            <w:tcW w:type="dxa" w:w="8504"/>
            <w:shd w:val="clear" w:color="auto" w:fill="F2F2F2"/>
          </w:tcPr>
          <w:p>
            <w:r>
              <w:rPr>
                <w:sz w:val="19"/>
              </w:rPr>
              <w:t>Les problemes que le PSIE cherche a resoudre ont-ils ete correctement diagnostiques et demeurent-ils d'actualite ?</w:t>
            </w:r>
          </w:p>
        </w:tc>
      </w:tr>
      <w:tr>
        <w:tc>
          <w:tcPr>
            <w:tcW w:type="dxa" w:w="1134"/>
            <w:shd w:val="clear" w:color="auto" w:fill="FFFFFF"/>
          </w:tcPr>
          <w:p>
            <w:r>
              <w:rPr>
                <w:b/>
                <w:sz w:val="19"/>
              </w:rPr>
              <w:t>QE1.4</w:t>
            </w:r>
          </w:p>
        </w:tc>
        <w:tc>
          <w:tcPr>
            <w:tcW w:type="dxa" w:w="8504"/>
            <w:shd w:val="clear" w:color="auto" w:fill="FFFFFF"/>
          </w:tcPr>
          <w:p>
            <w:r>
              <w:rPr>
                <w:sz w:val="19"/>
              </w:rPr>
              <w:t>La conception tient-elle compte des caracteristiques specifiques du marche de l'emploi beninois ?</w:t>
            </w:r>
          </w:p>
        </w:tc>
      </w:tr>
    </w:tbl>
    <w:p/>
    <w:p>
      <w:pPr>
        <w:pStyle w:val="Heading2"/>
      </w:pPr>
      <w:r>
        <w:rPr>
          <w:rFonts w:ascii="Calibri" w:hAnsi="Calibri"/>
          <w:color w:val="2E74B5"/>
        </w:rPr>
        <w:t>3.2 Contexte du marche de l'emploi (diagnostic du Prodoc, 2020)</w:t>
      </w:r>
    </w:p>
    <w:tbl>
      <w:tblPr>
        <w:tblStyle w:val="TableGrid"/>
        <w:tblW w:type="auto" w:w="0"/>
        <w:tblLook w:firstColumn="1" w:firstRow="1" w:lastColumn="0" w:lastRow="0" w:noHBand="0" w:noVBand="1" w:val="04A0"/>
      </w:tblPr>
      <w:tblGrid>
        <w:gridCol w:w="3079"/>
        <w:gridCol w:w="3079"/>
        <w:gridCol w:w="3079"/>
      </w:tblGrid>
      <w:tr>
        <w:tc>
          <w:tcPr>
            <w:tcW w:type="dxa" w:w="3402"/>
            <w:shd w:val="clear" w:color="auto" w:fill="1F3864"/>
          </w:tcPr>
          <w:p>
            <w:r>
              <w:rPr>
                <w:b/>
                <w:color w:val="FFFFFF"/>
                <w:sz w:val="19"/>
              </w:rPr>
              <w:t>Indicateur</w:t>
            </w:r>
          </w:p>
        </w:tc>
        <w:tc>
          <w:tcPr>
            <w:tcW w:type="dxa" w:w="3969"/>
            <w:shd w:val="clear" w:color="auto" w:fill="1F3864"/>
          </w:tcPr>
          <w:p>
            <w:r>
              <w:rPr>
                <w:b/>
                <w:color w:val="FFFFFF"/>
                <w:sz w:val="19"/>
              </w:rPr>
              <w:t>Valeur</w:t>
            </w:r>
          </w:p>
        </w:tc>
        <w:tc>
          <w:tcPr>
            <w:tcW w:type="dxa" w:w="2835"/>
            <w:shd w:val="clear" w:color="auto" w:fill="1F3864"/>
          </w:tcPr>
          <w:p>
            <w:r>
              <w:rPr>
                <w:b/>
                <w:color w:val="FFFFFF"/>
                <w:sz w:val="19"/>
              </w:rPr>
              <w:t>Source</w:t>
            </w:r>
          </w:p>
        </w:tc>
      </w:tr>
      <w:tr>
        <w:tc>
          <w:tcPr>
            <w:tcW w:type="dxa" w:w="3402"/>
            <w:shd w:val="clear" w:color="auto" w:fill="F2F2F2"/>
          </w:tcPr>
          <w:p>
            <w:r>
              <w:rPr>
                <w:b/>
                <w:sz w:val="19"/>
              </w:rPr>
              <w:t>Population de moins de 40 ans</w:t>
            </w:r>
          </w:p>
        </w:tc>
        <w:tc>
          <w:tcPr>
            <w:tcW w:type="dxa" w:w="3969"/>
            <w:shd w:val="clear" w:color="auto" w:fill="F2F2F2"/>
          </w:tcPr>
          <w:p>
            <w:r>
              <w:rPr>
                <w:sz w:val="19"/>
              </w:rPr>
              <w:t>4,08 millions (34 % de la population totale)</w:t>
            </w:r>
          </w:p>
        </w:tc>
        <w:tc>
          <w:tcPr>
            <w:tcW w:type="dxa" w:w="2835"/>
            <w:shd w:val="clear" w:color="auto" w:fill="F2F2F2"/>
          </w:tcPr>
          <w:p>
            <w:r>
              <w:rPr>
                <w:sz w:val="19"/>
              </w:rPr>
              <w:t>EMICOV 2015</w:t>
            </w:r>
          </w:p>
        </w:tc>
      </w:tr>
      <w:tr>
        <w:tc>
          <w:tcPr>
            <w:tcW w:type="dxa" w:w="3402"/>
            <w:shd w:val="clear" w:color="auto" w:fill="FFFFFF"/>
          </w:tcPr>
          <w:p>
            <w:r>
              <w:rPr>
                <w:b/>
                <w:sz w:val="19"/>
              </w:rPr>
              <w:t>Taux de sous-emploi des jeunes</w:t>
            </w:r>
          </w:p>
        </w:tc>
        <w:tc>
          <w:tcPr>
            <w:tcW w:type="dxa" w:w="3969"/>
            <w:shd w:val="clear" w:color="auto" w:fill="FFFFFF"/>
          </w:tcPr>
          <w:p>
            <w:r>
              <w:rPr>
                <w:sz w:val="19"/>
              </w:rPr>
              <w:t>72 %</w:t>
            </w:r>
          </w:p>
        </w:tc>
        <w:tc>
          <w:tcPr>
            <w:tcW w:type="dxa" w:w="2835"/>
            <w:shd w:val="clear" w:color="auto" w:fill="FFFFFF"/>
          </w:tcPr>
          <w:p>
            <w:r>
              <w:rPr>
                <w:sz w:val="19"/>
              </w:rPr>
              <w:t>INSAE, aout 2017</w:t>
            </w:r>
          </w:p>
        </w:tc>
      </w:tr>
      <w:tr>
        <w:tc>
          <w:tcPr>
            <w:tcW w:type="dxa" w:w="3402"/>
            <w:shd w:val="clear" w:color="auto" w:fill="F2F2F2"/>
          </w:tcPr>
          <w:p>
            <w:r>
              <w:rPr>
                <w:b/>
                <w:sz w:val="19"/>
              </w:rPr>
              <w:t>Principaux profils disponibles</w:t>
            </w:r>
          </w:p>
        </w:tc>
        <w:tc>
          <w:tcPr>
            <w:tcW w:type="dxa" w:w="3969"/>
            <w:shd w:val="clear" w:color="auto" w:fill="F2F2F2"/>
          </w:tcPr>
          <w:p>
            <w:r>
              <w:rPr>
                <w:sz w:val="19"/>
              </w:rPr>
              <w:t>BAC (toutes filieres), BAC+2/3, BAC+4/5</w:t>
            </w:r>
          </w:p>
        </w:tc>
        <w:tc>
          <w:tcPr>
            <w:tcW w:type="dxa" w:w="2835"/>
            <w:shd w:val="clear" w:color="auto" w:fill="F2F2F2"/>
          </w:tcPr>
          <w:p>
            <w:r>
              <w:rPr>
                <w:sz w:val="19"/>
              </w:rPr>
              <w:t>INSAE / PAES 2018</w:t>
            </w:r>
          </w:p>
        </w:tc>
      </w:tr>
      <w:tr>
        <w:tc>
          <w:tcPr>
            <w:tcW w:type="dxa" w:w="3402"/>
            <w:shd w:val="clear" w:color="auto" w:fill="FFFFFF"/>
          </w:tcPr>
          <w:p>
            <w:r>
              <w:rPr>
                <w:b/>
                <w:sz w:val="19"/>
              </w:rPr>
              <w:t>Profils demandes par les entreprises</w:t>
            </w:r>
          </w:p>
        </w:tc>
        <w:tc>
          <w:tcPr>
            <w:tcW w:type="dxa" w:w="3969"/>
            <w:shd w:val="clear" w:color="auto" w:fill="FFFFFF"/>
          </w:tcPr>
          <w:p>
            <w:r>
              <w:rPr>
                <w:sz w:val="19"/>
              </w:rPr>
              <w:t>BAC pro, BAC+2/3 (support), BAC+4/5 (TIC, ingenieurs)</w:t>
            </w:r>
          </w:p>
        </w:tc>
        <w:tc>
          <w:tcPr>
            <w:tcW w:type="dxa" w:w="2835"/>
            <w:shd w:val="clear" w:color="auto" w:fill="FFFFFF"/>
          </w:tcPr>
          <w:p>
            <w:r>
              <w:rPr>
                <w:sz w:val="19"/>
              </w:rPr>
              <w:t>Entretiens employeurs 2017</w:t>
            </w:r>
          </w:p>
        </w:tc>
      </w:tr>
    </w:tbl>
    <w:p/>
    <w:p>
      <w:pPr>
        <w:pStyle w:val="Heading2"/>
      </w:pPr>
      <w:r>
        <w:rPr>
          <w:rFonts w:ascii="Calibri" w:hAnsi="Calibri"/>
          <w:color w:val="2E74B5"/>
        </w:rPr>
        <w:t>3.3 Analyse</w:t>
      </w:r>
    </w:p>
    <w:p>
      <w:r>
        <w:rPr>
          <w:b w:val="0"/>
          <w:i w:val="0"/>
          <w:sz w:val="21"/>
        </w:rPr>
        <w:t>Le PSIE cible precisement les profils (BAC pro a Master) et la tranche d'age (18-35 ans) identifies dans le diagnostic. Son mecanisme de subvention salariale repond directement au principal frein a l'embauche : les charges salariales redoutees par les entreprises, notamment les PME/PMI. La demande croissante (2 067 entreprises participantes en 5 ans) confirme que le programme repond a un besoin reel.</w:t>
      </w:r>
    </w:p>
    <w:p>
      <w:r>
        <w:rPr>
          <w:b w:val="0"/>
          <w:i w:val="0"/>
          <w:sz w:val="21"/>
        </w:rPr>
        <w:t>Le PSIE est ancre dans le PAG 2016-2021, la PNE 2017-2026 et l'ODD 8 (Travail decent). Sa prolongation par le Conseil des ministres en fevrier 2025 confirme sa pertinence continue comme priorite nationale.</w:t>
      </w:r>
    </w:p>
    <w:p>
      <w:pPr>
        <w:pStyle w:val="Heading2"/>
      </w:pPr>
      <w:r>
        <w:rPr>
          <w:rFonts w:ascii="Calibri" w:hAnsi="Calibri"/>
          <w:color w:val="2E74B5"/>
        </w:rPr>
        <w:t>3.4 Jugement evaluatif - Pertinence</w:t>
      </w:r>
    </w:p>
    <w:tbl>
      <w:tblPr>
        <w:tblStyle w:val="TableGrid"/>
        <w:tblW w:type="auto" w:w="0"/>
        <w:tblLook w:firstColumn="1" w:firstRow="1" w:lastColumn="0" w:lastRow="0" w:noHBand="0" w:noVBand="1" w:val="04A0"/>
      </w:tblPr>
      <w:tblGrid>
        <w:gridCol w:w="3079"/>
        <w:gridCol w:w="3079"/>
        <w:gridCol w:w="3079"/>
      </w:tblGrid>
      <w:tr>
        <w:tc>
          <w:tcPr>
            <w:tcW w:type="dxa" w:w="2835"/>
            <w:shd w:val="clear" w:color="auto" w:fill="1F3864"/>
          </w:tcPr>
          <w:p>
            <w:r>
              <w:rPr>
                <w:b/>
                <w:color w:val="FFFFFF"/>
                <w:sz w:val="19"/>
              </w:rPr>
              <w:t>Dimension</w:t>
            </w:r>
          </w:p>
        </w:tc>
        <w:tc>
          <w:tcPr>
            <w:tcW w:type="dxa" w:w="1701"/>
            <w:shd w:val="clear" w:color="auto" w:fill="1F3864"/>
          </w:tcPr>
          <w:p>
            <w:r>
              <w:rPr>
                <w:b/>
                <w:color w:val="FFFFFF"/>
                <w:sz w:val="19"/>
              </w:rPr>
              <w:t>Jugement</w:t>
            </w:r>
          </w:p>
        </w:tc>
        <w:tc>
          <w:tcPr>
            <w:tcW w:type="dxa" w:w="5102"/>
            <w:shd w:val="clear" w:color="auto" w:fill="1F3864"/>
          </w:tcPr>
          <w:p>
            <w:r>
              <w:rPr>
                <w:b/>
                <w:color w:val="FFFFFF"/>
                <w:sz w:val="19"/>
              </w:rPr>
              <w:t>Justification</w:t>
            </w:r>
          </w:p>
        </w:tc>
      </w:tr>
      <w:tr>
        <w:tc>
          <w:tcPr>
            <w:tcW w:type="dxa" w:w="2835"/>
            <w:shd w:val="clear" w:color="auto" w:fill="F2F2F2"/>
          </w:tcPr>
          <w:p>
            <w:r>
              <w:rPr>
                <w:b/>
                <w:sz w:val="19"/>
              </w:rPr>
              <w:t>Pertinence / besoins beneficiaires</w:t>
            </w:r>
          </w:p>
        </w:tc>
        <w:tc>
          <w:tcPr>
            <w:tcW w:type="dxa" w:w="1701"/>
            <w:shd w:val="clear" w:color="auto" w:fill="F2F2F2"/>
          </w:tcPr>
          <w:p>
            <w:r>
              <w:rPr>
                <w:sz w:val="19"/>
              </w:rPr>
              <w:t>ELEVE</w:t>
            </w:r>
          </w:p>
        </w:tc>
        <w:tc>
          <w:tcPr>
            <w:tcW w:type="dxa" w:w="5102"/>
            <w:shd w:val="clear" w:color="auto" w:fill="F2F2F2"/>
          </w:tcPr>
          <w:p>
            <w:r>
              <w:rPr>
                <w:sz w:val="19"/>
              </w:rPr>
              <w:t>Diagnostic precis (72 % sous-emploi), adequation des profils, reponse directe au frein salarial</w:t>
            </w:r>
          </w:p>
        </w:tc>
      </w:tr>
      <w:tr>
        <w:tc>
          <w:tcPr>
            <w:tcW w:type="dxa" w:w="2835"/>
            <w:shd w:val="clear" w:color="auto" w:fill="FFFFFF"/>
          </w:tcPr>
          <w:p>
            <w:r>
              <w:rPr>
                <w:b/>
                <w:sz w:val="19"/>
              </w:rPr>
              <w:t>Pertinence / priorites nationales</w:t>
            </w:r>
          </w:p>
        </w:tc>
        <w:tc>
          <w:tcPr>
            <w:tcW w:type="dxa" w:w="1701"/>
            <w:shd w:val="clear" w:color="auto" w:fill="FFFFFF"/>
          </w:tcPr>
          <w:p>
            <w:r>
              <w:rPr>
                <w:sz w:val="19"/>
              </w:rPr>
              <w:t>ELEVE</w:t>
            </w:r>
          </w:p>
        </w:tc>
        <w:tc>
          <w:tcPr>
            <w:tcW w:type="dxa" w:w="5102"/>
            <w:shd w:val="clear" w:color="auto" w:fill="FFFFFF"/>
          </w:tcPr>
          <w:p>
            <w:r>
              <w:rPr>
                <w:sz w:val="19"/>
              </w:rPr>
              <w:t>Ancrage PAG et PNE ; initiative presidentielle ; prolongation 2025 confirmee</w:t>
            </w:r>
          </w:p>
        </w:tc>
      </w:tr>
      <w:tr>
        <w:tc>
          <w:tcPr>
            <w:tcW w:type="dxa" w:w="2835"/>
            <w:shd w:val="clear" w:color="auto" w:fill="F2F2F2"/>
          </w:tcPr>
          <w:p>
            <w:r>
              <w:rPr>
                <w:b/>
                <w:sz w:val="19"/>
              </w:rPr>
              <w:t>Pertinence / conception</w:t>
            </w:r>
          </w:p>
        </w:tc>
        <w:tc>
          <w:tcPr>
            <w:tcW w:type="dxa" w:w="1701"/>
            <w:shd w:val="clear" w:color="auto" w:fill="F2F2F2"/>
          </w:tcPr>
          <w:p>
            <w:r>
              <w:rPr>
                <w:sz w:val="19"/>
              </w:rPr>
              <w:t>ELEVE</w:t>
            </w:r>
          </w:p>
        </w:tc>
        <w:tc>
          <w:tcPr>
            <w:tcW w:type="dxa" w:w="5102"/>
            <w:shd w:val="clear" w:color="auto" w:fill="F2F2F2"/>
          </w:tcPr>
          <w:p>
            <w:r>
              <w:rPr>
                <w:sz w:val="19"/>
              </w:rPr>
              <w:t>Modele centre entreprises innovant ; duree 24 mois adaptee ; tiers-payant securise</w:t>
            </w:r>
          </w:p>
        </w:tc>
      </w:tr>
      <w:tr>
        <w:tc>
          <w:tcPr>
            <w:tcW w:type="dxa" w:w="2835"/>
            <w:shd w:val="clear" w:color="auto" w:fill="FFFFFF"/>
          </w:tcPr>
          <w:p>
            <w:r>
              <w:rPr>
                <w:b/>
                <w:sz w:val="19"/>
              </w:rPr>
              <w:t>JUGEMENT GLOBAL</w:t>
            </w:r>
          </w:p>
        </w:tc>
        <w:tc>
          <w:tcPr>
            <w:tcW w:type="dxa" w:w="1701"/>
            <w:shd w:val="clear" w:color="auto" w:fill="FFFFFF"/>
          </w:tcPr>
          <w:p>
            <w:r>
              <w:rPr>
                <w:sz w:val="19"/>
              </w:rPr>
              <w:t>ELEVE</w:t>
            </w:r>
          </w:p>
        </w:tc>
        <w:tc>
          <w:tcPr>
            <w:tcW w:type="dxa" w:w="5102"/>
            <w:shd w:val="clear" w:color="auto" w:fill="FFFFFF"/>
          </w:tcPr>
          <w:p>
            <w:r>
              <w:rPr>
                <w:sz w:val="19"/>
              </w:rPr>
              <w:t>Le PSIE correspond precisement aux besoins, aux priorites et au contexte beninois</w:t>
            </w:r>
          </w:p>
        </w:tc>
      </w:tr>
    </w:tbl>
    <w:p/>
    <w:p>
      <w:r>
        <w:br w:type="page"/>
      </w:r>
    </w:p>
    <w:p>
      <w:pPr>
        <w:pStyle w:val="Heading1"/>
      </w:pPr>
      <w:r>
        <w:rPr>
          <w:rFonts w:ascii="Calibri" w:hAnsi="Calibri"/>
          <w:color w:val="1F3864"/>
        </w:rPr>
        <w:t>4. CRITERE 2 - COHERENCE</w:t>
      </w:r>
    </w:p>
    <w:p>
      <w:pPr>
        <w:ind w:left="567" w:right="567"/>
      </w:pPr>
      <w:r>
        <w:rPr>
          <w:i/>
          <w:color w:val="404040"/>
        </w:rPr>
        <w:t>Definition OCDE/CAD : La coherence est la compatibilite de l'intervention avec d'autres interventions d'un pays, d'un secteur ou d'une institution. Elle distingue la coherence interne (solidite de la logique d'intervention) et la coherence externe (compatibilite avec d'autres politiques et programmes).</w:t>
      </w:r>
    </w:p>
    <w:p/>
    <w:p>
      <w:pPr>
        <w:pStyle w:val="Heading2"/>
      </w:pPr>
      <w:r>
        <w:rPr>
          <w:rFonts w:ascii="Calibri" w:hAnsi="Calibri"/>
          <w:color w:val="2E74B5"/>
        </w:rPr>
        <w:t>4.1 Coherence interne - Logique d'intervention</w:t>
      </w:r>
    </w:p>
    <w:p>
      <w:r>
        <w:rPr>
          <w:b w:val="0"/>
          <w:i w:val="0"/>
          <w:sz w:val="21"/>
        </w:rPr>
        <w:t>Le cadre logique est articule autour de deux resultats lies directement aux deux objectifs specifiques :</w:t>
      </w:r>
    </w:p>
    <w:p>
      <w:pPr>
        <w:pStyle w:val="ListBullet"/>
        <w:ind w:left="567"/>
      </w:pPr>
      <w:r>
        <w:t>R1 -&gt; OS1 : Les mesures d'accompagnement (formation pre-immersion, tutorat, ateliers TRE, coaching) ameliorent l'employabilite. Confirme dans la mise en oeuvre.</w:t>
      </w:r>
    </w:p>
    <w:p>
      <w:pPr>
        <w:pStyle w:val="ListBullet"/>
        <w:ind w:left="567"/>
      </w:pPr>
      <w:r>
        <w:t>R2 -&gt; OS2 : La prise en charge salariale par le Tresor est directement operationnelle - 18,3 milliards FCFA verses de 2020 a septembre 2025.</w:t>
      </w:r>
    </w:p>
    <w:p/>
    <w:p>
      <w:r>
        <w:rPr>
          <w:b/>
          <w:i w:val="0"/>
          <w:sz w:val="21"/>
        </w:rPr>
        <w:t>Grille salariale - evolution entre Prodoc (2020) et rapport d'execution (2025) :</w:t>
      </w:r>
    </w:p>
    <w:tbl>
      <w:tblPr>
        <w:tblStyle w:val="TableGrid"/>
        <w:tblW w:type="auto" w:w="0"/>
        <w:tblLook w:firstColumn="1" w:firstRow="1" w:lastColumn="0" w:lastRow="0" w:noHBand="0" w:noVBand="1" w:val="04A0"/>
      </w:tblPr>
      <w:tblGrid>
        <w:gridCol w:w="3079"/>
        <w:gridCol w:w="3079"/>
        <w:gridCol w:w="3079"/>
      </w:tblGrid>
      <w:tr>
        <w:tc>
          <w:tcPr>
            <w:tcW w:type="dxa" w:w="3969"/>
            <w:shd w:val="clear" w:color="auto" w:fill="1F3864"/>
          </w:tcPr>
          <w:p>
            <w:r>
              <w:rPr>
                <w:b/>
                <w:color w:val="FFFFFF"/>
                <w:sz w:val="19"/>
              </w:rPr>
              <w:t>Niveau de qualification</w:t>
            </w:r>
          </w:p>
        </w:tc>
        <w:tc>
          <w:tcPr>
            <w:tcW w:type="dxa" w:w="2835"/>
            <w:shd w:val="clear" w:color="auto" w:fill="1F3864"/>
          </w:tcPr>
          <w:p>
            <w:r>
              <w:rPr>
                <w:b/>
                <w:color w:val="FFFFFF"/>
                <w:sz w:val="19"/>
              </w:rPr>
              <w:t>Salaire net Prodoc 2020</w:t>
            </w:r>
          </w:p>
        </w:tc>
        <w:tc>
          <w:tcPr>
            <w:tcW w:type="dxa" w:w="2835"/>
            <w:shd w:val="clear" w:color="auto" w:fill="1F3864"/>
          </w:tcPr>
          <w:p>
            <w:r>
              <w:rPr>
                <w:b/>
                <w:color w:val="FFFFFF"/>
                <w:sz w:val="19"/>
              </w:rPr>
              <w:t>Salaire net applique (2025)</w:t>
            </w:r>
          </w:p>
        </w:tc>
      </w:tr>
      <w:tr>
        <w:tc>
          <w:tcPr>
            <w:tcW w:type="dxa" w:w="3969"/>
            <w:shd w:val="clear" w:color="auto" w:fill="F2F2F2"/>
          </w:tcPr>
          <w:p>
            <w:r>
              <w:rPr>
                <w:b/>
                <w:sz w:val="19"/>
              </w:rPr>
              <w:t>BAC professionnel</w:t>
            </w:r>
          </w:p>
        </w:tc>
        <w:tc>
          <w:tcPr>
            <w:tcW w:type="dxa" w:w="2835"/>
            <w:shd w:val="clear" w:color="auto" w:fill="F2F2F2"/>
          </w:tcPr>
          <w:p>
            <w:r>
              <w:rPr>
                <w:sz w:val="19"/>
              </w:rPr>
              <w:t>100 000 FCFA</w:t>
            </w:r>
          </w:p>
        </w:tc>
        <w:tc>
          <w:tcPr>
            <w:tcW w:type="dxa" w:w="2835"/>
            <w:shd w:val="clear" w:color="auto" w:fill="F2F2F2"/>
          </w:tcPr>
          <w:p>
            <w:r>
              <w:rPr>
                <w:sz w:val="19"/>
              </w:rPr>
              <w:t>100 000 FCFA</w:t>
            </w:r>
          </w:p>
        </w:tc>
      </w:tr>
      <w:tr>
        <w:tc>
          <w:tcPr>
            <w:tcW w:type="dxa" w:w="3969"/>
            <w:shd w:val="clear" w:color="auto" w:fill="FFFFFF"/>
          </w:tcPr>
          <w:p>
            <w:r>
              <w:rPr>
                <w:b/>
                <w:sz w:val="19"/>
              </w:rPr>
              <w:t>BTS/DUT - BAC+2</w:t>
            </w:r>
          </w:p>
        </w:tc>
        <w:tc>
          <w:tcPr>
            <w:tcW w:type="dxa" w:w="2835"/>
            <w:shd w:val="clear" w:color="auto" w:fill="FFFFFF"/>
          </w:tcPr>
          <w:p>
            <w:r>
              <w:rPr>
                <w:sz w:val="19"/>
              </w:rPr>
              <w:t>125 000 FCFA</w:t>
            </w:r>
          </w:p>
        </w:tc>
        <w:tc>
          <w:tcPr>
            <w:tcW w:type="dxa" w:w="2835"/>
            <w:shd w:val="clear" w:color="auto" w:fill="FFFFFF"/>
          </w:tcPr>
          <w:p>
            <w:r>
              <w:rPr>
                <w:sz w:val="19"/>
              </w:rPr>
              <w:t>150 000 FCFA</w:t>
            </w:r>
          </w:p>
        </w:tc>
      </w:tr>
      <w:tr>
        <w:tc>
          <w:tcPr>
            <w:tcW w:type="dxa" w:w="3969"/>
            <w:shd w:val="clear" w:color="auto" w:fill="F2F2F2"/>
          </w:tcPr>
          <w:p>
            <w:r>
              <w:rPr>
                <w:b/>
                <w:sz w:val="19"/>
              </w:rPr>
              <w:t>DTS/Licence - BAC+3</w:t>
            </w:r>
          </w:p>
        </w:tc>
        <w:tc>
          <w:tcPr>
            <w:tcW w:type="dxa" w:w="2835"/>
            <w:shd w:val="clear" w:color="auto" w:fill="F2F2F2"/>
          </w:tcPr>
          <w:p>
            <w:r>
              <w:rPr>
                <w:sz w:val="19"/>
              </w:rPr>
              <w:t>150 000 FCFA</w:t>
            </w:r>
          </w:p>
        </w:tc>
        <w:tc>
          <w:tcPr>
            <w:tcW w:type="dxa" w:w="2835"/>
            <w:shd w:val="clear" w:color="auto" w:fill="F2F2F2"/>
          </w:tcPr>
          <w:p>
            <w:r>
              <w:rPr>
                <w:sz w:val="19"/>
              </w:rPr>
              <w:t>175 000 FCFA</w:t>
            </w:r>
          </w:p>
        </w:tc>
      </w:tr>
      <w:tr>
        <w:tc>
          <w:tcPr>
            <w:tcW w:type="dxa" w:w="3969"/>
            <w:shd w:val="clear" w:color="auto" w:fill="FFFFFF"/>
          </w:tcPr>
          <w:p>
            <w:r>
              <w:rPr>
                <w:b/>
                <w:sz w:val="19"/>
              </w:rPr>
              <w:t>Master/Ingenieur - BAC+5</w:t>
            </w:r>
          </w:p>
        </w:tc>
        <w:tc>
          <w:tcPr>
            <w:tcW w:type="dxa" w:w="2835"/>
            <w:shd w:val="clear" w:color="auto" w:fill="FFFFFF"/>
          </w:tcPr>
          <w:p>
            <w:r>
              <w:rPr>
                <w:sz w:val="19"/>
              </w:rPr>
              <w:t>200 000 FCFA</w:t>
            </w:r>
          </w:p>
        </w:tc>
        <w:tc>
          <w:tcPr>
            <w:tcW w:type="dxa" w:w="2835"/>
            <w:shd w:val="clear" w:color="auto" w:fill="FFFFFF"/>
          </w:tcPr>
          <w:p>
            <w:r>
              <w:rPr>
                <w:sz w:val="19"/>
              </w:rPr>
              <w:t>250 000 FCFA</w:t>
            </w:r>
          </w:p>
        </w:tc>
      </w:tr>
    </w:tbl>
    <w:p/>
    <w:p>
      <w:r>
        <w:rPr>
          <w:b w:val="0"/>
          <w:i/>
          <w:sz w:val="21"/>
        </w:rPr>
        <w:t>Note : Cette revision a la hausse (+20 a +25 %) n'est pas formellement documentee par un avenant ou decret modificatif dans les sources disponibles, ce qui cree un ecart non trace par rapport au budget initial.</w:t>
      </w:r>
    </w:p>
    <w:p>
      <w:pPr>
        <w:pStyle w:val="Heading2"/>
      </w:pPr>
      <w:r>
        <w:rPr>
          <w:rFonts w:ascii="Calibri" w:hAnsi="Calibri"/>
          <w:color w:val="2E74B5"/>
        </w:rPr>
        <w:t>4.2 Coherence externe - avec les politiques et institutions nationales</w:t>
      </w:r>
    </w:p>
    <w:tbl>
      <w:tblPr>
        <w:tblStyle w:val="TableGrid"/>
        <w:tblW w:type="auto" w:w="0"/>
        <w:tblLook w:firstColumn="1" w:firstRow="1" w:lastColumn="0" w:lastRow="0" w:noHBand="0" w:noVBand="1" w:val="04A0"/>
      </w:tblPr>
      <w:tblGrid>
        <w:gridCol w:w="4618"/>
        <w:gridCol w:w="4618"/>
      </w:tblGrid>
      <w:tr>
        <w:tc>
          <w:tcPr>
            <w:tcW w:type="dxa" w:w="2835"/>
            <w:shd w:val="clear" w:color="auto" w:fill="1F3864"/>
          </w:tcPr>
          <w:p>
            <w:r>
              <w:rPr>
                <w:b/>
                <w:color w:val="FFFFFF"/>
                <w:sz w:val="19"/>
              </w:rPr>
              <w:t>Programme / Institution</w:t>
            </w:r>
          </w:p>
        </w:tc>
        <w:tc>
          <w:tcPr>
            <w:tcW w:type="dxa" w:w="6803"/>
            <w:shd w:val="clear" w:color="auto" w:fill="1F3864"/>
          </w:tcPr>
          <w:p>
            <w:r>
              <w:rPr>
                <w:b/>
                <w:color w:val="FFFFFF"/>
                <w:sz w:val="19"/>
              </w:rPr>
              <w:t>Nature de la relation</w:t>
            </w:r>
          </w:p>
        </w:tc>
      </w:tr>
      <w:tr>
        <w:tc>
          <w:tcPr>
            <w:tcW w:type="dxa" w:w="2835"/>
            <w:shd w:val="clear" w:color="auto" w:fill="F2F2F2"/>
          </w:tcPr>
          <w:p>
            <w:r>
              <w:rPr>
                <w:b/>
                <w:sz w:val="19"/>
              </w:rPr>
              <w:t>PAG 2016-2021 / 2021-2026</w:t>
            </w:r>
          </w:p>
        </w:tc>
        <w:tc>
          <w:tcPr>
            <w:tcW w:type="dxa" w:w="6803"/>
            <w:shd w:val="clear" w:color="auto" w:fill="F2F2F2"/>
          </w:tcPr>
          <w:p>
            <w:r>
              <w:rPr>
                <w:sz w:val="19"/>
              </w:rPr>
              <w:t>Complementaire - Le PSIE operationnalise l'engagement du PAG sur l'emploi des jeunes</w:t>
            </w:r>
          </w:p>
        </w:tc>
      </w:tr>
      <w:tr>
        <w:tc>
          <w:tcPr>
            <w:tcW w:type="dxa" w:w="2835"/>
            <w:shd w:val="clear" w:color="auto" w:fill="FFFFFF"/>
          </w:tcPr>
          <w:p>
            <w:r>
              <w:rPr>
                <w:b/>
                <w:sz w:val="19"/>
              </w:rPr>
              <w:t>PNE 2017-2026</w:t>
            </w:r>
          </w:p>
        </w:tc>
        <w:tc>
          <w:tcPr>
            <w:tcW w:type="dxa" w:w="6803"/>
            <w:shd w:val="clear" w:color="auto" w:fill="FFFFFF"/>
          </w:tcPr>
          <w:p>
            <w:r>
              <w:rPr>
                <w:sz w:val="19"/>
              </w:rPr>
              <w:t>Complementaire - Consultations employeurs de la PNE ont alimente la conception du PSIE</w:t>
            </w:r>
          </w:p>
        </w:tc>
      </w:tr>
      <w:tr>
        <w:tc>
          <w:tcPr>
            <w:tcW w:type="dxa" w:w="2835"/>
            <w:shd w:val="clear" w:color="auto" w:fill="F2F2F2"/>
          </w:tcPr>
          <w:p>
            <w:r>
              <w:rPr>
                <w:b/>
                <w:sz w:val="19"/>
              </w:rPr>
              <w:t>ANPE</w:t>
            </w:r>
          </w:p>
        </w:tc>
        <w:tc>
          <w:tcPr>
            <w:tcW w:type="dxa" w:w="6803"/>
            <w:shd w:val="clear" w:color="auto" w:fill="F2F2F2"/>
          </w:tcPr>
          <w:p>
            <w:r>
              <w:rPr>
                <w:sz w:val="19"/>
              </w:rPr>
              <w:t>Synergie forte - Agence d'execution ; plateforme, RH et reseau existants mutualises</w:t>
            </w:r>
          </w:p>
        </w:tc>
      </w:tr>
      <w:tr>
        <w:tc>
          <w:tcPr>
            <w:tcW w:type="dxa" w:w="2835"/>
            <w:shd w:val="clear" w:color="auto" w:fill="FFFFFF"/>
          </w:tcPr>
          <w:p>
            <w:r>
              <w:rPr>
                <w:b/>
                <w:sz w:val="19"/>
              </w:rPr>
              <w:t>PAES (2009-2011)</w:t>
            </w:r>
          </w:p>
        </w:tc>
        <w:tc>
          <w:tcPr>
            <w:tcW w:type="dxa" w:w="6803"/>
            <w:shd w:val="clear" w:color="auto" w:fill="FFFFFF"/>
          </w:tcPr>
          <w:p>
            <w:r>
              <w:rPr>
                <w:sz w:val="19"/>
              </w:rPr>
              <w:t>Precedent capitalise - Le PSIE ameliore le modele PAES (24 mois, subvention 100 %)</w:t>
            </w:r>
          </w:p>
        </w:tc>
      </w:tr>
      <w:tr>
        <w:tc>
          <w:tcPr>
            <w:tcW w:type="dxa" w:w="2835"/>
            <w:shd w:val="clear" w:color="auto" w:fill="F2F2F2"/>
          </w:tcPr>
          <w:p>
            <w:r>
              <w:rPr>
                <w:b/>
                <w:sz w:val="19"/>
              </w:rPr>
              <w:t>CNSS</w:t>
            </w:r>
          </w:p>
        </w:tc>
        <w:tc>
          <w:tcPr>
            <w:tcW w:type="dxa" w:w="6803"/>
            <w:shd w:val="clear" w:color="auto" w:fill="F2F2F2"/>
          </w:tcPr>
          <w:p>
            <w:r>
              <w:rPr>
                <w:sz w:val="19"/>
              </w:rPr>
              <w:t>Integration - Allocataires affilies a la CNSS comme tout salarie du secteur prive</w:t>
            </w:r>
          </w:p>
        </w:tc>
      </w:tr>
      <w:tr>
        <w:tc>
          <w:tcPr>
            <w:tcW w:type="dxa" w:w="2835"/>
            <w:shd w:val="clear" w:color="auto" w:fill="FFFFFF"/>
          </w:tcPr>
          <w:p>
            <w:r>
              <w:rPr>
                <w:b/>
                <w:sz w:val="19"/>
              </w:rPr>
              <w:t>CCIB</w:t>
            </w:r>
          </w:p>
        </w:tc>
        <w:tc>
          <w:tcPr>
            <w:tcW w:type="dxa" w:w="6803"/>
            <w:shd w:val="clear" w:color="auto" w:fill="FFFFFF"/>
          </w:tcPr>
          <w:p>
            <w:r>
              <w:rPr>
                <w:sz w:val="19"/>
              </w:rPr>
              <w:t>Partenaire operationnel - Salles d'interviews des candidats</w:t>
            </w:r>
          </w:p>
        </w:tc>
      </w:tr>
      <w:tr>
        <w:tc>
          <w:tcPr>
            <w:tcW w:type="dxa" w:w="2835"/>
            <w:shd w:val="clear" w:color="auto" w:fill="F2F2F2"/>
          </w:tcPr>
          <w:p>
            <w:r>
              <w:rPr>
                <w:b/>
                <w:sz w:val="19"/>
              </w:rPr>
              <w:t>GDIZ (Glo-Djigbe)</w:t>
            </w:r>
          </w:p>
        </w:tc>
        <w:tc>
          <w:tcPr>
            <w:tcW w:type="dxa" w:w="6803"/>
            <w:shd w:val="clear" w:color="auto" w:fill="F2F2F2"/>
          </w:tcPr>
          <w:p>
            <w:r>
              <w:rPr>
                <w:sz w:val="19"/>
              </w:rPr>
              <w:t>Articulation emergente - Demande croissante depuis 2024</w:t>
            </w:r>
          </w:p>
        </w:tc>
      </w:tr>
    </w:tbl>
    <w:p/>
    <w:p>
      <w:pPr>
        <w:pStyle w:val="Heading2"/>
      </w:pPr>
      <w:r>
        <w:rPr>
          <w:rFonts w:ascii="Calibri" w:hAnsi="Calibri"/>
          <w:color w:val="2E74B5"/>
        </w:rPr>
        <w:t>4.3 Jugement evaluatif - Coherence</w:t>
      </w:r>
    </w:p>
    <w:tbl>
      <w:tblPr>
        <w:tblStyle w:val="TableGrid"/>
        <w:tblW w:type="auto" w:w="0"/>
        <w:tblLook w:firstColumn="1" w:firstRow="1" w:lastColumn="0" w:lastRow="0" w:noHBand="0" w:noVBand="1" w:val="04A0"/>
      </w:tblPr>
      <w:tblGrid>
        <w:gridCol w:w="3079"/>
        <w:gridCol w:w="3079"/>
        <w:gridCol w:w="3079"/>
      </w:tblGrid>
      <w:tr>
        <w:tc>
          <w:tcPr>
            <w:tcW w:type="dxa" w:w="2835"/>
            <w:shd w:val="clear" w:color="auto" w:fill="1F3864"/>
          </w:tcPr>
          <w:p>
            <w:r>
              <w:rPr>
                <w:b/>
                <w:color w:val="FFFFFF"/>
                <w:sz w:val="19"/>
              </w:rPr>
              <w:t>Dimension</w:t>
            </w:r>
          </w:p>
        </w:tc>
        <w:tc>
          <w:tcPr>
            <w:tcW w:type="dxa" w:w="1701"/>
            <w:shd w:val="clear" w:color="auto" w:fill="1F3864"/>
          </w:tcPr>
          <w:p>
            <w:r>
              <w:rPr>
                <w:b/>
                <w:color w:val="FFFFFF"/>
                <w:sz w:val="19"/>
              </w:rPr>
              <w:t>Jugement</w:t>
            </w:r>
          </w:p>
        </w:tc>
        <w:tc>
          <w:tcPr>
            <w:tcW w:type="dxa" w:w="5102"/>
            <w:shd w:val="clear" w:color="auto" w:fill="1F3864"/>
          </w:tcPr>
          <w:p>
            <w:r>
              <w:rPr>
                <w:b/>
                <w:color w:val="FFFFFF"/>
                <w:sz w:val="19"/>
              </w:rPr>
              <w:t>Justification</w:t>
            </w:r>
          </w:p>
        </w:tc>
      </w:tr>
      <w:tr>
        <w:tc>
          <w:tcPr>
            <w:tcW w:type="dxa" w:w="2835"/>
            <w:shd w:val="clear" w:color="auto" w:fill="F2F2F2"/>
          </w:tcPr>
          <w:p>
            <w:r>
              <w:rPr>
                <w:b/>
                <w:sz w:val="19"/>
              </w:rPr>
              <w:t>Coherence interne</w:t>
            </w:r>
          </w:p>
        </w:tc>
        <w:tc>
          <w:tcPr>
            <w:tcW w:type="dxa" w:w="1701"/>
            <w:shd w:val="clear" w:color="auto" w:fill="F2F2F2"/>
          </w:tcPr>
          <w:p>
            <w:r>
              <w:rPr>
                <w:sz w:val="19"/>
              </w:rPr>
              <w:t>ELEVE</w:t>
            </w:r>
          </w:p>
        </w:tc>
        <w:tc>
          <w:tcPr>
            <w:tcW w:type="dxa" w:w="5102"/>
            <w:shd w:val="clear" w:color="auto" w:fill="F2F2F2"/>
          </w:tcPr>
          <w:p>
            <w:r>
              <w:rPr>
                <w:sz w:val="19"/>
              </w:rPr>
              <w:t>Chaine de resultats claire ; hypotheses critiques explicitees dans le cadre logique</w:t>
            </w:r>
          </w:p>
        </w:tc>
      </w:tr>
      <w:tr>
        <w:tc>
          <w:tcPr>
            <w:tcW w:type="dxa" w:w="2835"/>
            <w:shd w:val="clear" w:color="auto" w:fill="FFFFFF"/>
          </w:tcPr>
          <w:p>
            <w:r>
              <w:rPr>
                <w:b/>
                <w:sz w:val="19"/>
              </w:rPr>
              <w:t>Coherence externe (politiques)</w:t>
            </w:r>
          </w:p>
        </w:tc>
        <w:tc>
          <w:tcPr>
            <w:tcW w:type="dxa" w:w="1701"/>
            <w:shd w:val="clear" w:color="auto" w:fill="FFFFFF"/>
          </w:tcPr>
          <w:p>
            <w:r>
              <w:rPr>
                <w:sz w:val="19"/>
              </w:rPr>
              <w:t>ELEVE</w:t>
            </w:r>
          </w:p>
        </w:tc>
        <w:tc>
          <w:tcPr>
            <w:tcW w:type="dxa" w:w="5102"/>
            <w:shd w:val="clear" w:color="auto" w:fill="FFFFFF"/>
          </w:tcPr>
          <w:p>
            <w:r>
              <w:rPr>
                <w:sz w:val="19"/>
              </w:rPr>
              <w:t>Ancrage ANPE, PAG, PNE ; absence de doublons documentes</w:t>
            </w:r>
          </w:p>
        </w:tc>
      </w:tr>
      <w:tr>
        <w:tc>
          <w:tcPr>
            <w:tcW w:type="dxa" w:w="2835"/>
            <w:shd w:val="clear" w:color="auto" w:fill="F2F2F2"/>
          </w:tcPr>
          <w:p>
            <w:r>
              <w:rPr>
                <w:b/>
                <w:sz w:val="19"/>
              </w:rPr>
              <w:t>Coherence institutionnelle</w:t>
            </w:r>
          </w:p>
        </w:tc>
        <w:tc>
          <w:tcPr>
            <w:tcW w:type="dxa" w:w="1701"/>
            <w:shd w:val="clear" w:color="auto" w:fill="F2F2F2"/>
          </w:tcPr>
          <w:p>
            <w:r>
              <w:rPr>
                <w:sz w:val="19"/>
              </w:rPr>
              <w:t>ELEVE</w:t>
            </w:r>
          </w:p>
        </w:tc>
        <w:tc>
          <w:tcPr>
            <w:tcW w:type="dxa" w:w="5102"/>
            <w:shd w:val="clear" w:color="auto" w:fill="F2F2F2"/>
          </w:tcPr>
          <w:p>
            <w:r>
              <w:rPr>
                <w:sz w:val="19"/>
              </w:rPr>
              <w:t>Integration PTA ANPE ; utilisation structures existantes</w:t>
            </w:r>
          </w:p>
        </w:tc>
      </w:tr>
      <w:tr>
        <w:tc>
          <w:tcPr>
            <w:tcW w:type="dxa" w:w="2835"/>
            <w:shd w:val="clear" w:color="auto" w:fill="FFFFFF"/>
          </w:tcPr>
          <w:p>
            <w:r>
              <w:rPr>
                <w:b/>
                <w:sz w:val="19"/>
              </w:rPr>
              <w:t>JUGEMENT GLOBAL</w:t>
            </w:r>
          </w:p>
        </w:tc>
        <w:tc>
          <w:tcPr>
            <w:tcW w:type="dxa" w:w="1701"/>
            <w:shd w:val="clear" w:color="auto" w:fill="FFFFFF"/>
          </w:tcPr>
          <w:p>
            <w:r>
              <w:rPr>
                <w:sz w:val="19"/>
              </w:rPr>
              <w:t>ELEVE</w:t>
            </w:r>
          </w:p>
        </w:tc>
        <w:tc>
          <w:tcPr>
            <w:tcW w:type="dxa" w:w="5102"/>
            <w:shd w:val="clear" w:color="auto" w:fill="FFFFFF"/>
          </w:tcPr>
          <w:p>
            <w:r>
              <w:rPr>
                <w:sz w:val="19"/>
              </w:rPr>
              <w:t>Le PSIE est bien integre dans le paysage institutionnel et politique beninois</w:t>
            </w:r>
          </w:p>
        </w:tc>
      </w:tr>
    </w:tbl>
    <w:p/>
    <w:p>
      <w:r>
        <w:br w:type="page"/>
      </w:r>
    </w:p>
    <w:p>
      <w:pPr>
        <w:pStyle w:val="Heading1"/>
      </w:pPr>
      <w:r>
        <w:rPr>
          <w:rFonts w:ascii="Calibri" w:hAnsi="Calibri"/>
          <w:color w:val="1F3864"/>
        </w:rPr>
        <w:t>5. CRITERE 3 - EFFICACITE</w:t>
      </w:r>
    </w:p>
    <w:p>
      <w:pPr>
        <w:ind w:left="567" w:right="567"/>
      </w:pPr>
      <w:r>
        <w:rPr>
          <w:i/>
          <w:color w:val="404040"/>
        </w:rPr>
        <w:t>Definition OCDE/CAD : L'efficacite est la mesure dans laquelle une intervention a atteint ses objectifs, ou est en voie de les atteindre, compte tenu de leur importance relative.</w:t>
      </w:r>
    </w:p>
    <w:p/>
    <w:p>
      <w:pPr>
        <w:pStyle w:val="Heading2"/>
      </w:pPr>
      <w:r>
        <w:rPr>
          <w:rFonts w:ascii="Calibri" w:hAnsi="Calibri"/>
          <w:color w:val="2E74B5"/>
        </w:rPr>
        <w:t>5.1 Evolution annuelle des insertions (2020-2025)</w:t>
      </w:r>
    </w:p>
    <w:tbl>
      <w:tblPr>
        <w:tblStyle w:val="TableGrid"/>
        <w:tblW w:type="auto" w:w="0"/>
        <w:tblLook w:firstColumn="1" w:firstRow="1" w:lastColumn="0" w:lastRow="0" w:noHBand="0" w:noVBand="1" w:val="04A0"/>
      </w:tblPr>
      <w:tblGrid>
        <w:gridCol w:w="1847"/>
        <w:gridCol w:w="1847"/>
        <w:gridCol w:w="1847"/>
        <w:gridCol w:w="1847"/>
        <w:gridCol w:w="1847"/>
      </w:tblGrid>
      <w:tr>
        <w:tc>
          <w:tcPr>
            <w:tcW w:type="dxa" w:w="2268"/>
            <w:shd w:val="clear" w:color="auto" w:fill="1F3864"/>
          </w:tcPr>
          <w:p>
            <w:r>
              <w:rPr>
                <w:b/>
                <w:color w:val="FFFFFF"/>
                <w:sz w:val="19"/>
              </w:rPr>
              <w:t>Annee</w:t>
            </w:r>
          </w:p>
        </w:tc>
        <w:tc>
          <w:tcPr>
            <w:tcW w:type="dxa" w:w="2268"/>
            <w:shd w:val="clear" w:color="auto" w:fill="1F3864"/>
          </w:tcPr>
          <w:p>
            <w:r>
              <w:rPr>
                <w:b/>
                <w:color w:val="FFFFFF"/>
                <w:sz w:val="19"/>
              </w:rPr>
              <w:t>Allocataires inseres</w:t>
            </w:r>
          </w:p>
        </w:tc>
        <w:tc>
          <w:tcPr>
            <w:tcW w:type="dxa" w:w="1701"/>
            <w:shd w:val="clear" w:color="auto" w:fill="1F3864"/>
          </w:tcPr>
          <w:p>
            <w:r>
              <w:rPr>
                <w:b/>
                <w:color w:val="FFFFFF"/>
                <w:sz w:val="19"/>
              </w:rPr>
              <w:t>Cumul</w:t>
            </w:r>
          </w:p>
        </w:tc>
        <w:tc>
          <w:tcPr>
            <w:tcW w:type="dxa" w:w="2268"/>
            <w:shd w:val="clear" w:color="auto" w:fill="1F3864"/>
          </w:tcPr>
          <w:p>
            <w:r>
              <w:rPr>
                <w:b/>
                <w:color w:val="FFFFFF"/>
                <w:sz w:val="19"/>
              </w:rPr>
              <w:t>Cible annuelle</w:t>
            </w:r>
          </w:p>
        </w:tc>
        <w:tc>
          <w:tcPr>
            <w:tcW w:type="dxa" w:w="1701"/>
            <w:shd w:val="clear" w:color="auto" w:fill="1F3864"/>
          </w:tcPr>
          <w:p>
            <w:r>
              <w:rPr>
                <w:b/>
                <w:color w:val="FFFFFF"/>
                <w:sz w:val="19"/>
              </w:rPr>
              <w:t>Taux</w:t>
            </w:r>
          </w:p>
        </w:tc>
      </w:tr>
      <w:tr>
        <w:tc>
          <w:tcPr>
            <w:tcW w:type="dxa" w:w="2268"/>
            <w:shd w:val="clear" w:color="auto" w:fill="F2F2F2"/>
          </w:tcPr>
          <w:p>
            <w:r>
              <w:rPr>
                <w:b/>
                <w:sz w:val="19"/>
              </w:rPr>
              <w:t>2020 (juil.-dec.)</w:t>
            </w:r>
          </w:p>
        </w:tc>
        <w:tc>
          <w:tcPr>
            <w:tcW w:type="dxa" w:w="2268"/>
            <w:shd w:val="clear" w:color="auto" w:fill="F2F2F2"/>
          </w:tcPr>
          <w:p>
            <w:r>
              <w:rPr>
                <w:sz w:val="19"/>
              </w:rPr>
              <w:t>44</w:t>
            </w:r>
          </w:p>
        </w:tc>
        <w:tc>
          <w:tcPr>
            <w:tcW w:type="dxa" w:w="1701"/>
            <w:shd w:val="clear" w:color="auto" w:fill="F2F2F2"/>
          </w:tcPr>
          <w:p>
            <w:r>
              <w:rPr>
                <w:sz w:val="19"/>
              </w:rPr>
              <w:t>44</w:t>
            </w:r>
          </w:p>
        </w:tc>
        <w:tc>
          <w:tcPr>
            <w:tcW w:type="dxa" w:w="2268"/>
            <w:shd w:val="clear" w:color="auto" w:fill="F2F2F2"/>
          </w:tcPr>
          <w:p>
            <w:r>
              <w:rPr>
                <w:sz w:val="19"/>
              </w:rPr>
              <w:t>2 000</w:t>
            </w:r>
          </w:p>
        </w:tc>
        <w:tc>
          <w:tcPr>
            <w:tcW w:type="dxa" w:w="1701"/>
            <w:shd w:val="clear" w:color="auto" w:fill="F2F2F2"/>
          </w:tcPr>
          <w:p>
            <w:r>
              <w:rPr>
                <w:sz w:val="19"/>
              </w:rPr>
              <w:t>2,2 %</w:t>
            </w:r>
          </w:p>
        </w:tc>
      </w:tr>
      <w:tr>
        <w:tc>
          <w:tcPr>
            <w:tcW w:type="dxa" w:w="2268"/>
            <w:shd w:val="clear" w:color="auto" w:fill="FFFFFF"/>
          </w:tcPr>
          <w:p>
            <w:r>
              <w:rPr>
                <w:b/>
                <w:sz w:val="19"/>
              </w:rPr>
              <w:t>2021</w:t>
            </w:r>
          </w:p>
        </w:tc>
        <w:tc>
          <w:tcPr>
            <w:tcW w:type="dxa" w:w="2268"/>
            <w:shd w:val="clear" w:color="auto" w:fill="FFFFFF"/>
          </w:tcPr>
          <w:p>
            <w:r>
              <w:rPr>
                <w:sz w:val="19"/>
              </w:rPr>
              <w:t>582</w:t>
            </w:r>
          </w:p>
        </w:tc>
        <w:tc>
          <w:tcPr>
            <w:tcW w:type="dxa" w:w="1701"/>
            <w:shd w:val="clear" w:color="auto" w:fill="FFFFFF"/>
          </w:tcPr>
          <w:p>
            <w:r>
              <w:rPr>
                <w:sz w:val="19"/>
              </w:rPr>
              <w:t>626</w:t>
            </w:r>
          </w:p>
        </w:tc>
        <w:tc>
          <w:tcPr>
            <w:tcW w:type="dxa" w:w="2268"/>
            <w:shd w:val="clear" w:color="auto" w:fill="FFFFFF"/>
          </w:tcPr>
          <w:p>
            <w:r>
              <w:rPr>
                <w:sz w:val="19"/>
              </w:rPr>
              <w:t>2 000</w:t>
            </w:r>
          </w:p>
        </w:tc>
        <w:tc>
          <w:tcPr>
            <w:tcW w:type="dxa" w:w="1701"/>
            <w:shd w:val="clear" w:color="auto" w:fill="FFFFFF"/>
          </w:tcPr>
          <w:p>
            <w:r>
              <w:rPr>
                <w:sz w:val="19"/>
              </w:rPr>
              <w:t>29,1 %</w:t>
            </w:r>
          </w:p>
        </w:tc>
      </w:tr>
      <w:tr>
        <w:tc>
          <w:tcPr>
            <w:tcW w:type="dxa" w:w="2268"/>
            <w:shd w:val="clear" w:color="auto" w:fill="F2F2F2"/>
          </w:tcPr>
          <w:p>
            <w:r>
              <w:rPr>
                <w:b/>
                <w:sz w:val="19"/>
              </w:rPr>
              <w:t>2022</w:t>
            </w:r>
          </w:p>
        </w:tc>
        <w:tc>
          <w:tcPr>
            <w:tcW w:type="dxa" w:w="2268"/>
            <w:shd w:val="clear" w:color="auto" w:fill="F2F2F2"/>
          </w:tcPr>
          <w:p>
            <w:r>
              <w:rPr>
                <w:sz w:val="19"/>
              </w:rPr>
              <w:t>1 051</w:t>
            </w:r>
          </w:p>
        </w:tc>
        <w:tc>
          <w:tcPr>
            <w:tcW w:type="dxa" w:w="1701"/>
            <w:shd w:val="clear" w:color="auto" w:fill="F2F2F2"/>
          </w:tcPr>
          <w:p>
            <w:r>
              <w:rPr>
                <w:sz w:val="19"/>
              </w:rPr>
              <w:t>1 677</w:t>
            </w:r>
          </w:p>
        </w:tc>
        <w:tc>
          <w:tcPr>
            <w:tcW w:type="dxa" w:w="2268"/>
            <w:shd w:val="clear" w:color="auto" w:fill="F2F2F2"/>
          </w:tcPr>
          <w:p>
            <w:r>
              <w:rPr>
                <w:sz w:val="19"/>
              </w:rPr>
              <w:t>2 000</w:t>
            </w:r>
          </w:p>
        </w:tc>
        <w:tc>
          <w:tcPr>
            <w:tcW w:type="dxa" w:w="1701"/>
            <w:shd w:val="clear" w:color="auto" w:fill="F2F2F2"/>
          </w:tcPr>
          <w:p>
            <w:r>
              <w:rPr>
                <w:sz w:val="19"/>
              </w:rPr>
              <w:t>52,6 %</w:t>
            </w:r>
          </w:p>
        </w:tc>
      </w:tr>
      <w:tr>
        <w:tc>
          <w:tcPr>
            <w:tcW w:type="dxa" w:w="2268"/>
            <w:shd w:val="clear" w:color="auto" w:fill="FFFFFF"/>
          </w:tcPr>
          <w:p>
            <w:r>
              <w:rPr>
                <w:b/>
                <w:sz w:val="19"/>
              </w:rPr>
              <w:t>2023</w:t>
            </w:r>
          </w:p>
        </w:tc>
        <w:tc>
          <w:tcPr>
            <w:tcW w:type="dxa" w:w="2268"/>
            <w:shd w:val="clear" w:color="auto" w:fill="FFFFFF"/>
          </w:tcPr>
          <w:p>
            <w:r>
              <w:rPr>
                <w:sz w:val="19"/>
              </w:rPr>
              <w:t>2 207</w:t>
            </w:r>
          </w:p>
        </w:tc>
        <w:tc>
          <w:tcPr>
            <w:tcW w:type="dxa" w:w="1701"/>
            <w:shd w:val="clear" w:color="auto" w:fill="FFFFFF"/>
          </w:tcPr>
          <w:p>
            <w:r>
              <w:rPr>
                <w:sz w:val="19"/>
              </w:rPr>
              <w:t>3 884</w:t>
            </w:r>
          </w:p>
        </w:tc>
        <w:tc>
          <w:tcPr>
            <w:tcW w:type="dxa" w:w="2268"/>
            <w:shd w:val="clear" w:color="auto" w:fill="FFFFFF"/>
          </w:tcPr>
          <w:p>
            <w:r>
              <w:rPr>
                <w:sz w:val="19"/>
              </w:rPr>
              <w:t>2 000</w:t>
            </w:r>
          </w:p>
        </w:tc>
        <w:tc>
          <w:tcPr>
            <w:tcW w:type="dxa" w:w="1701"/>
            <w:shd w:val="clear" w:color="auto" w:fill="FFFFFF"/>
          </w:tcPr>
          <w:p>
            <w:r>
              <w:rPr>
                <w:sz w:val="19"/>
              </w:rPr>
              <w:t>110,4 %</w:t>
            </w:r>
          </w:p>
        </w:tc>
      </w:tr>
      <w:tr>
        <w:tc>
          <w:tcPr>
            <w:tcW w:type="dxa" w:w="2268"/>
            <w:shd w:val="clear" w:color="auto" w:fill="F2F2F2"/>
          </w:tcPr>
          <w:p>
            <w:r>
              <w:rPr>
                <w:b/>
                <w:sz w:val="19"/>
              </w:rPr>
              <w:t>2024</w:t>
            </w:r>
          </w:p>
        </w:tc>
        <w:tc>
          <w:tcPr>
            <w:tcW w:type="dxa" w:w="2268"/>
            <w:shd w:val="clear" w:color="auto" w:fill="F2F2F2"/>
          </w:tcPr>
          <w:p>
            <w:r>
              <w:rPr>
                <w:sz w:val="19"/>
              </w:rPr>
              <w:t>3 246</w:t>
            </w:r>
          </w:p>
        </w:tc>
        <w:tc>
          <w:tcPr>
            <w:tcW w:type="dxa" w:w="1701"/>
            <w:shd w:val="clear" w:color="auto" w:fill="F2F2F2"/>
          </w:tcPr>
          <w:p>
            <w:r>
              <w:rPr>
                <w:sz w:val="19"/>
              </w:rPr>
              <w:t>7 130</w:t>
            </w:r>
          </w:p>
        </w:tc>
        <w:tc>
          <w:tcPr>
            <w:tcW w:type="dxa" w:w="2268"/>
            <w:shd w:val="clear" w:color="auto" w:fill="F2F2F2"/>
          </w:tcPr>
          <w:p>
            <w:r>
              <w:rPr>
                <w:sz w:val="19"/>
              </w:rPr>
              <w:t>2 000</w:t>
            </w:r>
          </w:p>
        </w:tc>
        <w:tc>
          <w:tcPr>
            <w:tcW w:type="dxa" w:w="1701"/>
            <w:shd w:val="clear" w:color="auto" w:fill="F2F2F2"/>
          </w:tcPr>
          <w:p>
            <w:r>
              <w:rPr>
                <w:sz w:val="19"/>
              </w:rPr>
              <w:t>162,3 %</w:t>
            </w:r>
          </w:p>
        </w:tc>
      </w:tr>
      <w:tr>
        <w:tc>
          <w:tcPr>
            <w:tcW w:type="dxa" w:w="2268"/>
            <w:shd w:val="clear" w:color="auto" w:fill="FFFFFF"/>
          </w:tcPr>
          <w:p>
            <w:r>
              <w:rPr>
                <w:b/>
                <w:sz w:val="19"/>
              </w:rPr>
              <w:t>2025 (jan.-sept.)</w:t>
            </w:r>
          </w:p>
        </w:tc>
        <w:tc>
          <w:tcPr>
            <w:tcW w:type="dxa" w:w="2268"/>
            <w:shd w:val="clear" w:color="auto" w:fill="FFFFFF"/>
          </w:tcPr>
          <w:p>
            <w:r>
              <w:rPr>
                <w:sz w:val="19"/>
              </w:rPr>
              <w:t>2 133</w:t>
            </w:r>
          </w:p>
        </w:tc>
        <w:tc>
          <w:tcPr>
            <w:tcW w:type="dxa" w:w="1701"/>
            <w:shd w:val="clear" w:color="auto" w:fill="FFFFFF"/>
          </w:tcPr>
          <w:p>
            <w:r>
              <w:rPr>
                <w:sz w:val="19"/>
              </w:rPr>
              <w:t>9 263</w:t>
            </w:r>
          </w:p>
        </w:tc>
        <w:tc>
          <w:tcPr>
            <w:tcW w:type="dxa" w:w="2268"/>
            <w:shd w:val="clear" w:color="auto" w:fill="FFFFFF"/>
          </w:tcPr>
          <w:p>
            <w:r>
              <w:rPr>
                <w:sz w:val="19"/>
              </w:rPr>
              <w:t>2 500</w:t>
            </w:r>
          </w:p>
        </w:tc>
        <w:tc>
          <w:tcPr>
            <w:tcW w:type="dxa" w:w="1701"/>
            <w:shd w:val="clear" w:color="auto" w:fill="FFFFFF"/>
          </w:tcPr>
          <w:p>
            <w:r>
              <w:rPr>
                <w:sz w:val="19"/>
              </w:rPr>
              <w:t>85,3 %</w:t>
            </w:r>
          </w:p>
        </w:tc>
      </w:tr>
    </w:tbl>
    <w:p/>
    <w:p>
      <w:pPr>
        <w:pStyle w:val="Heading2"/>
      </w:pPr>
      <w:r>
        <w:rPr>
          <w:rFonts w:ascii="Calibri" w:hAnsi="Calibri"/>
          <w:color w:val="2E74B5"/>
        </w:rPr>
        <w:t>5.2 Tableau de bord 2025 (previsions vs realisations au 30 septembre 2025)</w:t>
      </w:r>
    </w:p>
    <w:tbl>
      <w:tblPr>
        <w:tblStyle w:val="TableGrid"/>
        <w:tblW w:type="auto" w:w="0"/>
        <w:tblLook w:firstColumn="1" w:firstRow="1" w:lastColumn="0" w:lastRow="0" w:noHBand="0" w:noVBand="1" w:val="04A0"/>
      </w:tblPr>
      <w:tblGrid>
        <w:gridCol w:w="2309"/>
        <w:gridCol w:w="2309"/>
        <w:gridCol w:w="2309"/>
        <w:gridCol w:w="2309"/>
      </w:tblGrid>
      <w:tr>
        <w:tc>
          <w:tcPr>
            <w:tcW w:type="dxa" w:w="4535"/>
            <w:shd w:val="clear" w:color="auto" w:fill="1F3864"/>
          </w:tcPr>
          <w:p>
            <w:r>
              <w:rPr>
                <w:b/>
                <w:color w:val="FFFFFF"/>
                <w:sz w:val="19"/>
              </w:rPr>
              <w:t>Indicateur</w:t>
            </w:r>
          </w:p>
        </w:tc>
        <w:tc>
          <w:tcPr>
            <w:tcW w:type="dxa" w:w="2268"/>
            <w:shd w:val="clear" w:color="auto" w:fill="1F3864"/>
          </w:tcPr>
          <w:p>
            <w:r>
              <w:rPr>
                <w:b/>
                <w:color w:val="FFFFFF"/>
                <w:sz w:val="19"/>
              </w:rPr>
              <w:t>Prevision 2025</w:t>
            </w:r>
          </w:p>
        </w:tc>
        <w:tc>
          <w:tcPr>
            <w:tcW w:type="dxa" w:w="2268"/>
            <w:shd w:val="clear" w:color="auto" w:fill="1F3864"/>
          </w:tcPr>
          <w:p>
            <w:r>
              <w:rPr>
                <w:b/>
                <w:color w:val="FFFFFF"/>
                <w:sz w:val="19"/>
              </w:rPr>
              <w:t>Realisation</w:t>
            </w:r>
          </w:p>
        </w:tc>
        <w:tc>
          <w:tcPr>
            <w:tcW w:type="dxa" w:w="1701"/>
            <w:shd w:val="clear" w:color="auto" w:fill="1F3864"/>
          </w:tcPr>
          <w:p>
            <w:r>
              <w:rPr>
                <w:b/>
                <w:color w:val="FFFFFF"/>
                <w:sz w:val="19"/>
              </w:rPr>
              <w:t>Taux</w:t>
            </w:r>
          </w:p>
        </w:tc>
      </w:tr>
      <w:tr>
        <w:tc>
          <w:tcPr>
            <w:tcW w:type="dxa" w:w="4535"/>
            <w:shd w:val="clear" w:color="auto" w:fill="F2F2F2"/>
          </w:tcPr>
          <w:p>
            <w:r>
              <w:rPr>
                <w:b/>
                <w:sz w:val="19"/>
              </w:rPr>
              <w:t>Entreprises eligibles</w:t>
            </w:r>
          </w:p>
        </w:tc>
        <w:tc>
          <w:tcPr>
            <w:tcW w:type="dxa" w:w="2268"/>
            <w:shd w:val="clear" w:color="auto" w:fill="F2F2F2"/>
          </w:tcPr>
          <w:p>
            <w:r>
              <w:rPr>
                <w:sz w:val="19"/>
              </w:rPr>
              <w:t>357</w:t>
            </w:r>
          </w:p>
        </w:tc>
        <w:tc>
          <w:tcPr>
            <w:tcW w:type="dxa" w:w="2268"/>
            <w:shd w:val="clear" w:color="auto" w:fill="F2F2F2"/>
          </w:tcPr>
          <w:p>
            <w:r>
              <w:rPr>
                <w:sz w:val="19"/>
              </w:rPr>
              <w:t>399</w:t>
            </w:r>
          </w:p>
        </w:tc>
        <w:tc>
          <w:tcPr>
            <w:tcW w:type="dxa" w:w="1701"/>
            <w:shd w:val="clear" w:color="auto" w:fill="F2F2F2"/>
          </w:tcPr>
          <w:p>
            <w:r>
              <w:rPr>
                <w:sz w:val="19"/>
              </w:rPr>
              <w:t>111,8 % OK</w:t>
            </w:r>
          </w:p>
        </w:tc>
      </w:tr>
      <w:tr>
        <w:tc>
          <w:tcPr>
            <w:tcW w:type="dxa" w:w="4535"/>
            <w:shd w:val="clear" w:color="auto" w:fill="FFFFFF"/>
          </w:tcPr>
          <w:p>
            <w:r>
              <w:rPr>
                <w:b/>
                <w:sz w:val="19"/>
              </w:rPr>
              <w:t>Postes valides et publies</w:t>
            </w:r>
          </w:p>
        </w:tc>
        <w:tc>
          <w:tcPr>
            <w:tcW w:type="dxa" w:w="2268"/>
            <w:shd w:val="clear" w:color="auto" w:fill="FFFFFF"/>
          </w:tcPr>
          <w:p>
            <w:r>
              <w:rPr>
                <w:sz w:val="19"/>
              </w:rPr>
              <w:t>4 500</w:t>
            </w:r>
          </w:p>
        </w:tc>
        <w:tc>
          <w:tcPr>
            <w:tcW w:type="dxa" w:w="2268"/>
            <w:shd w:val="clear" w:color="auto" w:fill="FFFFFF"/>
          </w:tcPr>
          <w:p>
            <w:r>
              <w:rPr>
                <w:sz w:val="19"/>
              </w:rPr>
              <w:t>3 945</w:t>
            </w:r>
          </w:p>
        </w:tc>
        <w:tc>
          <w:tcPr>
            <w:tcW w:type="dxa" w:w="1701"/>
            <w:shd w:val="clear" w:color="auto" w:fill="FFFFFF"/>
          </w:tcPr>
          <w:p>
            <w:r>
              <w:rPr>
                <w:sz w:val="19"/>
              </w:rPr>
              <w:t>87,7 %</w:t>
            </w:r>
          </w:p>
        </w:tc>
      </w:tr>
      <w:tr>
        <w:tc>
          <w:tcPr>
            <w:tcW w:type="dxa" w:w="4535"/>
            <w:shd w:val="clear" w:color="auto" w:fill="F2F2F2"/>
          </w:tcPr>
          <w:p>
            <w:r>
              <w:rPr>
                <w:b/>
                <w:sz w:val="19"/>
              </w:rPr>
              <w:t>Interviews realises (panels)</w:t>
            </w:r>
          </w:p>
        </w:tc>
        <w:tc>
          <w:tcPr>
            <w:tcW w:type="dxa" w:w="2268"/>
            <w:shd w:val="clear" w:color="auto" w:fill="F2F2F2"/>
          </w:tcPr>
          <w:p>
            <w:r>
              <w:rPr>
                <w:sz w:val="19"/>
              </w:rPr>
              <w:t>60</w:t>
            </w:r>
          </w:p>
        </w:tc>
        <w:tc>
          <w:tcPr>
            <w:tcW w:type="dxa" w:w="2268"/>
            <w:shd w:val="clear" w:color="auto" w:fill="F2F2F2"/>
          </w:tcPr>
          <w:p>
            <w:r>
              <w:rPr>
                <w:sz w:val="19"/>
              </w:rPr>
              <w:t>42</w:t>
            </w:r>
          </w:p>
        </w:tc>
        <w:tc>
          <w:tcPr>
            <w:tcW w:type="dxa" w:w="1701"/>
            <w:shd w:val="clear" w:color="auto" w:fill="F2F2F2"/>
          </w:tcPr>
          <w:p>
            <w:r>
              <w:rPr>
                <w:sz w:val="19"/>
              </w:rPr>
              <w:t>70,0 %</w:t>
            </w:r>
          </w:p>
        </w:tc>
      </w:tr>
      <w:tr>
        <w:tc>
          <w:tcPr>
            <w:tcW w:type="dxa" w:w="4535"/>
            <w:shd w:val="clear" w:color="auto" w:fill="FFFFFF"/>
          </w:tcPr>
          <w:p>
            <w:r>
              <w:rPr>
                <w:b/>
                <w:sz w:val="19"/>
              </w:rPr>
              <w:t>Experts panelistes mobilises</w:t>
            </w:r>
          </w:p>
        </w:tc>
        <w:tc>
          <w:tcPr>
            <w:tcW w:type="dxa" w:w="2268"/>
            <w:shd w:val="clear" w:color="auto" w:fill="FFFFFF"/>
          </w:tcPr>
          <w:p>
            <w:r>
              <w:rPr>
                <w:sz w:val="19"/>
              </w:rPr>
              <w:t>1 200</w:t>
            </w:r>
          </w:p>
        </w:tc>
        <w:tc>
          <w:tcPr>
            <w:tcW w:type="dxa" w:w="2268"/>
            <w:shd w:val="clear" w:color="auto" w:fill="FFFFFF"/>
          </w:tcPr>
          <w:p>
            <w:r>
              <w:rPr>
                <w:sz w:val="19"/>
              </w:rPr>
              <w:t>1 350</w:t>
            </w:r>
          </w:p>
        </w:tc>
        <w:tc>
          <w:tcPr>
            <w:tcW w:type="dxa" w:w="1701"/>
            <w:shd w:val="clear" w:color="auto" w:fill="FFFFFF"/>
          </w:tcPr>
          <w:p>
            <w:r>
              <w:rPr>
                <w:sz w:val="19"/>
              </w:rPr>
              <w:t>112,5 % OK</w:t>
            </w:r>
          </w:p>
        </w:tc>
      </w:tr>
      <w:tr>
        <w:tc>
          <w:tcPr>
            <w:tcW w:type="dxa" w:w="4535"/>
            <w:shd w:val="clear" w:color="auto" w:fill="F2F2F2"/>
          </w:tcPr>
          <w:p>
            <w:r>
              <w:rPr>
                <w:b/>
                <w:sz w:val="19"/>
              </w:rPr>
              <w:t>Candidats interviewes</w:t>
            </w:r>
          </w:p>
        </w:tc>
        <w:tc>
          <w:tcPr>
            <w:tcW w:type="dxa" w:w="2268"/>
            <w:shd w:val="clear" w:color="auto" w:fill="F2F2F2"/>
          </w:tcPr>
          <w:p>
            <w:r>
              <w:rPr>
                <w:sz w:val="19"/>
              </w:rPr>
              <w:t>30 000</w:t>
            </w:r>
          </w:p>
        </w:tc>
        <w:tc>
          <w:tcPr>
            <w:tcW w:type="dxa" w:w="2268"/>
            <w:shd w:val="clear" w:color="auto" w:fill="F2F2F2"/>
          </w:tcPr>
          <w:p>
            <w:r>
              <w:rPr>
                <w:sz w:val="19"/>
              </w:rPr>
              <w:t>29 043</w:t>
            </w:r>
          </w:p>
        </w:tc>
        <w:tc>
          <w:tcPr>
            <w:tcW w:type="dxa" w:w="1701"/>
            <w:shd w:val="clear" w:color="auto" w:fill="F2F2F2"/>
          </w:tcPr>
          <w:p>
            <w:r>
              <w:rPr>
                <w:sz w:val="19"/>
              </w:rPr>
              <w:t>96,8 % OK</w:t>
            </w:r>
          </w:p>
        </w:tc>
      </w:tr>
      <w:tr>
        <w:tc>
          <w:tcPr>
            <w:tcW w:type="dxa" w:w="4535"/>
            <w:shd w:val="clear" w:color="auto" w:fill="FFFFFF"/>
          </w:tcPr>
          <w:p>
            <w:r>
              <w:rPr>
                <w:b/>
                <w:sz w:val="19"/>
              </w:rPr>
              <w:t>Candidats preselectionnes</w:t>
            </w:r>
          </w:p>
        </w:tc>
        <w:tc>
          <w:tcPr>
            <w:tcW w:type="dxa" w:w="2268"/>
            <w:shd w:val="clear" w:color="auto" w:fill="FFFFFF"/>
          </w:tcPr>
          <w:p>
            <w:r>
              <w:rPr>
                <w:sz w:val="19"/>
              </w:rPr>
              <w:t>14 375</w:t>
            </w:r>
          </w:p>
        </w:tc>
        <w:tc>
          <w:tcPr>
            <w:tcW w:type="dxa" w:w="2268"/>
            <w:shd w:val="clear" w:color="auto" w:fill="FFFFFF"/>
          </w:tcPr>
          <w:p>
            <w:r>
              <w:rPr>
                <w:sz w:val="19"/>
              </w:rPr>
              <w:t>13 936</w:t>
            </w:r>
          </w:p>
        </w:tc>
        <w:tc>
          <w:tcPr>
            <w:tcW w:type="dxa" w:w="1701"/>
            <w:shd w:val="clear" w:color="auto" w:fill="FFFFFF"/>
          </w:tcPr>
          <w:p>
            <w:r>
              <w:rPr>
                <w:sz w:val="19"/>
              </w:rPr>
              <w:t>96,9 % OK</w:t>
            </w:r>
          </w:p>
        </w:tc>
      </w:tr>
      <w:tr>
        <w:tc>
          <w:tcPr>
            <w:tcW w:type="dxa" w:w="4535"/>
            <w:shd w:val="clear" w:color="auto" w:fill="F2F2F2"/>
          </w:tcPr>
          <w:p>
            <w:r>
              <w:rPr>
                <w:b/>
                <w:sz w:val="19"/>
              </w:rPr>
              <w:t>Candidats selectionnes par les entreprises</w:t>
            </w:r>
          </w:p>
        </w:tc>
        <w:tc>
          <w:tcPr>
            <w:tcW w:type="dxa" w:w="2268"/>
            <w:shd w:val="clear" w:color="auto" w:fill="F2F2F2"/>
          </w:tcPr>
          <w:p>
            <w:r>
              <w:rPr>
                <w:sz w:val="19"/>
              </w:rPr>
              <w:t>3 125</w:t>
            </w:r>
          </w:p>
        </w:tc>
        <w:tc>
          <w:tcPr>
            <w:tcW w:type="dxa" w:w="2268"/>
            <w:shd w:val="clear" w:color="auto" w:fill="F2F2F2"/>
          </w:tcPr>
          <w:p>
            <w:r>
              <w:rPr>
                <w:sz w:val="19"/>
              </w:rPr>
              <w:t>3 428</w:t>
            </w:r>
          </w:p>
        </w:tc>
        <w:tc>
          <w:tcPr>
            <w:tcW w:type="dxa" w:w="1701"/>
            <w:shd w:val="clear" w:color="auto" w:fill="F2F2F2"/>
          </w:tcPr>
          <w:p>
            <w:r>
              <w:rPr>
                <w:sz w:val="19"/>
              </w:rPr>
              <w:t>109,7 % OK</w:t>
            </w:r>
          </w:p>
        </w:tc>
      </w:tr>
      <w:tr>
        <w:tc>
          <w:tcPr>
            <w:tcW w:type="dxa" w:w="4535"/>
            <w:shd w:val="clear" w:color="auto" w:fill="FFFFFF"/>
          </w:tcPr>
          <w:p>
            <w:r>
              <w:rPr>
                <w:b/>
                <w:sz w:val="19"/>
              </w:rPr>
              <w:t>Allocataires mis en emploi</w:t>
            </w:r>
          </w:p>
        </w:tc>
        <w:tc>
          <w:tcPr>
            <w:tcW w:type="dxa" w:w="2268"/>
            <w:shd w:val="clear" w:color="auto" w:fill="FFFFFF"/>
          </w:tcPr>
          <w:p>
            <w:r>
              <w:rPr>
                <w:sz w:val="19"/>
              </w:rPr>
              <w:t>2 500</w:t>
            </w:r>
          </w:p>
        </w:tc>
        <w:tc>
          <w:tcPr>
            <w:tcW w:type="dxa" w:w="2268"/>
            <w:shd w:val="clear" w:color="auto" w:fill="FFFFFF"/>
          </w:tcPr>
          <w:p>
            <w:r>
              <w:rPr>
                <w:sz w:val="19"/>
              </w:rPr>
              <w:t>2 133</w:t>
            </w:r>
          </w:p>
        </w:tc>
        <w:tc>
          <w:tcPr>
            <w:tcW w:type="dxa" w:w="1701"/>
            <w:shd w:val="clear" w:color="auto" w:fill="FFFFFF"/>
          </w:tcPr>
          <w:p>
            <w:r>
              <w:rPr>
                <w:sz w:val="19"/>
              </w:rPr>
              <w:t>85,3 %</w:t>
            </w:r>
          </w:p>
        </w:tc>
      </w:tr>
      <w:tr>
        <w:tc>
          <w:tcPr>
            <w:tcW w:type="dxa" w:w="4535"/>
            <w:shd w:val="clear" w:color="auto" w:fill="F2F2F2"/>
          </w:tcPr>
          <w:p>
            <w:r>
              <w:rPr>
                <w:b/>
                <w:sz w:val="19"/>
              </w:rPr>
              <w:t>Salaires verses (milliers de FCFA)</w:t>
            </w:r>
          </w:p>
        </w:tc>
        <w:tc>
          <w:tcPr>
            <w:tcW w:type="dxa" w:w="2268"/>
            <w:shd w:val="clear" w:color="auto" w:fill="F2F2F2"/>
          </w:tcPr>
          <w:p>
            <w:r>
              <w:rPr>
                <w:sz w:val="19"/>
              </w:rPr>
              <w:t>7 401 714</w:t>
            </w:r>
          </w:p>
        </w:tc>
        <w:tc>
          <w:tcPr>
            <w:tcW w:type="dxa" w:w="2268"/>
            <w:shd w:val="clear" w:color="auto" w:fill="F2F2F2"/>
          </w:tcPr>
          <w:p>
            <w:r>
              <w:rPr>
                <w:sz w:val="19"/>
              </w:rPr>
              <w:t>5 294 259</w:t>
            </w:r>
          </w:p>
        </w:tc>
        <w:tc>
          <w:tcPr>
            <w:tcW w:type="dxa" w:w="1701"/>
            <w:shd w:val="clear" w:color="auto" w:fill="F2F2F2"/>
          </w:tcPr>
          <w:p>
            <w:r>
              <w:rPr>
                <w:sz w:val="19"/>
              </w:rPr>
              <w:t>71,5 %</w:t>
            </w:r>
          </w:p>
        </w:tc>
      </w:tr>
      <w:tr>
        <w:tc>
          <w:tcPr>
            <w:tcW w:type="dxa" w:w="4535"/>
            <w:shd w:val="clear" w:color="auto" w:fill="FFFFFF"/>
          </w:tcPr>
          <w:p>
            <w:r>
              <w:rPr>
                <w:b/>
                <w:sz w:val="19"/>
              </w:rPr>
              <w:t>Fonctionnement et operations (milliers de FCFA)</w:t>
            </w:r>
          </w:p>
        </w:tc>
        <w:tc>
          <w:tcPr>
            <w:tcW w:type="dxa" w:w="2268"/>
            <w:shd w:val="clear" w:color="auto" w:fill="FFFFFF"/>
          </w:tcPr>
          <w:p>
            <w:r>
              <w:rPr>
                <w:sz w:val="19"/>
              </w:rPr>
              <w:t>730 261</w:t>
            </w:r>
          </w:p>
        </w:tc>
        <w:tc>
          <w:tcPr>
            <w:tcW w:type="dxa" w:w="2268"/>
            <w:shd w:val="clear" w:color="auto" w:fill="FFFFFF"/>
          </w:tcPr>
          <w:p>
            <w:r>
              <w:rPr>
                <w:sz w:val="19"/>
              </w:rPr>
              <w:t>490 609</w:t>
            </w:r>
          </w:p>
        </w:tc>
        <w:tc>
          <w:tcPr>
            <w:tcW w:type="dxa" w:w="1701"/>
            <w:shd w:val="clear" w:color="auto" w:fill="FFFFFF"/>
          </w:tcPr>
          <w:p>
            <w:r>
              <w:rPr>
                <w:sz w:val="19"/>
              </w:rPr>
              <w:t>67,2 %</w:t>
            </w:r>
          </w:p>
        </w:tc>
      </w:tr>
    </w:tbl>
    <w:p/>
    <w:p>
      <w:pPr>
        <w:pStyle w:val="Heading2"/>
      </w:pPr>
      <w:r>
        <w:rPr>
          <w:rFonts w:ascii="Calibri" w:hAnsi="Calibri"/>
          <w:color w:val="2E74B5"/>
        </w:rPr>
        <w:t>5.3 Bilan cumulatif (juillet 2020 - septembre 2025)</w:t>
      </w:r>
    </w:p>
    <w:tbl>
      <w:tblPr>
        <w:tblStyle w:val="TableGrid"/>
        <w:tblW w:type="auto" w:w="0"/>
        <w:tblLook w:firstColumn="1" w:firstRow="1" w:lastColumn="0" w:lastRow="0" w:noHBand="0" w:noVBand="1" w:val="04A0"/>
      </w:tblPr>
      <w:tblGrid>
        <w:gridCol w:w="4618"/>
        <w:gridCol w:w="4618"/>
      </w:tblGrid>
      <w:tr>
        <w:tc>
          <w:tcPr>
            <w:tcW w:type="dxa" w:w="5669"/>
            <w:shd w:val="clear" w:color="auto" w:fill="1F3864"/>
          </w:tcPr>
          <w:p>
            <w:r>
              <w:rPr>
                <w:b/>
                <w:color w:val="FFFFFF"/>
                <w:sz w:val="19"/>
              </w:rPr>
              <w:t>Indicateur</w:t>
            </w:r>
          </w:p>
        </w:tc>
        <w:tc>
          <w:tcPr>
            <w:tcW w:type="dxa" w:w="2835"/>
            <w:shd w:val="clear" w:color="auto" w:fill="1F3864"/>
          </w:tcPr>
          <w:p>
            <w:r>
              <w:rPr>
                <w:b/>
                <w:color w:val="FFFFFF"/>
                <w:sz w:val="19"/>
              </w:rPr>
              <w:t>Cumul total</w:t>
            </w:r>
          </w:p>
        </w:tc>
      </w:tr>
      <w:tr>
        <w:tc>
          <w:tcPr>
            <w:tcW w:type="dxa" w:w="5669"/>
            <w:shd w:val="clear" w:color="auto" w:fill="F2F2F2"/>
          </w:tcPr>
          <w:p>
            <w:r>
              <w:rPr>
                <w:b/>
                <w:sz w:val="19"/>
              </w:rPr>
              <w:t>Entreprises eligibles</w:t>
            </w:r>
          </w:p>
        </w:tc>
        <w:tc>
          <w:tcPr>
            <w:tcW w:type="dxa" w:w="2835"/>
            <w:shd w:val="clear" w:color="auto" w:fill="F2F2F2"/>
          </w:tcPr>
          <w:p>
            <w:r>
              <w:rPr>
                <w:sz w:val="19"/>
              </w:rPr>
              <w:t>2 067</w:t>
            </w:r>
          </w:p>
        </w:tc>
      </w:tr>
      <w:tr>
        <w:tc>
          <w:tcPr>
            <w:tcW w:type="dxa" w:w="5669"/>
            <w:shd w:val="clear" w:color="auto" w:fill="FFFFFF"/>
          </w:tcPr>
          <w:p>
            <w:r>
              <w:rPr>
                <w:b/>
                <w:sz w:val="19"/>
              </w:rPr>
              <w:t>Postes valides et publies</w:t>
            </w:r>
          </w:p>
        </w:tc>
        <w:tc>
          <w:tcPr>
            <w:tcW w:type="dxa" w:w="2835"/>
            <w:shd w:val="clear" w:color="auto" w:fill="FFFFFF"/>
          </w:tcPr>
          <w:p>
            <w:r>
              <w:rPr>
                <w:sz w:val="19"/>
              </w:rPr>
              <w:t>11 509</w:t>
            </w:r>
          </w:p>
        </w:tc>
      </w:tr>
      <w:tr>
        <w:tc>
          <w:tcPr>
            <w:tcW w:type="dxa" w:w="5669"/>
            <w:shd w:val="clear" w:color="auto" w:fill="F2F2F2"/>
          </w:tcPr>
          <w:p>
            <w:r>
              <w:rPr>
                <w:b/>
                <w:sz w:val="19"/>
              </w:rPr>
              <w:t>Candidats interviewes</w:t>
            </w:r>
          </w:p>
        </w:tc>
        <w:tc>
          <w:tcPr>
            <w:tcW w:type="dxa" w:w="2835"/>
            <w:shd w:val="clear" w:color="auto" w:fill="F2F2F2"/>
          </w:tcPr>
          <w:p>
            <w:r>
              <w:rPr>
                <w:sz w:val="19"/>
              </w:rPr>
              <w:t>137 086</w:t>
            </w:r>
          </w:p>
        </w:tc>
      </w:tr>
      <w:tr>
        <w:tc>
          <w:tcPr>
            <w:tcW w:type="dxa" w:w="5669"/>
            <w:shd w:val="clear" w:color="auto" w:fill="FFFFFF"/>
          </w:tcPr>
          <w:p>
            <w:r>
              <w:rPr>
                <w:b/>
                <w:sz w:val="19"/>
              </w:rPr>
              <w:t>Candidats preselectionnes</w:t>
            </w:r>
          </w:p>
        </w:tc>
        <w:tc>
          <w:tcPr>
            <w:tcW w:type="dxa" w:w="2835"/>
            <w:shd w:val="clear" w:color="auto" w:fill="FFFFFF"/>
          </w:tcPr>
          <w:p>
            <w:r>
              <w:rPr>
                <w:sz w:val="19"/>
              </w:rPr>
              <w:t>56 617</w:t>
            </w:r>
          </w:p>
        </w:tc>
      </w:tr>
      <w:tr>
        <w:tc>
          <w:tcPr>
            <w:tcW w:type="dxa" w:w="5669"/>
            <w:shd w:val="clear" w:color="auto" w:fill="F2F2F2"/>
          </w:tcPr>
          <w:p>
            <w:r>
              <w:rPr>
                <w:b/>
                <w:sz w:val="19"/>
              </w:rPr>
              <w:t>Candidats selectionnes par les entreprises</w:t>
            </w:r>
          </w:p>
        </w:tc>
        <w:tc>
          <w:tcPr>
            <w:tcW w:type="dxa" w:w="2835"/>
            <w:shd w:val="clear" w:color="auto" w:fill="F2F2F2"/>
          </w:tcPr>
          <w:p>
            <w:r>
              <w:rPr>
                <w:sz w:val="19"/>
              </w:rPr>
              <w:t>15 881</w:t>
            </w:r>
          </w:p>
        </w:tc>
      </w:tr>
      <w:tr>
        <w:tc>
          <w:tcPr>
            <w:tcW w:type="dxa" w:w="5669"/>
            <w:shd w:val="clear" w:color="auto" w:fill="FFFFFF"/>
          </w:tcPr>
          <w:p>
            <w:r>
              <w:rPr>
                <w:b/>
                <w:sz w:val="19"/>
              </w:rPr>
              <w:t>Allocataires mis en emploi</w:t>
            </w:r>
          </w:p>
        </w:tc>
        <w:tc>
          <w:tcPr>
            <w:tcW w:type="dxa" w:w="2835"/>
            <w:shd w:val="clear" w:color="auto" w:fill="FFFFFF"/>
          </w:tcPr>
          <w:p>
            <w:r>
              <w:rPr>
                <w:sz w:val="19"/>
              </w:rPr>
              <w:t>9 263</w:t>
            </w:r>
          </w:p>
        </w:tc>
      </w:tr>
      <w:tr>
        <w:tc>
          <w:tcPr>
            <w:tcW w:type="dxa" w:w="5669"/>
            <w:shd w:val="clear" w:color="auto" w:fill="F2F2F2"/>
          </w:tcPr>
          <w:p>
            <w:r>
              <w:rPr>
                <w:b/>
                <w:sz w:val="19"/>
              </w:rPr>
              <w:t>Salaires verses (milliards FCFA)</w:t>
            </w:r>
          </w:p>
        </w:tc>
        <w:tc>
          <w:tcPr>
            <w:tcW w:type="dxa" w:w="2835"/>
            <w:shd w:val="clear" w:color="auto" w:fill="F2F2F2"/>
          </w:tcPr>
          <w:p>
            <w:r>
              <w:rPr>
                <w:sz w:val="19"/>
              </w:rPr>
              <w:t>18,3</w:t>
            </w:r>
          </w:p>
        </w:tc>
      </w:tr>
      <w:tr>
        <w:tc>
          <w:tcPr>
            <w:tcW w:type="dxa" w:w="5669"/>
            <w:shd w:val="clear" w:color="auto" w:fill="FFFFFF"/>
          </w:tcPr>
          <w:p>
            <w:r>
              <w:rPr>
                <w:b/>
                <w:sz w:val="19"/>
              </w:rPr>
              <w:t>Fonctionnement et operations (milliards FCFA)</w:t>
            </w:r>
          </w:p>
        </w:tc>
        <w:tc>
          <w:tcPr>
            <w:tcW w:type="dxa" w:w="2835"/>
            <w:shd w:val="clear" w:color="auto" w:fill="FFFFFF"/>
          </w:tcPr>
          <w:p>
            <w:r>
              <w:rPr>
                <w:sz w:val="19"/>
              </w:rPr>
              <w:t>2,25</w:t>
            </w:r>
          </w:p>
        </w:tc>
      </w:tr>
    </w:tbl>
    <w:p/>
    <w:p>
      <w:pPr>
        <w:pStyle w:val="Heading2"/>
      </w:pPr>
      <w:r>
        <w:rPr>
          <w:rFonts w:ascii="Calibri" w:hAnsi="Calibri"/>
          <w:color w:val="2E74B5"/>
        </w:rPr>
        <w:t>5.4 Repartition geographique des allocataires inseres</w:t>
      </w:r>
    </w:p>
    <w:tbl>
      <w:tblPr>
        <w:tblStyle w:val="TableGrid"/>
        <w:tblW w:type="auto" w:w="0"/>
        <w:tblLook w:firstColumn="1" w:firstRow="1" w:lastColumn="0" w:lastRow="0" w:noHBand="0" w:noVBand="1" w:val="04A0"/>
      </w:tblPr>
      <w:tblGrid>
        <w:gridCol w:w="3079"/>
        <w:gridCol w:w="3079"/>
        <w:gridCol w:w="3079"/>
      </w:tblGrid>
      <w:tr>
        <w:tc>
          <w:tcPr>
            <w:tcW w:type="dxa" w:w="3969"/>
            <w:shd w:val="clear" w:color="auto" w:fill="1F3864"/>
          </w:tcPr>
          <w:p>
            <w:r>
              <w:rPr>
                <w:b/>
                <w:color w:val="FFFFFF"/>
                <w:sz w:val="19"/>
              </w:rPr>
              <w:t>Departement</w:t>
            </w:r>
          </w:p>
        </w:tc>
        <w:tc>
          <w:tcPr>
            <w:tcW w:type="dxa" w:w="2835"/>
            <w:shd w:val="clear" w:color="auto" w:fill="1F3864"/>
          </w:tcPr>
          <w:p>
            <w:r>
              <w:rPr>
                <w:b/>
                <w:color w:val="FFFFFF"/>
                <w:sz w:val="19"/>
              </w:rPr>
              <w:t>Allocataires inseres</w:t>
            </w:r>
          </w:p>
        </w:tc>
        <w:tc>
          <w:tcPr>
            <w:tcW w:type="dxa" w:w="2268"/>
            <w:shd w:val="clear" w:color="auto" w:fill="1F3864"/>
          </w:tcPr>
          <w:p>
            <w:r>
              <w:rPr>
                <w:b/>
                <w:color w:val="FFFFFF"/>
                <w:sz w:val="19"/>
              </w:rPr>
              <w:t>Part (%)</w:t>
            </w:r>
          </w:p>
        </w:tc>
      </w:tr>
      <w:tr>
        <w:tc>
          <w:tcPr>
            <w:tcW w:type="dxa" w:w="3969"/>
            <w:shd w:val="clear" w:color="auto" w:fill="F2F2F2"/>
          </w:tcPr>
          <w:p>
            <w:r>
              <w:rPr>
                <w:b/>
                <w:sz w:val="19"/>
              </w:rPr>
              <w:t>Littoral (Cotonou)</w:t>
            </w:r>
          </w:p>
        </w:tc>
        <w:tc>
          <w:tcPr>
            <w:tcW w:type="dxa" w:w="2835"/>
            <w:shd w:val="clear" w:color="auto" w:fill="F2F2F2"/>
          </w:tcPr>
          <w:p>
            <w:r>
              <w:rPr>
                <w:sz w:val="19"/>
              </w:rPr>
              <w:t>5 897</w:t>
            </w:r>
          </w:p>
        </w:tc>
        <w:tc>
          <w:tcPr>
            <w:tcW w:type="dxa" w:w="2268"/>
            <w:shd w:val="clear" w:color="auto" w:fill="F2F2F2"/>
          </w:tcPr>
          <w:p>
            <w:r>
              <w:rPr>
                <w:sz w:val="19"/>
              </w:rPr>
              <w:t>63,7 %</w:t>
            </w:r>
          </w:p>
        </w:tc>
      </w:tr>
      <w:tr>
        <w:tc>
          <w:tcPr>
            <w:tcW w:type="dxa" w:w="3969"/>
            <w:shd w:val="clear" w:color="auto" w:fill="FFFFFF"/>
          </w:tcPr>
          <w:p>
            <w:r>
              <w:rPr>
                <w:b/>
                <w:sz w:val="19"/>
              </w:rPr>
              <w:t>Atlantique (Abomey-Calavi)</w:t>
            </w:r>
          </w:p>
        </w:tc>
        <w:tc>
          <w:tcPr>
            <w:tcW w:type="dxa" w:w="2835"/>
            <w:shd w:val="clear" w:color="auto" w:fill="FFFFFF"/>
          </w:tcPr>
          <w:p>
            <w:r>
              <w:rPr>
                <w:sz w:val="19"/>
              </w:rPr>
              <w:t>2 025</w:t>
            </w:r>
          </w:p>
        </w:tc>
        <w:tc>
          <w:tcPr>
            <w:tcW w:type="dxa" w:w="2268"/>
            <w:shd w:val="clear" w:color="auto" w:fill="FFFFFF"/>
          </w:tcPr>
          <w:p>
            <w:r>
              <w:rPr>
                <w:sz w:val="19"/>
              </w:rPr>
              <w:t>21,9 %</w:t>
            </w:r>
          </w:p>
        </w:tc>
      </w:tr>
      <w:tr>
        <w:tc>
          <w:tcPr>
            <w:tcW w:type="dxa" w:w="3969"/>
            <w:shd w:val="clear" w:color="auto" w:fill="F2F2F2"/>
          </w:tcPr>
          <w:p>
            <w:r>
              <w:rPr>
                <w:b/>
                <w:sz w:val="19"/>
              </w:rPr>
              <w:t>Sous-total Littoral+Atlantique</w:t>
            </w:r>
          </w:p>
        </w:tc>
        <w:tc>
          <w:tcPr>
            <w:tcW w:type="dxa" w:w="2835"/>
            <w:shd w:val="clear" w:color="auto" w:fill="F2F2F2"/>
          </w:tcPr>
          <w:p>
            <w:r>
              <w:rPr>
                <w:sz w:val="19"/>
              </w:rPr>
              <w:t>7 922</w:t>
            </w:r>
          </w:p>
        </w:tc>
        <w:tc>
          <w:tcPr>
            <w:tcW w:type="dxa" w:w="2268"/>
            <w:shd w:val="clear" w:color="auto" w:fill="F2F2F2"/>
          </w:tcPr>
          <w:p>
            <w:r>
              <w:rPr>
                <w:sz w:val="19"/>
              </w:rPr>
              <w:t>85,5 %</w:t>
            </w:r>
          </w:p>
        </w:tc>
      </w:tr>
      <w:tr>
        <w:tc>
          <w:tcPr>
            <w:tcW w:type="dxa" w:w="3969"/>
            <w:shd w:val="clear" w:color="auto" w:fill="FFFFFF"/>
          </w:tcPr>
          <w:p>
            <w:r>
              <w:rPr>
                <w:b/>
                <w:sz w:val="19"/>
              </w:rPr>
              <w:t>Oueme</w:t>
            </w:r>
          </w:p>
        </w:tc>
        <w:tc>
          <w:tcPr>
            <w:tcW w:type="dxa" w:w="2835"/>
            <w:shd w:val="clear" w:color="auto" w:fill="FFFFFF"/>
          </w:tcPr>
          <w:p>
            <w:r>
              <w:rPr>
                <w:sz w:val="19"/>
              </w:rPr>
              <w:t>445</w:t>
            </w:r>
          </w:p>
        </w:tc>
        <w:tc>
          <w:tcPr>
            <w:tcW w:type="dxa" w:w="2268"/>
            <w:shd w:val="clear" w:color="auto" w:fill="FFFFFF"/>
          </w:tcPr>
          <w:p>
            <w:r>
              <w:rPr>
                <w:sz w:val="19"/>
              </w:rPr>
              <w:t>4,8 %</w:t>
            </w:r>
          </w:p>
        </w:tc>
      </w:tr>
      <w:tr>
        <w:tc>
          <w:tcPr>
            <w:tcW w:type="dxa" w:w="3969"/>
            <w:shd w:val="clear" w:color="auto" w:fill="F2F2F2"/>
          </w:tcPr>
          <w:p>
            <w:r>
              <w:rPr>
                <w:b/>
                <w:sz w:val="19"/>
              </w:rPr>
              <w:t>Borgou</w:t>
            </w:r>
          </w:p>
        </w:tc>
        <w:tc>
          <w:tcPr>
            <w:tcW w:type="dxa" w:w="2835"/>
            <w:shd w:val="clear" w:color="auto" w:fill="F2F2F2"/>
          </w:tcPr>
          <w:p>
            <w:r>
              <w:rPr>
                <w:sz w:val="19"/>
              </w:rPr>
              <w:t>321</w:t>
            </w:r>
          </w:p>
        </w:tc>
        <w:tc>
          <w:tcPr>
            <w:tcW w:type="dxa" w:w="2268"/>
            <w:shd w:val="clear" w:color="auto" w:fill="F2F2F2"/>
          </w:tcPr>
          <w:p>
            <w:r>
              <w:rPr>
                <w:sz w:val="19"/>
              </w:rPr>
              <w:t>3,5 %</w:t>
            </w:r>
          </w:p>
        </w:tc>
      </w:tr>
      <w:tr>
        <w:tc>
          <w:tcPr>
            <w:tcW w:type="dxa" w:w="3969"/>
            <w:shd w:val="clear" w:color="auto" w:fill="FFFFFF"/>
          </w:tcPr>
          <w:p>
            <w:r>
              <w:rPr>
                <w:b/>
                <w:sz w:val="19"/>
              </w:rPr>
              <w:t>Zou</w:t>
            </w:r>
          </w:p>
        </w:tc>
        <w:tc>
          <w:tcPr>
            <w:tcW w:type="dxa" w:w="2835"/>
            <w:shd w:val="clear" w:color="auto" w:fill="FFFFFF"/>
          </w:tcPr>
          <w:p>
            <w:r>
              <w:rPr>
                <w:sz w:val="19"/>
              </w:rPr>
              <w:t>305</w:t>
            </w:r>
          </w:p>
        </w:tc>
        <w:tc>
          <w:tcPr>
            <w:tcW w:type="dxa" w:w="2268"/>
            <w:shd w:val="clear" w:color="auto" w:fill="FFFFFF"/>
          </w:tcPr>
          <w:p>
            <w:r>
              <w:rPr>
                <w:sz w:val="19"/>
              </w:rPr>
              <w:t>3,3 %</w:t>
            </w:r>
          </w:p>
        </w:tc>
      </w:tr>
      <w:tr>
        <w:tc>
          <w:tcPr>
            <w:tcW w:type="dxa" w:w="3969"/>
            <w:shd w:val="clear" w:color="auto" w:fill="F2F2F2"/>
          </w:tcPr>
          <w:p>
            <w:r>
              <w:rPr>
                <w:b/>
                <w:sz w:val="19"/>
              </w:rPr>
              <w:t>10 autres departements</w:t>
            </w:r>
          </w:p>
        </w:tc>
        <w:tc>
          <w:tcPr>
            <w:tcW w:type="dxa" w:w="2835"/>
            <w:shd w:val="clear" w:color="auto" w:fill="F2F2F2"/>
          </w:tcPr>
          <w:p>
            <w:r>
              <w:rPr>
                <w:sz w:val="19"/>
              </w:rPr>
              <w:t>270</w:t>
            </w:r>
          </w:p>
        </w:tc>
        <w:tc>
          <w:tcPr>
            <w:tcW w:type="dxa" w:w="2268"/>
            <w:shd w:val="clear" w:color="auto" w:fill="F2F2F2"/>
          </w:tcPr>
          <w:p>
            <w:r>
              <w:rPr>
                <w:sz w:val="19"/>
              </w:rPr>
              <w:t>2,9 %</w:t>
            </w:r>
          </w:p>
        </w:tc>
      </w:tr>
      <w:tr>
        <w:tc>
          <w:tcPr>
            <w:tcW w:type="dxa" w:w="3969"/>
            <w:shd w:val="clear" w:color="auto" w:fill="FFFFFF"/>
          </w:tcPr>
          <w:p>
            <w:r>
              <w:rPr>
                <w:b/>
                <w:sz w:val="19"/>
              </w:rPr>
              <w:t>TOTAL</w:t>
            </w:r>
          </w:p>
        </w:tc>
        <w:tc>
          <w:tcPr>
            <w:tcW w:type="dxa" w:w="2835"/>
            <w:shd w:val="clear" w:color="auto" w:fill="FFFFFF"/>
          </w:tcPr>
          <w:p>
            <w:r>
              <w:rPr>
                <w:sz w:val="19"/>
              </w:rPr>
              <w:t>9 263</w:t>
            </w:r>
          </w:p>
        </w:tc>
        <w:tc>
          <w:tcPr>
            <w:tcW w:type="dxa" w:w="2268"/>
            <w:shd w:val="clear" w:color="auto" w:fill="FFFFFF"/>
          </w:tcPr>
          <w:p>
            <w:r>
              <w:rPr>
                <w:sz w:val="19"/>
              </w:rPr>
              <w:t>100 %</w:t>
            </w:r>
          </w:p>
        </w:tc>
      </w:tr>
    </w:tbl>
    <w:p/>
    <w:p>
      <w:r>
        <w:rPr>
          <w:b w:val="0"/>
          <w:i/>
          <w:sz w:val="21"/>
        </w:rPr>
        <w:t>Note : Cette concentration reflète en partie la geographie economique du Benin (Cotonou concentre la majorite des entreprises formelles). Toutefois, les regions du nord demeurent sous-servies par rapport a leur poids demographique.</w:t>
      </w:r>
    </w:p>
    <w:p>
      <w:pPr>
        <w:pStyle w:val="Heading2"/>
      </w:pPr>
      <w:r>
        <w:rPr>
          <w:rFonts w:ascii="Calibri" w:hAnsi="Calibri"/>
          <w:color w:val="2E74B5"/>
        </w:rPr>
        <w:t>5.5 Evolution du cout moyen d'operations par allocataire</w:t>
      </w:r>
    </w:p>
    <w:tbl>
      <w:tblPr>
        <w:tblStyle w:val="TableGrid"/>
        <w:tblW w:type="auto" w:w="0"/>
        <w:tblLook w:firstColumn="1" w:firstRow="1" w:lastColumn="0" w:lastRow="0" w:noHBand="0" w:noVBand="1" w:val="04A0"/>
      </w:tblPr>
      <w:tblGrid>
        <w:gridCol w:w="3079"/>
        <w:gridCol w:w="3079"/>
        <w:gridCol w:w="3079"/>
      </w:tblGrid>
      <w:tr>
        <w:tc>
          <w:tcPr>
            <w:tcW w:type="dxa" w:w="1701"/>
            <w:shd w:val="clear" w:color="auto" w:fill="1F3864"/>
          </w:tcPr>
          <w:p>
            <w:r>
              <w:rPr>
                <w:b/>
                <w:color w:val="FFFFFF"/>
                <w:sz w:val="19"/>
              </w:rPr>
              <w:t>Annee</w:t>
            </w:r>
          </w:p>
        </w:tc>
        <w:tc>
          <w:tcPr>
            <w:tcW w:type="dxa" w:w="3969"/>
            <w:shd w:val="clear" w:color="auto" w:fill="1F3864"/>
          </w:tcPr>
          <w:p>
            <w:r>
              <w:rPr>
                <w:b/>
                <w:color w:val="FFFFFF"/>
                <w:sz w:val="19"/>
              </w:rPr>
              <w:t>Cout moyen / allocataire (FCFA)</w:t>
            </w:r>
          </w:p>
        </w:tc>
        <w:tc>
          <w:tcPr>
            <w:tcW w:type="dxa" w:w="4535"/>
            <w:shd w:val="clear" w:color="auto" w:fill="1F3864"/>
          </w:tcPr>
          <w:p>
            <w:r>
              <w:rPr>
                <w:b/>
                <w:color w:val="FFFFFF"/>
                <w:sz w:val="19"/>
              </w:rPr>
              <w:t>Evolution</w:t>
            </w:r>
          </w:p>
        </w:tc>
      </w:tr>
      <w:tr>
        <w:tc>
          <w:tcPr>
            <w:tcW w:type="dxa" w:w="1701"/>
            <w:shd w:val="clear" w:color="auto" w:fill="F2F2F2"/>
          </w:tcPr>
          <w:p>
            <w:r>
              <w:rPr>
                <w:b/>
                <w:sz w:val="19"/>
              </w:rPr>
              <w:t>2020</w:t>
            </w:r>
          </w:p>
        </w:tc>
        <w:tc>
          <w:tcPr>
            <w:tcW w:type="dxa" w:w="3969"/>
            <w:shd w:val="clear" w:color="auto" w:fill="F2F2F2"/>
          </w:tcPr>
          <w:p>
            <w:r>
              <w:rPr>
                <w:sz w:val="19"/>
              </w:rPr>
              <w:t>738 113</w:t>
            </w:r>
          </w:p>
        </w:tc>
        <w:tc>
          <w:tcPr>
            <w:tcW w:type="dxa" w:w="4535"/>
            <w:shd w:val="clear" w:color="auto" w:fill="F2F2F2"/>
          </w:tcPr>
          <w:p>
            <w:r>
              <w:rPr>
                <w:sz w:val="19"/>
              </w:rPr>
              <w:t>Annee de demarrage - couts fixes eleves</w:t>
            </w:r>
          </w:p>
        </w:tc>
      </w:tr>
      <w:tr>
        <w:tc>
          <w:tcPr>
            <w:tcW w:type="dxa" w:w="1701"/>
            <w:shd w:val="clear" w:color="auto" w:fill="FFFFFF"/>
          </w:tcPr>
          <w:p>
            <w:r>
              <w:rPr>
                <w:b/>
                <w:sz w:val="19"/>
              </w:rPr>
              <w:t>2021</w:t>
            </w:r>
          </w:p>
        </w:tc>
        <w:tc>
          <w:tcPr>
            <w:tcW w:type="dxa" w:w="3969"/>
            <w:shd w:val="clear" w:color="auto" w:fill="FFFFFF"/>
          </w:tcPr>
          <w:p>
            <w:r>
              <w:rPr>
                <w:sz w:val="19"/>
              </w:rPr>
              <w:t>195 231</w:t>
            </w:r>
          </w:p>
        </w:tc>
        <w:tc>
          <w:tcPr>
            <w:tcW w:type="dxa" w:w="4535"/>
            <w:shd w:val="clear" w:color="auto" w:fill="FFFFFF"/>
          </w:tcPr>
          <w:p>
            <w:r>
              <w:rPr>
                <w:sz w:val="19"/>
              </w:rPr>
              <w:t>-73,5 % (optimisation rapide des processus)</w:t>
            </w:r>
          </w:p>
        </w:tc>
      </w:tr>
      <w:tr>
        <w:tc>
          <w:tcPr>
            <w:tcW w:type="dxa" w:w="1701"/>
            <w:shd w:val="clear" w:color="auto" w:fill="F2F2F2"/>
          </w:tcPr>
          <w:p>
            <w:r>
              <w:rPr>
                <w:b/>
                <w:sz w:val="19"/>
              </w:rPr>
              <w:t>2022</w:t>
            </w:r>
          </w:p>
        </w:tc>
        <w:tc>
          <w:tcPr>
            <w:tcW w:type="dxa" w:w="3969"/>
            <w:shd w:val="clear" w:color="auto" w:fill="F2F2F2"/>
          </w:tcPr>
          <w:p>
            <w:r>
              <w:rPr>
                <w:sz w:val="19"/>
              </w:rPr>
              <w:t>185 993</w:t>
            </w:r>
          </w:p>
        </w:tc>
        <w:tc>
          <w:tcPr>
            <w:tcW w:type="dxa" w:w="4535"/>
            <w:shd w:val="clear" w:color="auto" w:fill="F2F2F2"/>
          </w:tcPr>
          <w:p>
            <w:r>
              <w:rPr>
                <w:sz w:val="19"/>
              </w:rPr>
              <w:t>-4,7 %</w:t>
            </w:r>
          </w:p>
        </w:tc>
      </w:tr>
      <w:tr>
        <w:tc>
          <w:tcPr>
            <w:tcW w:type="dxa" w:w="1701"/>
            <w:shd w:val="clear" w:color="auto" w:fill="FFFFFF"/>
          </w:tcPr>
          <w:p>
            <w:r>
              <w:rPr>
                <w:b/>
                <w:sz w:val="19"/>
              </w:rPr>
              <w:t>2023</w:t>
            </w:r>
          </w:p>
        </w:tc>
        <w:tc>
          <w:tcPr>
            <w:tcW w:type="dxa" w:w="3969"/>
            <w:shd w:val="clear" w:color="auto" w:fill="FFFFFF"/>
          </w:tcPr>
          <w:p>
            <w:r>
              <w:rPr>
                <w:sz w:val="19"/>
              </w:rPr>
              <w:t>144 927</w:t>
            </w:r>
          </w:p>
        </w:tc>
        <w:tc>
          <w:tcPr>
            <w:tcW w:type="dxa" w:w="4535"/>
            <w:shd w:val="clear" w:color="auto" w:fill="FFFFFF"/>
          </w:tcPr>
          <w:p>
            <w:r>
              <w:rPr>
                <w:sz w:val="19"/>
              </w:rPr>
              <w:t>-22,1 %</w:t>
            </w:r>
          </w:p>
        </w:tc>
      </w:tr>
      <w:tr>
        <w:tc>
          <w:tcPr>
            <w:tcW w:type="dxa" w:w="1701"/>
            <w:shd w:val="clear" w:color="auto" w:fill="F2F2F2"/>
          </w:tcPr>
          <w:p>
            <w:r>
              <w:rPr>
                <w:b/>
                <w:sz w:val="19"/>
              </w:rPr>
              <w:t>2024</w:t>
            </w:r>
          </w:p>
        </w:tc>
        <w:tc>
          <w:tcPr>
            <w:tcW w:type="dxa" w:w="3969"/>
            <w:shd w:val="clear" w:color="auto" w:fill="F2F2F2"/>
          </w:tcPr>
          <w:p>
            <w:r>
              <w:rPr>
                <w:sz w:val="19"/>
              </w:rPr>
              <w:t>111 403</w:t>
            </w:r>
          </w:p>
        </w:tc>
        <w:tc>
          <w:tcPr>
            <w:tcW w:type="dxa" w:w="4535"/>
            <w:shd w:val="clear" w:color="auto" w:fill="F2F2F2"/>
          </w:tcPr>
          <w:p>
            <w:r>
              <w:rPr>
                <w:sz w:val="19"/>
              </w:rPr>
              <w:t>-23,1 %</w:t>
            </w:r>
          </w:p>
        </w:tc>
      </w:tr>
      <w:tr>
        <w:tc>
          <w:tcPr>
            <w:tcW w:type="dxa" w:w="1701"/>
            <w:shd w:val="clear" w:color="auto" w:fill="FFFFFF"/>
          </w:tcPr>
          <w:p>
            <w:r>
              <w:rPr>
                <w:b/>
                <w:sz w:val="19"/>
              </w:rPr>
              <w:t>2025</w:t>
            </w:r>
          </w:p>
        </w:tc>
        <w:tc>
          <w:tcPr>
            <w:tcW w:type="dxa" w:w="3969"/>
            <w:shd w:val="clear" w:color="auto" w:fill="FFFFFF"/>
          </w:tcPr>
          <w:p>
            <w:r>
              <w:rPr>
                <w:sz w:val="19"/>
              </w:rPr>
              <w:t>109 089</w:t>
            </w:r>
          </w:p>
        </w:tc>
        <w:tc>
          <w:tcPr>
            <w:tcW w:type="dxa" w:w="4535"/>
            <w:shd w:val="clear" w:color="auto" w:fill="FFFFFF"/>
          </w:tcPr>
          <w:p>
            <w:r>
              <w:rPr>
                <w:sz w:val="19"/>
              </w:rPr>
              <w:t>-2,1 % (economie de 2 314 FCFA/allocataire)</w:t>
            </w:r>
          </w:p>
        </w:tc>
      </w:tr>
    </w:tbl>
    <w:p/>
    <w:p>
      <w:r>
        <w:rPr>
          <w:b/>
          <w:i w:val="0"/>
          <w:sz w:val="21"/>
        </w:rPr>
        <w:t>Le cout moyen a ete divise par 7 en 5 ans (de 738 113 a 109 089 FCFA), temoignant d'une maitrise operationnelle remarquable.</w:t>
      </w:r>
    </w:p>
    <w:p>
      <w:pPr>
        <w:pStyle w:val="Heading2"/>
      </w:pPr>
      <w:r>
        <w:rPr>
          <w:rFonts w:ascii="Calibri" w:hAnsi="Calibri"/>
          <w:color w:val="2E74B5"/>
        </w:rPr>
        <w:t>5.6 Jugement evaluatif - Efficacite</w:t>
      </w:r>
    </w:p>
    <w:tbl>
      <w:tblPr>
        <w:tblStyle w:val="TableGrid"/>
        <w:tblW w:type="auto" w:w="0"/>
        <w:tblLook w:firstColumn="1" w:firstRow="1" w:lastColumn="0" w:lastRow="0" w:noHBand="0" w:noVBand="1" w:val="04A0"/>
      </w:tblPr>
      <w:tblGrid>
        <w:gridCol w:w="3079"/>
        <w:gridCol w:w="3079"/>
        <w:gridCol w:w="3079"/>
      </w:tblGrid>
      <w:tr>
        <w:tc>
          <w:tcPr>
            <w:tcW w:type="dxa" w:w="2835"/>
            <w:shd w:val="clear" w:color="auto" w:fill="1F3864"/>
          </w:tcPr>
          <w:p>
            <w:r>
              <w:rPr>
                <w:b/>
                <w:color w:val="FFFFFF"/>
                <w:sz w:val="19"/>
              </w:rPr>
              <w:t>Dimension</w:t>
            </w:r>
          </w:p>
        </w:tc>
        <w:tc>
          <w:tcPr>
            <w:tcW w:type="dxa" w:w="2268"/>
            <w:shd w:val="clear" w:color="auto" w:fill="1F3864"/>
          </w:tcPr>
          <w:p>
            <w:r>
              <w:rPr>
                <w:b/>
                <w:color w:val="FFFFFF"/>
                <w:sz w:val="19"/>
              </w:rPr>
              <w:t>Jugement</w:t>
            </w:r>
          </w:p>
        </w:tc>
        <w:tc>
          <w:tcPr>
            <w:tcW w:type="dxa" w:w="5102"/>
            <w:shd w:val="clear" w:color="auto" w:fill="1F3864"/>
          </w:tcPr>
          <w:p>
            <w:r>
              <w:rPr>
                <w:b/>
                <w:color w:val="FFFFFF"/>
                <w:sz w:val="19"/>
              </w:rPr>
              <w:t>Justification</w:t>
            </w:r>
          </w:p>
        </w:tc>
      </w:tr>
      <w:tr>
        <w:tc>
          <w:tcPr>
            <w:tcW w:type="dxa" w:w="2835"/>
            <w:shd w:val="clear" w:color="auto" w:fill="F2F2F2"/>
          </w:tcPr>
          <w:p>
            <w:r>
              <w:rPr>
                <w:b/>
                <w:sz w:val="19"/>
              </w:rPr>
              <w:t>Volume d'insertions (objectif principal)</w:t>
            </w:r>
          </w:p>
        </w:tc>
        <w:tc>
          <w:tcPr>
            <w:tcW w:type="dxa" w:w="2268"/>
            <w:shd w:val="clear" w:color="auto" w:fill="F2F2F2"/>
          </w:tcPr>
          <w:p>
            <w:r>
              <w:rPr>
                <w:sz w:val="19"/>
              </w:rPr>
              <w:t>ELEVE</w:t>
            </w:r>
          </w:p>
        </w:tc>
        <w:tc>
          <w:tcPr>
            <w:tcW w:type="dxa" w:w="5102"/>
            <w:shd w:val="clear" w:color="auto" w:fill="F2F2F2"/>
          </w:tcPr>
          <w:p>
            <w:r>
              <w:rPr>
                <w:sz w:val="19"/>
              </w:rPr>
              <w:t>9 263 insertions en 5 ans - depasse la cible initiale de 8 000</w:t>
            </w:r>
          </w:p>
        </w:tc>
      </w:tr>
      <w:tr>
        <w:tc>
          <w:tcPr>
            <w:tcW w:type="dxa" w:w="2835"/>
            <w:shd w:val="clear" w:color="auto" w:fill="FFFFFF"/>
          </w:tcPr>
          <w:p>
            <w:r>
              <w:rPr>
                <w:b/>
                <w:sz w:val="19"/>
              </w:rPr>
              <w:t>Mobilisation des entreprises</w:t>
            </w:r>
          </w:p>
        </w:tc>
        <w:tc>
          <w:tcPr>
            <w:tcW w:type="dxa" w:w="2268"/>
            <w:shd w:val="clear" w:color="auto" w:fill="FFFFFF"/>
          </w:tcPr>
          <w:p>
            <w:r>
              <w:rPr>
                <w:sz w:val="19"/>
              </w:rPr>
              <w:t>ELEVE</w:t>
            </w:r>
          </w:p>
        </w:tc>
        <w:tc>
          <w:tcPr>
            <w:tcW w:type="dxa" w:w="5102"/>
            <w:shd w:val="clear" w:color="auto" w:fill="FFFFFF"/>
          </w:tcPr>
          <w:p>
            <w:r>
              <w:rPr>
                <w:sz w:val="19"/>
              </w:rPr>
              <w:t>2 067 entreprises ; taux 111,8 % des previsions 2025</w:t>
            </w:r>
          </w:p>
        </w:tc>
      </w:tr>
      <w:tr>
        <w:tc>
          <w:tcPr>
            <w:tcW w:type="dxa" w:w="2835"/>
            <w:shd w:val="clear" w:color="auto" w:fill="F2F2F2"/>
          </w:tcPr>
          <w:p>
            <w:r>
              <w:rPr>
                <w:b/>
                <w:sz w:val="19"/>
              </w:rPr>
              <w:t>Couverture geographique</w:t>
            </w:r>
          </w:p>
        </w:tc>
        <w:tc>
          <w:tcPr>
            <w:tcW w:type="dxa" w:w="2268"/>
            <w:shd w:val="clear" w:color="auto" w:fill="F2F2F2"/>
          </w:tcPr>
          <w:p>
            <w:r>
              <w:rPr>
                <w:sz w:val="19"/>
              </w:rPr>
              <w:t>FAIBLE</w:t>
            </w:r>
          </w:p>
        </w:tc>
        <w:tc>
          <w:tcPr>
            <w:tcW w:type="dxa" w:w="5102"/>
            <w:shd w:val="clear" w:color="auto" w:fill="F2F2F2"/>
          </w:tcPr>
          <w:p>
            <w:r>
              <w:rPr>
                <w:sz w:val="19"/>
              </w:rPr>
              <w:t>85,5 % des insertions dans 2 departements sur 12</w:t>
            </w:r>
          </w:p>
        </w:tc>
      </w:tr>
      <w:tr>
        <w:tc>
          <w:tcPr>
            <w:tcW w:type="dxa" w:w="2835"/>
            <w:shd w:val="clear" w:color="auto" w:fill="FFFFFF"/>
          </w:tcPr>
          <w:p>
            <w:r>
              <w:rPr>
                <w:b/>
                <w:sz w:val="19"/>
              </w:rPr>
              <w:t>Couverture sectorielle</w:t>
            </w:r>
          </w:p>
        </w:tc>
        <w:tc>
          <w:tcPr>
            <w:tcW w:type="dxa" w:w="2268"/>
            <w:shd w:val="clear" w:color="auto" w:fill="FFFFFF"/>
          </w:tcPr>
          <w:p>
            <w:r>
              <w:rPr>
                <w:sz w:val="19"/>
              </w:rPr>
              <w:t>MOYEN</w:t>
            </w:r>
          </w:p>
        </w:tc>
        <w:tc>
          <w:tcPr>
            <w:tcW w:type="dxa" w:w="5102"/>
            <w:shd w:val="clear" w:color="auto" w:fill="FFFFFF"/>
          </w:tcPr>
          <w:p>
            <w:r>
              <w:rPr>
                <w:sz w:val="19"/>
              </w:rPr>
              <w:t>TIC, hotellerie, energies renouvelables sous-representes</w:t>
            </w:r>
          </w:p>
        </w:tc>
      </w:tr>
      <w:tr>
        <w:tc>
          <w:tcPr>
            <w:tcW w:type="dxa" w:w="2835"/>
            <w:shd w:val="clear" w:color="auto" w:fill="F2F2F2"/>
          </w:tcPr>
          <w:p>
            <w:r>
              <w:rPr>
                <w:b/>
                <w:sz w:val="19"/>
              </w:rPr>
              <w:t>Execution financiere</w:t>
            </w:r>
          </w:p>
        </w:tc>
        <w:tc>
          <w:tcPr>
            <w:tcW w:type="dxa" w:w="2268"/>
            <w:shd w:val="clear" w:color="auto" w:fill="F2F2F2"/>
          </w:tcPr>
          <w:p>
            <w:r>
              <w:rPr>
                <w:sz w:val="19"/>
              </w:rPr>
              <w:t>MOYEN</w:t>
            </w:r>
          </w:p>
        </w:tc>
        <w:tc>
          <w:tcPr>
            <w:tcW w:type="dxa" w:w="5102"/>
            <w:shd w:val="clear" w:color="auto" w:fill="F2F2F2"/>
          </w:tcPr>
          <w:p>
            <w:r>
              <w:rPr>
                <w:sz w:val="19"/>
              </w:rPr>
              <w:t>Taux cumule 79,6 % ; variations annuelles importantes</w:t>
            </w:r>
          </w:p>
        </w:tc>
      </w:tr>
      <w:tr>
        <w:tc>
          <w:tcPr>
            <w:tcW w:type="dxa" w:w="2835"/>
            <w:shd w:val="clear" w:color="auto" w:fill="FFFFFF"/>
          </w:tcPr>
          <w:p>
            <w:r>
              <w:rPr>
                <w:b/>
                <w:sz w:val="19"/>
              </w:rPr>
              <w:t>Qualite du systeme S-E</w:t>
            </w:r>
          </w:p>
        </w:tc>
        <w:tc>
          <w:tcPr>
            <w:tcW w:type="dxa" w:w="2268"/>
            <w:shd w:val="clear" w:color="auto" w:fill="FFFFFF"/>
          </w:tcPr>
          <w:p>
            <w:r>
              <w:rPr>
                <w:sz w:val="19"/>
              </w:rPr>
              <w:t>MOYEN A ELEVE</w:t>
            </w:r>
          </w:p>
        </w:tc>
        <w:tc>
          <w:tcPr>
            <w:tcW w:type="dxa" w:w="5102"/>
            <w:shd w:val="clear" w:color="auto" w:fill="FFFFFF"/>
          </w:tcPr>
          <w:p>
            <w:r>
              <w:rPr>
                <w:sz w:val="19"/>
              </w:rPr>
              <w:t>Plateforme et tableaux de bord fonctionnels ; absence donnees retention post-programme</w:t>
            </w:r>
          </w:p>
        </w:tc>
      </w:tr>
      <w:tr>
        <w:tc>
          <w:tcPr>
            <w:tcW w:type="dxa" w:w="2835"/>
            <w:shd w:val="clear" w:color="auto" w:fill="F2F2F2"/>
          </w:tcPr>
          <w:p>
            <w:r>
              <w:rPr>
                <w:b/>
                <w:sz w:val="19"/>
              </w:rPr>
              <w:t>JUGEMENT GLOBAL</w:t>
            </w:r>
          </w:p>
        </w:tc>
        <w:tc>
          <w:tcPr>
            <w:tcW w:type="dxa" w:w="2268"/>
            <w:shd w:val="clear" w:color="auto" w:fill="F2F2F2"/>
          </w:tcPr>
          <w:p>
            <w:r>
              <w:rPr>
                <w:sz w:val="19"/>
              </w:rPr>
              <w:t>MOYEN A ELEVE</w:t>
            </w:r>
          </w:p>
        </w:tc>
        <w:tc>
          <w:tcPr>
            <w:tcW w:type="dxa" w:w="5102"/>
            <w:shd w:val="clear" w:color="auto" w:fill="F2F2F2"/>
          </w:tcPr>
          <w:p>
            <w:r>
              <w:rPr>
                <w:sz w:val="19"/>
              </w:rPr>
              <w:t>Objectifs atteints en volume ; defis persistants sur l'equite geographique et sectorielle</w:t>
            </w:r>
          </w:p>
        </w:tc>
      </w:tr>
    </w:tbl>
    <w:p/>
    <w:p>
      <w:r>
        <w:br w:type="page"/>
      </w:r>
    </w:p>
    <w:p>
      <w:pPr>
        <w:pStyle w:val="Heading1"/>
      </w:pPr>
      <w:r>
        <w:rPr>
          <w:rFonts w:ascii="Calibri" w:hAnsi="Calibri"/>
          <w:color w:val="1F3864"/>
        </w:rPr>
        <w:t>6. CONCLUSIONS ET RECOMMANDATIONS</w:t>
      </w:r>
    </w:p>
    <w:p>
      <w:pPr>
        <w:pStyle w:val="Heading2"/>
      </w:pPr>
      <w:r>
        <w:rPr>
          <w:rFonts w:ascii="Calibri" w:hAnsi="Calibri"/>
          <w:color w:val="2E74B5"/>
        </w:rPr>
        <w:t>6.1 Synthese des jugements evaluatifs</w:t>
      </w:r>
    </w:p>
    <w:tbl>
      <w:tblPr>
        <w:tblStyle w:val="TableGrid"/>
        <w:tblW w:type="auto" w:w="0"/>
        <w:tblLook w:firstColumn="1" w:firstRow="1" w:lastColumn="0" w:lastRow="0" w:noHBand="0" w:noVBand="1" w:val="04A0"/>
      </w:tblPr>
      <w:tblGrid>
        <w:gridCol w:w="3079"/>
        <w:gridCol w:w="3079"/>
        <w:gridCol w:w="3079"/>
      </w:tblGrid>
      <w:tr>
        <w:tc>
          <w:tcPr>
            <w:tcW w:type="dxa" w:w="2835"/>
            <w:shd w:val="clear" w:color="auto" w:fill="1F3864"/>
          </w:tcPr>
          <w:p>
            <w:r>
              <w:rPr>
                <w:b/>
                <w:color w:val="FFFFFF"/>
                <w:sz w:val="19"/>
              </w:rPr>
              <w:t>Critere OCDE/CAD</w:t>
            </w:r>
          </w:p>
        </w:tc>
        <w:tc>
          <w:tcPr>
            <w:tcW w:type="dxa" w:w="2835"/>
            <w:shd w:val="clear" w:color="auto" w:fill="1F3864"/>
          </w:tcPr>
          <w:p>
            <w:r>
              <w:rPr>
                <w:b/>
                <w:color w:val="FFFFFF"/>
                <w:sz w:val="19"/>
              </w:rPr>
              <w:t>Jugement global</w:t>
            </w:r>
          </w:p>
        </w:tc>
        <w:tc>
          <w:tcPr>
            <w:tcW w:type="dxa" w:w="2835"/>
            <w:shd w:val="clear" w:color="auto" w:fill="1F3864"/>
          </w:tcPr>
          <w:p>
            <w:r>
              <w:rPr>
                <w:b/>
                <w:color w:val="FFFFFF"/>
                <w:sz w:val="19"/>
              </w:rPr>
              <w:t>Niveau de confiance</w:t>
            </w:r>
          </w:p>
        </w:tc>
      </w:tr>
      <w:tr>
        <w:tc>
          <w:tcPr>
            <w:tcW w:type="dxa" w:w="2835"/>
            <w:shd w:val="clear" w:color="auto" w:fill="F2F2F2"/>
          </w:tcPr>
          <w:p>
            <w:r>
              <w:rPr>
                <w:b/>
                <w:sz w:val="19"/>
              </w:rPr>
              <w:t>Pertinence</w:t>
            </w:r>
          </w:p>
        </w:tc>
        <w:tc>
          <w:tcPr>
            <w:tcW w:type="dxa" w:w="2835"/>
            <w:shd w:val="clear" w:color="auto" w:fill="F2F2F2"/>
          </w:tcPr>
          <w:p>
            <w:r>
              <w:rPr>
                <w:sz w:val="19"/>
              </w:rPr>
              <w:t>ELEVE</w:t>
            </w:r>
          </w:p>
        </w:tc>
        <w:tc>
          <w:tcPr>
            <w:tcW w:type="dxa" w:w="2835"/>
            <w:shd w:val="clear" w:color="auto" w:fill="F2F2F2"/>
          </w:tcPr>
          <w:p>
            <w:r>
              <w:rPr>
                <w:sz w:val="19"/>
              </w:rPr>
              <w:t>Eleve</w:t>
            </w:r>
          </w:p>
        </w:tc>
      </w:tr>
      <w:tr>
        <w:tc>
          <w:tcPr>
            <w:tcW w:type="dxa" w:w="2835"/>
            <w:shd w:val="clear" w:color="auto" w:fill="FFFFFF"/>
          </w:tcPr>
          <w:p>
            <w:r>
              <w:rPr>
                <w:b/>
                <w:sz w:val="19"/>
              </w:rPr>
              <w:t>Coherence</w:t>
            </w:r>
          </w:p>
        </w:tc>
        <w:tc>
          <w:tcPr>
            <w:tcW w:type="dxa" w:w="2835"/>
            <w:shd w:val="clear" w:color="auto" w:fill="FFFFFF"/>
          </w:tcPr>
          <w:p>
            <w:r>
              <w:rPr>
                <w:sz w:val="19"/>
              </w:rPr>
              <w:t>ELEVE</w:t>
            </w:r>
          </w:p>
        </w:tc>
        <w:tc>
          <w:tcPr>
            <w:tcW w:type="dxa" w:w="2835"/>
            <w:shd w:val="clear" w:color="auto" w:fill="FFFFFF"/>
          </w:tcPr>
          <w:p>
            <w:r>
              <w:rPr>
                <w:sz w:val="19"/>
              </w:rPr>
              <w:t>Moyen a eleve</w:t>
            </w:r>
          </w:p>
        </w:tc>
      </w:tr>
      <w:tr>
        <w:tc>
          <w:tcPr>
            <w:tcW w:type="dxa" w:w="2835"/>
            <w:shd w:val="clear" w:color="auto" w:fill="F2F2F2"/>
          </w:tcPr>
          <w:p>
            <w:r>
              <w:rPr>
                <w:b/>
                <w:sz w:val="19"/>
              </w:rPr>
              <w:t>Efficacite</w:t>
            </w:r>
          </w:p>
        </w:tc>
        <w:tc>
          <w:tcPr>
            <w:tcW w:type="dxa" w:w="2835"/>
            <w:shd w:val="clear" w:color="auto" w:fill="F2F2F2"/>
          </w:tcPr>
          <w:p>
            <w:r>
              <w:rPr>
                <w:sz w:val="19"/>
              </w:rPr>
              <w:t>MOYEN A ELEVE</w:t>
            </w:r>
          </w:p>
        </w:tc>
        <w:tc>
          <w:tcPr>
            <w:tcW w:type="dxa" w:w="2835"/>
            <w:shd w:val="clear" w:color="auto" w:fill="F2F2F2"/>
          </w:tcPr>
          <w:p>
            <w:r>
              <w:rPr>
                <w:sz w:val="19"/>
              </w:rPr>
              <w:t>Eleve</w:t>
            </w:r>
          </w:p>
        </w:tc>
      </w:tr>
    </w:tbl>
    <w:p/>
    <w:p>
      <w:pPr>
        <w:pStyle w:val="Heading2"/>
      </w:pPr>
      <w:r>
        <w:rPr>
          <w:rFonts w:ascii="Calibri" w:hAnsi="Calibri"/>
          <w:color w:val="2E74B5"/>
        </w:rPr>
        <w:t>6.2 Recommandations relatives a la Pertinence</w:t>
      </w:r>
    </w:p>
    <w:tbl>
      <w:tblPr>
        <w:tblStyle w:val="TableGrid"/>
        <w:tblW w:type="auto" w:w="0"/>
        <w:tblLook w:firstColumn="1" w:firstRow="1" w:lastColumn="0" w:lastRow="0" w:noHBand="0" w:noVBand="1" w:val="04A0"/>
      </w:tblPr>
      <w:tblGrid>
        <w:gridCol w:w="1847"/>
        <w:gridCol w:w="1847"/>
        <w:gridCol w:w="1847"/>
        <w:gridCol w:w="1847"/>
        <w:gridCol w:w="1847"/>
      </w:tblGrid>
      <w:tr>
        <w:tc>
          <w:tcPr>
            <w:tcW w:type="dxa" w:w="567"/>
            <w:shd w:val="clear" w:color="auto" w:fill="1F3864"/>
          </w:tcPr>
          <w:p>
            <w:r>
              <w:rPr>
                <w:b/>
                <w:color w:val="FFFFFF"/>
                <w:sz w:val="19"/>
              </w:rPr>
              <w:t>N°</w:t>
            </w:r>
          </w:p>
        </w:tc>
        <w:tc>
          <w:tcPr>
            <w:tcW w:type="dxa" w:w="4535"/>
            <w:shd w:val="clear" w:color="auto" w:fill="1F3864"/>
          </w:tcPr>
          <w:p>
            <w:r>
              <w:rPr>
                <w:b/>
                <w:color w:val="FFFFFF"/>
                <w:sz w:val="19"/>
              </w:rPr>
              <w:t>Recommandation</w:t>
            </w:r>
          </w:p>
        </w:tc>
        <w:tc>
          <w:tcPr>
            <w:tcW w:type="dxa" w:w="1134"/>
            <w:shd w:val="clear" w:color="auto" w:fill="1F3864"/>
          </w:tcPr>
          <w:p>
            <w:r>
              <w:rPr>
                <w:b/>
                <w:color w:val="FFFFFF"/>
                <w:sz w:val="19"/>
              </w:rPr>
              <w:t>Priorite</w:t>
            </w:r>
          </w:p>
        </w:tc>
        <w:tc>
          <w:tcPr>
            <w:tcW w:type="dxa" w:w="2268"/>
            <w:shd w:val="clear" w:color="auto" w:fill="1F3864"/>
          </w:tcPr>
          <w:p>
            <w:r>
              <w:rPr>
                <w:b/>
                <w:color w:val="FFFFFF"/>
                <w:sz w:val="19"/>
              </w:rPr>
              <w:t>Acteur</w:t>
            </w:r>
          </w:p>
        </w:tc>
        <w:tc>
          <w:tcPr>
            <w:tcW w:type="dxa" w:w="1701"/>
            <w:shd w:val="clear" w:color="auto" w:fill="1F3864"/>
          </w:tcPr>
          <w:p>
            <w:r>
              <w:rPr>
                <w:b/>
                <w:color w:val="FFFFFF"/>
                <w:sz w:val="19"/>
              </w:rPr>
              <w:t>Echeance</w:t>
            </w:r>
          </w:p>
        </w:tc>
      </w:tr>
      <w:tr>
        <w:tc>
          <w:tcPr>
            <w:tcW w:type="dxa" w:w="567"/>
            <w:shd w:val="clear" w:color="auto" w:fill="F2F2F2"/>
          </w:tcPr>
          <w:p>
            <w:r>
              <w:rPr>
                <w:b/>
                <w:sz w:val="19"/>
              </w:rPr>
              <w:t>R1</w:t>
            </w:r>
          </w:p>
        </w:tc>
        <w:tc>
          <w:tcPr>
            <w:tcW w:type="dxa" w:w="4535"/>
            <w:shd w:val="clear" w:color="auto" w:fill="F2F2F2"/>
          </w:tcPr>
          <w:p>
            <w:r>
              <w:rPr>
                <w:sz w:val="19"/>
              </w:rPr>
              <w:t>Conduire une analyse actualisee de l'adequation formation-emploi par filiere et region pour ajuster les quotas de qualifications par cohorte.</w:t>
            </w:r>
          </w:p>
        </w:tc>
        <w:tc>
          <w:tcPr>
            <w:tcW w:type="dxa" w:w="1134"/>
            <w:shd w:val="clear" w:color="auto" w:fill="F2F2F2"/>
          </w:tcPr>
          <w:p>
            <w:r>
              <w:rPr>
                <w:sz w:val="19"/>
              </w:rPr>
              <w:t>Haute</w:t>
            </w:r>
          </w:p>
        </w:tc>
        <w:tc>
          <w:tcPr>
            <w:tcW w:type="dxa" w:w="2268"/>
            <w:shd w:val="clear" w:color="auto" w:fill="F2F2F2"/>
          </w:tcPr>
          <w:p>
            <w:r>
              <w:rPr>
                <w:sz w:val="19"/>
              </w:rPr>
              <w:t>Coordination PSIE / ANPE / INSAE</w:t>
            </w:r>
          </w:p>
        </w:tc>
        <w:tc>
          <w:tcPr>
            <w:tcW w:type="dxa" w:w="1701"/>
            <w:shd w:val="clear" w:color="auto" w:fill="F2F2F2"/>
          </w:tcPr>
          <w:p>
            <w:r>
              <w:rPr>
                <w:sz w:val="19"/>
              </w:rPr>
              <w:t>Court terme (2026)</w:t>
            </w:r>
          </w:p>
        </w:tc>
      </w:tr>
      <w:tr>
        <w:tc>
          <w:tcPr>
            <w:tcW w:type="dxa" w:w="567"/>
            <w:shd w:val="clear" w:color="auto" w:fill="FFFFFF"/>
          </w:tcPr>
          <w:p>
            <w:r>
              <w:rPr>
                <w:b/>
                <w:sz w:val="19"/>
              </w:rPr>
              <w:t>R2</w:t>
            </w:r>
          </w:p>
        </w:tc>
        <w:tc>
          <w:tcPr>
            <w:tcW w:type="dxa" w:w="4535"/>
            <w:shd w:val="clear" w:color="auto" w:fill="FFFFFF"/>
          </w:tcPr>
          <w:p>
            <w:r>
              <w:rPr>
                <w:sz w:val="19"/>
              </w:rPr>
              <w:t>Explorer l'extension du plafond d'age a 40 ans pour les chomeurs de longue duree.</w:t>
            </w:r>
          </w:p>
        </w:tc>
        <w:tc>
          <w:tcPr>
            <w:tcW w:type="dxa" w:w="1134"/>
            <w:shd w:val="clear" w:color="auto" w:fill="FFFFFF"/>
          </w:tcPr>
          <w:p>
            <w:r>
              <w:rPr>
                <w:sz w:val="19"/>
              </w:rPr>
              <w:t>Moyenne</w:t>
            </w:r>
          </w:p>
        </w:tc>
        <w:tc>
          <w:tcPr>
            <w:tcW w:type="dxa" w:w="2268"/>
            <w:shd w:val="clear" w:color="auto" w:fill="FFFFFF"/>
          </w:tcPr>
          <w:p>
            <w:r>
              <w:rPr>
                <w:sz w:val="19"/>
              </w:rPr>
              <w:t>Comite de pilotage / Min. Emploi</w:t>
            </w:r>
          </w:p>
        </w:tc>
        <w:tc>
          <w:tcPr>
            <w:tcW w:type="dxa" w:w="1701"/>
            <w:shd w:val="clear" w:color="auto" w:fill="FFFFFF"/>
          </w:tcPr>
          <w:p>
            <w:r>
              <w:rPr>
                <w:sz w:val="19"/>
              </w:rPr>
              <w:t>Moyen terme</w:t>
            </w:r>
          </w:p>
        </w:tc>
      </w:tr>
    </w:tbl>
    <w:p/>
    <w:p>
      <w:pPr>
        <w:pStyle w:val="Heading2"/>
      </w:pPr>
      <w:r>
        <w:rPr>
          <w:rFonts w:ascii="Calibri" w:hAnsi="Calibri"/>
          <w:color w:val="2E74B5"/>
        </w:rPr>
        <w:t>6.3 Recommandations relatives a la Coherence</w:t>
      </w:r>
    </w:p>
    <w:tbl>
      <w:tblPr>
        <w:tblStyle w:val="TableGrid"/>
        <w:tblW w:type="auto" w:w="0"/>
        <w:tblLook w:firstColumn="1" w:firstRow="1" w:lastColumn="0" w:lastRow="0" w:noHBand="0" w:noVBand="1" w:val="04A0"/>
      </w:tblPr>
      <w:tblGrid>
        <w:gridCol w:w="1847"/>
        <w:gridCol w:w="1847"/>
        <w:gridCol w:w="1847"/>
        <w:gridCol w:w="1847"/>
        <w:gridCol w:w="1847"/>
      </w:tblGrid>
      <w:tr>
        <w:tc>
          <w:tcPr>
            <w:tcW w:type="dxa" w:w="567"/>
            <w:shd w:val="clear" w:color="auto" w:fill="1F3864"/>
          </w:tcPr>
          <w:p>
            <w:r>
              <w:rPr>
                <w:b/>
                <w:color w:val="FFFFFF"/>
                <w:sz w:val="19"/>
              </w:rPr>
              <w:t>N°</w:t>
            </w:r>
          </w:p>
        </w:tc>
        <w:tc>
          <w:tcPr>
            <w:tcW w:type="dxa" w:w="4535"/>
            <w:shd w:val="clear" w:color="auto" w:fill="1F3864"/>
          </w:tcPr>
          <w:p>
            <w:r>
              <w:rPr>
                <w:b/>
                <w:color w:val="FFFFFF"/>
                <w:sz w:val="19"/>
              </w:rPr>
              <w:t>Recommandation</w:t>
            </w:r>
          </w:p>
        </w:tc>
        <w:tc>
          <w:tcPr>
            <w:tcW w:type="dxa" w:w="1134"/>
            <w:shd w:val="clear" w:color="auto" w:fill="1F3864"/>
          </w:tcPr>
          <w:p>
            <w:r>
              <w:rPr>
                <w:b/>
                <w:color w:val="FFFFFF"/>
                <w:sz w:val="19"/>
              </w:rPr>
              <w:t>Priorite</w:t>
            </w:r>
          </w:p>
        </w:tc>
        <w:tc>
          <w:tcPr>
            <w:tcW w:type="dxa" w:w="2268"/>
            <w:shd w:val="clear" w:color="auto" w:fill="1F3864"/>
          </w:tcPr>
          <w:p>
            <w:r>
              <w:rPr>
                <w:b/>
                <w:color w:val="FFFFFF"/>
                <w:sz w:val="19"/>
              </w:rPr>
              <w:t>Acteur</w:t>
            </w:r>
          </w:p>
        </w:tc>
        <w:tc>
          <w:tcPr>
            <w:tcW w:type="dxa" w:w="1701"/>
            <w:shd w:val="clear" w:color="auto" w:fill="1F3864"/>
          </w:tcPr>
          <w:p>
            <w:r>
              <w:rPr>
                <w:b/>
                <w:color w:val="FFFFFF"/>
                <w:sz w:val="19"/>
              </w:rPr>
              <w:t>Echeance</w:t>
            </w:r>
          </w:p>
        </w:tc>
      </w:tr>
      <w:tr>
        <w:tc>
          <w:tcPr>
            <w:tcW w:type="dxa" w:w="567"/>
            <w:shd w:val="clear" w:color="auto" w:fill="F2F2F2"/>
          </w:tcPr>
          <w:p>
            <w:r>
              <w:rPr>
                <w:b/>
                <w:sz w:val="19"/>
              </w:rPr>
              <w:t>R3</w:t>
            </w:r>
          </w:p>
        </w:tc>
        <w:tc>
          <w:tcPr>
            <w:tcW w:type="dxa" w:w="4535"/>
            <w:shd w:val="clear" w:color="auto" w:fill="F2F2F2"/>
          </w:tcPr>
          <w:p>
            <w:r>
              <w:rPr>
                <w:sz w:val="19"/>
              </w:rPr>
              <w:t>Formaliser un avenant au cadre logique et au budget pour integrer la revision salariale (+20-25 %) et la prolongation du programme au-dela de 2025, avec des cibles actualisees.</w:t>
            </w:r>
          </w:p>
        </w:tc>
        <w:tc>
          <w:tcPr>
            <w:tcW w:type="dxa" w:w="1134"/>
            <w:shd w:val="clear" w:color="auto" w:fill="F2F2F2"/>
          </w:tcPr>
          <w:p>
            <w:r>
              <w:rPr>
                <w:sz w:val="19"/>
              </w:rPr>
              <w:t>Haute</w:t>
            </w:r>
          </w:p>
        </w:tc>
        <w:tc>
          <w:tcPr>
            <w:tcW w:type="dxa" w:w="2268"/>
            <w:shd w:val="clear" w:color="auto" w:fill="F2F2F2"/>
          </w:tcPr>
          <w:p>
            <w:r>
              <w:rPr>
                <w:sz w:val="19"/>
              </w:rPr>
              <w:t>Coordination PSIE / BAI</w:t>
            </w:r>
          </w:p>
        </w:tc>
        <w:tc>
          <w:tcPr>
            <w:tcW w:type="dxa" w:w="1701"/>
            <w:shd w:val="clear" w:color="auto" w:fill="F2F2F2"/>
          </w:tcPr>
          <w:p>
            <w:r>
              <w:rPr>
                <w:sz w:val="19"/>
              </w:rPr>
              <w:t>Court terme (2026)</w:t>
            </w:r>
          </w:p>
        </w:tc>
      </w:tr>
      <w:tr>
        <w:tc>
          <w:tcPr>
            <w:tcW w:type="dxa" w:w="567"/>
            <w:shd w:val="clear" w:color="auto" w:fill="FFFFFF"/>
          </w:tcPr>
          <w:p>
            <w:r>
              <w:rPr>
                <w:b/>
                <w:sz w:val="19"/>
              </w:rPr>
              <w:t>R4</w:t>
            </w:r>
          </w:p>
        </w:tc>
        <w:tc>
          <w:tcPr>
            <w:tcW w:type="dxa" w:w="4535"/>
            <w:shd w:val="clear" w:color="auto" w:fill="FFFFFF"/>
          </w:tcPr>
          <w:p>
            <w:r>
              <w:rPr>
                <w:sz w:val="19"/>
              </w:rPr>
              <w:t>Mettre en place un mecanisme formel de coordination avec les autres programmes d'emploi (FNPEEJ, etc.) pour eviter les doublons de beneficiaires.</w:t>
            </w:r>
          </w:p>
        </w:tc>
        <w:tc>
          <w:tcPr>
            <w:tcW w:type="dxa" w:w="1134"/>
            <w:shd w:val="clear" w:color="auto" w:fill="FFFFFF"/>
          </w:tcPr>
          <w:p>
            <w:r>
              <w:rPr>
                <w:sz w:val="19"/>
              </w:rPr>
              <w:t>Moyenne</w:t>
            </w:r>
          </w:p>
        </w:tc>
        <w:tc>
          <w:tcPr>
            <w:tcW w:type="dxa" w:w="2268"/>
            <w:shd w:val="clear" w:color="auto" w:fill="FFFFFF"/>
          </w:tcPr>
          <w:p>
            <w:r>
              <w:rPr>
                <w:sz w:val="19"/>
              </w:rPr>
              <w:t>ANPE / Min. Emploi</w:t>
            </w:r>
          </w:p>
        </w:tc>
        <w:tc>
          <w:tcPr>
            <w:tcW w:type="dxa" w:w="1701"/>
            <w:shd w:val="clear" w:color="auto" w:fill="FFFFFF"/>
          </w:tcPr>
          <w:p>
            <w:r>
              <w:rPr>
                <w:sz w:val="19"/>
              </w:rPr>
              <w:t>Moyen terme</w:t>
            </w:r>
          </w:p>
        </w:tc>
      </w:tr>
    </w:tbl>
    <w:p/>
    <w:p>
      <w:pPr>
        <w:pStyle w:val="Heading2"/>
      </w:pPr>
      <w:r>
        <w:rPr>
          <w:rFonts w:ascii="Calibri" w:hAnsi="Calibri"/>
          <w:color w:val="2E74B5"/>
        </w:rPr>
        <w:t>6.4 Recommandations relatives a l'Efficacite</w:t>
      </w:r>
    </w:p>
    <w:tbl>
      <w:tblPr>
        <w:tblStyle w:val="TableGrid"/>
        <w:tblW w:type="auto" w:w="0"/>
        <w:tblLook w:firstColumn="1" w:firstRow="1" w:lastColumn="0" w:lastRow="0" w:noHBand="0" w:noVBand="1" w:val="04A0"/>
      </w:tblPr>
      <w:tblGrid>
        <w:gridCol w:w="1847"/>
        <w:gridCol w:w="1847"/>
        <w:gridCol w:w="1847"/>
        <w:gridCol w:w="1847"/>
        <w:gridCol w:w="1847"/>
      </w:tblGrid>
      <w:tr>
        <w:tc>
          <w:tcPr>
            <w:tcW w:type="dxa" w:w="567"/>
            <w:shd w:val="clear" w:color="auto" w:fill="1F3864"/>
          </w:tcPr>
          <w:p>
            <w:r>
              <w:rPr>
                <w:b/>
                <w:color w:val="FFFFFF"/>
                <w:sz w:val="19"/>
              </w:rPr>
              <w:t>N°</w:t>
            </w:r>
          </w:p>
        </w:tc>
        <w:tc>
          <w:tcPr>
            <w:tcW w:type="dxa" w:w="4535"/>
            <w:shd w:val="clear" w:color="auto" w:fill="1F3864"/>
          </w:tcPr>
          <w:p>
            <w:r>
              <w:rPr>
                <w:b/>
                <w:color w:val="FFFFFF"/>
                <w:sz w:val="19"/>
              </w:rPr>
              <w:t>Recommandation</w:t>
            </w:r>
          </w:p>
        </w:tc>
        <w:tc>
          <w:tcPr>
            <w:tcW w:type="dxa" w:w="1134"/>
            <w:shd w:val="clear" w:color="auto" w:fill="1F3864"/>
          </w:tcPr>
          <w:p>
            <w:r>
              <w:rPr>
                <w:b/>
                <w:color w:val="FFFFFF"/>
                <w:sz w:val="19"/>
              </w:rPr>
              <w:t>Priorite</w:t>
            </w:r>
          </w:p>
        </w:tc>
        <w:tc>
          <w:tcPr>
            <w:tcW w:type="dxa" w:w="2268"/>
            <w:shd w:val="clear" w:color="auto" w:fill="1F3864"/>
          </w:tcPr>
          <w:p>
            <w:r>
              <w:rPr>
                <w:b/>
                <w:color w:val="FFFFFF"/>
                <w:sz w:val="19"/>
              </w:rPr>
              <w:t>Acteur</w:t>
            </w:r>
          </w:p>
        </w:tc>
        <w:tc>
          <w:tcPr>
            <w:tcW w:type="dxa" w:w="1701"/>
            <w:shd w:val="clear" w:color="auto" w:fill="1F3864"/>
          </w:tcPr>
          <w:p>
            <w:r>
              <w:rPr>
                <w:b/>
                <w:color w:val="FFFFFF"/>
                <w:sz w:val="19"/>
              </w:rPr>
              <w:t>Echeance</w:t>
            </w:r>
          </w:p>
        </w:tc>
      </w:tr>
      <w:tr>
        <w:tc>
          <w:tcPr>
            <w:tcW w:type="dxa" w:w="567"/>
            <w:shd w:val="clear" w:color="auto" w:fill="F2F2F2"/>
          </w:tcPr>
          <w:p>
            <w:r>
              <w:rPr>
                <w:b/>
                <w:sz w:val="19"/>
              </w:rPr>
              <w:t>R5</w:t>
            </w:r>
          </w:p>
        </w:tc>
        <w:tc>
          <w:tcPr>
            <w:tcW w:type="dxa" w:w="4535"/>
            <w:shd w:val="clear" w:color="auto" w:fill="F2F2F2"/>
          </w:tcPr>
          <w:p>
            <w:r>
              <w:rPr>
                <w:sz w:val="19"/>
              </w:rPr>
              <w:t>Developper une strategie de deconcentration geographique ciblant les 10 departements sous-representes - objectif : porter les insertions hors Littoral/Atlantique a &gt;= 25 % d'ici fin 2026 (contre 14,5 % au 30 sept. 2025).</w:t>
            </w:r>
          </w:p>
        </w:tc>
        <w:tc>
          <w:tcPr>
            <w:tcW w:type="dxa" w:w="1134"/>
            <w:shd w:val="clear" w:color="auto" w:fill="F2F2F2"/>
          </w:tcPr>
          <w:p>
            <w:r>
              <w:rPr>
                <w:sz w:val="19"/>
              </w:rPr>
              <w:t>HAUTE</w:t>
            </w:r>
          </w:p>
        </w:tc>
        <w:tc>
          <w:tcPr>
            <w:tcW w:type="dxa" w:w="2268"/>
            <w:shd w:val="clear" w:color="auto" w:fill="F2F2F2"/>
          </w:tcPr>
          <w:p>
            <w:r>
              <w:rPr>
                <w:sz w:val="19"/>
              </w:rPr>
              <w:t>Coordination PSIE / ANPE</w:t>
            </w:r>
          </w:p>
        </w:tc>
        <w:tc>
          <w:tcPr>
            <w:tcW w:type="dxa" w:w="1701"/>
            <w:shd w:val="clear" w:color="auto" w:fill="F2F2F2"/>
          </w:tcPr>
          <w:p>
            <w:r>
              <w:rPr>
                <w:sz w:val="19"/>
              </w:rPr>
              <w:t>Court terme (2026)</w:t>
            </w:r>
          </w:p>
        </w:tc>
      </w:tr>
      <w:tr>
        <w:tc>
          <w:tcPr>
            <w:tcW w:type="dxa" w:w="567"/>
            <w:shd w:val="clear" w:color="auto" w:fill="FFFFFF"/>
          </w:tcPr>
          <w:p>
            <w:r>
              <w:rPr>
                <w:b/>
                <w:sz w:val="19"/>
              </w:rPr>
              <w:t>R6</w:t>
            </w:r>
          </w:p>
        </w:tc>
        <w:tc>
          <w:tcPr>
            <w:tcW w:type="dxa" w:w="4535"/>
            <w:shd w:val="clear" w:color="auto" w:fill="FFFFFF"/>
          </w:tcPr>
          <w:p>
            <w:r>
              <w:rPr>
                <w:sz w:val="19"/>
              </w:rPr>
              <w:t>Renforcer la prospection dans les secteurs sous-representes (TIC, hotellerie, energies renouvelables) via des partenariats avec les associations professionnelles.</w:t>
            </w:r>
          </w:p>
        </w:tc>
        <w:tc>
          <w:tcPr>
            <w:tcW w:type="dxa" w:w="1134"/>
            <w:shd w:val="clear" w:color="auto" w:fill="FFFFFF"/>
          </w:tcPr>
          <w:p>
            <w:r>
              <w:rPr>
                <w:sz w:val="19"/>
              </w:rPr>
              <w:t>Haute</w:t>
            </w:r>
          </w:p>
        </w:tc>
        <w:tc>
          <w:tcPr>
            <w:tcW w:type="dxa" w:w="2268"/>
            <w:shd w:val="clear" w:color="auto" w:fill="FFFFFF"/>
          </w:tcPr>
          <w:p>
            <w:r>
              <w:rPr>
                <w:sz w:val="19"/>
              </w:rPr>
              <w:t>Coordination PSIE / ANPE</w:t>
            </w:r>
          </w:p>
        </w:tc>
        <w:tc>
          <w:tcPr>
            <w:tcW w:type="dxa" w:w="1701"/>
            <w:shd w:val="clear" w:color="auto" w:fill="FFFFFF"/>
          </w:tcPr>
          <w:p>
            <w:r>
              <w:rPr>
                <w:sz w:val="19"/>
              </w:rPr>
              <w:t>Court terme (2026)</w:t>
            </w:r>
          </w:p>
        </w:tc>
      </w:tr>
      <w:tr>
        <w:tc>
          <w:tcPr>
            <w:tcW w:type="dxa" w:w="567"/>
            <w:shd w:val="clear" w:color="auto" w:fill="F2F2F2"/>
          </w:tcPr>
          <w:p>
            <w:r>
              <w:rPr>
                <w:b/>
                <w:sz w:val="19"/>
              </w:rPr>
              <w:t>R7</w:t>
            </w:r>
          </w:p>
        </w:tc>
        <w:tc>
          <w:tcPr>
            <w:tcW w:type="dxa" w:w="4535"/>
            <w:shd w:val="clear" w:color="auto" w:fill="F2F2F2"/>
          </w:tcPr>
          <w:p>
            <w:r>
              <w:rPr>
                <w:sz w:val="19"/>
              </w:rPr>
              <w:t>Formaliser et operationnaliser le suivi des alumni (6, 12, 24 mois post-programme) pour renseigner les taux de retention et alimenter l'evaluation d'impact.</w:t>
            </w:r>
          </w:p>
        </w:tc>
        <w:tc>
          <w:tcPr>
            <w:tcW w:type="dxa" w:w="1134"/>
            <w:shd w:val="clear" w:color="auto" w:fill="F2F2F2"/>
          </w:tcPr>
          <w:p>
            <w:r>
              <w:rPr>
                <w:sz w:val="19"/>
              </w:rPr>
              <w:t>HAUTE</w:t>
            </w:r>
          </w:p>
        </w:tc>
        <w:tc>
          <w:tcPr>
            <w:tcW w:type="dxa" w:w="2268"/>
            <w:shd w:val="clear" w:color="auto" w:fill="F2F2F2"/>
          </w:tcPr>
          <w:p>
            <w:r>
              <w:rPr>
                <w:sz w:val="19"/>
              </w:rPr>
              <w:t>Coordination PSIE / Specialiste S-E</w:t>
            </w:r>
          </w:p>
        </w:tc>
        <w:tc>
          <w:tcPr>
            <w:tcW w:type="dxa" w:w="1701"/>
            <w:shd w:val="clear" w:color="auto" w:fill="F2F2F2"/>
          </w:tcPr>
          <w:p>
            <w:r>
              <w:rPr>
                <w:sz w:val="19"/>
              </w:rPr>
              <w:t>Court terme (2026)</w:t>
            </w:r>
          </w:p>
        </w:tc>
      </w:tr>
      <w:tr>
        <w:tc>
          <w:tcPr>
            <w:tcW w:type="dxa" w:w="567"/>
            <w:shd w:val="clear" w:color="auto" w:fill="FFFFFF"/>
          </w:tcPr>
          <w:p>
            <w:r>
              <w:rPr>
                <w:b/>
                <w:sz w:val="19"/>
              </w:rPr>
              <w:t>R8</w:t>
            </w:r>
          </w:p>
        </w:tc>
        <w:tc>
          <w:tcPr>
            <w:tcW w:type="dxa" w:w="4535"/>
            <w:shd w:val="clear" w:color="auto" w:fill="FFFFFF"/>
          </w:tcPr>
          <w:p>
            <w:r>
              <w:rPr>
                <w:sz w:val="19"/>
              </w:rPr>
              <w:t>Renforcer les mecanismes de suivi et de sanction des entreprises ne respectant pas les clauses contractuelles (licenciements injustifies pendant l'immersion).</w:t>
            </w:r>
          </w:p>
        </w:tc>
        <w:tc>
          <w:tcPr>
            <w:tcW w:type="dxa" w:w="1134"/>
            <w:shd w:val="clear" w:color="auto" w:fill="FFFFFF"/>
          </w:tcPr>
          <w:p>
            <w:r>
              <w:rPr>
                <w:sz w:val="19"/>
              </w:rPr>
              <w:t>Haute</w:t>
            </w:r>
          </w:p>
        </w:tc>
        <w:tc>
          <w:tcPr>
            <w:tcW w:type="dxa" w:w="2268"/>
            <w:shd w:val="clear" w:color="auto" w:fill="FFFFFF"/>
          </w:tcPr>
          <w:p>
            <w:r>
              <w:rPr>
                <w:sz w:val="19"/>
              </w:rPr>
              <w:t>Comite technique PSIE / ANPE</w:t>
            </w:r>
          </w:p>
        </w:tc>
        <w:tc>
          <w:tcPr>
            <w:tcW w:type="dxa" w:w="1701"/>
            <w:shd w:val="clear" w:color="auto" w:fill="FFFFFF"/>
          </w:tcPr>
          <w:p>
            <w:r>
              <w:rPr>
                <w:sz w:val="19"/>
              </w:rPr>
              <w:t>Court terme (2026)</w:t>
            </w:r>
          </w:p>
        </w:tc>
      </w:tr>
      <w:tr>
        <w:tc>
          <w:tcPr>
            <w:tcW w:type="dxa" w:w="567"/>
            <w:shd w:val="clear" w:color="auto" w:fill="F2F2F2"/>
          </w:tcPr>
          <w:p>
            <w:r>
              <w:rPr>
                <w:b/>
                <w:sz w:val="19"/>
              </w:rPr>
              <w:t>R9</w:t>
            </w:r>
          </w:p>
        </w:tc>
        <w:tc>
          <w:tcPr>
            <w:tcW w:type="dxa" w:w="4535"/>
            <w:shd w:val="clear" w:color="auto" w:fill="F2F2F2"/>
          </w:tcPr>
          <w:p>
            <w:r>
              <w:rPr>
                <w:sz w:val="19"/>
              </w:rPr>
              <w:t>Mettre en place une enquete annuelle de satisfaction des beneficiaires et des entreprises pour completer les indicateurs de performance.</w:t>
            </w:r>
          </w:p>
        </w:tc>
        <w:tc>
          <w:tcPr>
            <w:tcW w:type="dxa" w:w="1134"/>
            <w:shd w:val="clear" w:color="auto" w:fill="F2F2F2"/>
          </w:tcPr>
          <w:p>
            <w:r>
              <w:rPr>
                <w:sz w:val="19"/>
              </w:rPr>
              <w:t>Moyenne</w:t>
            </w:r>
          </w:p>
        </w:tc>
        <w:tc>
          <w:tcPr>
            <w:tcW w:type="dxa" w:w="2268"/>
            <w:shd w:val="clear" w:color="auto" w:fill="F2F2F2"/>
          </w:tcPr>
          <w:p>
            <w:r>
              <w:rPr>
                <w:sz w:val="19"/>
              </w:rPr>
              <w:t>Specialiste S-E / Coordination PSIE</w:t>
            </w:r>
          </w:p>
        </w:tc>
        <w:tc>
          <w:tcPr>
            <w:tcW w:type="dxa" w:w="1701"/>
            <w:shd w:val="clear" w:color="auto" w:fill="F2F2F2"/>
          </w:tcPr>
          <w:p>
            <w:r>
              <w:rPr>
                <w:sz w:val="19"/>
              </w:rPr>
              <w:t>Moyen terme</w:t>
            </w:r>
          </w:p>
        </w:tc>
      </w:tr>
    </w:tbl>
    <w:p/>
    <w:p>
      <w:r>
        <w:br w:type="page"/>
      </w:r>
    </w:p>
    <w:p>
      <w:pPr>
        <w:pStyle w:val="Heading1"/>
      </w:pPr>
      <w:r>
        <w:rPr>
          <w:rFonts w:ascii="Calibri" w:hAnsi="Calibri"/>
          <w:color w:val="1F3864"/>
        </w:rPr>
        <w:t>7. LIMITES ET CRITERES REPORTES EN PHASE 2</w:t>
      </w:r>
    </w:p>
    <w:p>
      <w:pPr>
        <w:pStyle w:val="Heading2"/>
      </w:pPr>
      <w:r>
        <w:rPr>
          <w:rFonts w:ascii="Calibri" w:hAnsi="Calibri"/>
          <w:color w:val="2E74B5"/>
        </w:rPr>
        <w:t>7.1 Limites de la presente evaluation</w:t>
      </w:r>
    </w:p>
    <w:p>
      <w:pPr>
        <w:pStyle w:val="ListBullet"/>
        <w:ind w:left="567"/>
      </w:pPr>
      <w:r>
        <w:t>Absence de donnees primaires : pas d'entretiens avec les beneficiaires, entreprises ou equipe de coordination.</w:t>
      </w:r>
    </w:p>
    <w:p>
      <w:pPr>
        <w:pStyle w:val="ListBullet"/>
        <w:ind w:left="567"/>
      </w:pPr>
      <w:r>
        <w:t>Pas de donnees sur la retention post-programme : le taux de maintien en emploi apres la periode de 24 mois n'est pas documente.</w:t>
      </w:r>
    </w:p>
    <w:p>
      <w:pPr>
        <w:pStyle w:val="ListBullet"/>
        <w:ind w:left="567"/>
      </w:pPr>
      <w:r>
        <w:t>Donnees statistiques du diagnostic (2015-2017) a actualiser.</w:t>
      </w:r>
    </w:p>
    <w:p>
      <w:pPr>
        <w:pStyle w:val="ListBullet"/>
        <w:ind w:left="567"/>
      </w:pPr>
      <w:r>
        <w:t>Biais de rapport : les documents officiels tendent a mettre en avant les succes.</w:t>
      </w:r>
    </w:p>
    <w:p>
      <w:pPr>
        <w:pStyle w:val="Heading2"/>
      </w:pPr>
      <w:r>
        <w:rPr>
          <w:rFonts w:ascii="Calibri" w:hAnsi="Calibri"/>
          <w:color w:val="2E74B5"/>
        </w:rPr>
        <w:t>7.2 Criteres OCDE/CAD reportes a la Phase 2</w:t>
      </w:r>
    </w:p>
    <w:tbl>
      <w:tblPr>
        <w:tblStyle w:val="TableGrid"/>
        <w:tblW w:type="auto" w:w="0"/>
        <w:tblLook w:firstColumn="1" w:firstRow="1" w:lastColumn="0" w:lastRow="0" w:noHBand="0" w:noVBand="1" w:val="04A0"/>
      </w:tblPr>
      <w:tblGrid>
        <w:gridCol w:w="3079"/>
        <w:gridCol w:w="3079"/>
        <w:gridCol w:w="3079"/>
      </w:tblGrid>
      <w:tr>
        <w:tc>
          <w:tcPr>
            <w:tcW w:type="dxa" w:w="1701"/>
            <w:shd w:val="clear" w:color="auto" w:fill="1F3864"/>
          </w:tcPr>
          <w:p>
            <w:r>
              <w:rPr>
                <w:b/>
                <w:color w:val="FFFFFF"/>
                <w:sz w:val="19"/>
              </w:rPr>
              <w:t>Critere</w:t>
            </w:r>
          </w:p>
        </w:tc>
        <w:tc>
          <w:tcPr>
            <w:tcW w:type="dxa" w:w="3969"/>
            <w:shd w:val="clear" w:color="auto" w:fill="1F3864"/>
          </w:tcPr>
          <w:p>
            <w:r>
              <w:rPr>
                <w:b/>
                <w:color w:val="FFFFFF"/>
                <w:sz w:val="19"/>
              </w:rPr>
              <w:t>Definition</w:t>
            </w:r>
          </w:p>
        </w:tc>
        <w:tc>
          <w:tcPr>
            <w:tcW w:type="dxa" w:w="3969"/>
            <w:shd w:val="clear" w:color="auto" w:fill="1F3864"/>
          </w:tcPr>
          <w:p>
            <w:r>
              <w:rPr>
                <w:b/>
                <w:color w:val="FFFFFF"/>
                <w:sz w:val="19"/>
              </w:rPr>
              <w:t>Donnees necessaires</w:t>
            </w:r>
          </w:p>
        </w:tc>
      </w:tr>
      <w:tr>
        <w:tc>
          <w:tcPr>
            <w:tcW w:type="dxa" w:w="1701"/>
            <w:shd w:val="clear" w:color="auto" w:fill="F2F2F2"/>
          </w:tcPr>
          <w:p>
            <w:r>
              <w:rPr>
                <w:b/>
                <w:sz w:val="19"/>
              </w:rPr>
              <w:t>Efficience</w:t>
            </w:r>
          </w:p>
        </w:tc>
        <w:tc>
          <w:tcPr>
            <w:tcW w:type="dxa" w:w="3969"/>
            <w:shd w:val="clear" w:color="auto" w:fill="F2F2F2"/>
          </w:tcPr>
          <w:p>
            <w:r>
              <w:rPr>
                <w:sz w:val="19"/>
              </w:rPr>
              <w:t>Rapport couts/resultats compare a des programmes similaires.</w:t>
            </w:r>
          </w:p>
        </w:tc>
        <w:tc>
          <w:tcPr>
            <w:tcW w:type="dxa" w:w="3969"/>
            <w:shd w:val="clear" w:color="auto" w:fill="F2F2F2"/>
          </w:tcPr>
          <w:p>
            <w:r>
              <w:rPr>
                <w:sz w:val="19"/>
              </w:rPr>
              <w:t>Donnees financieres detaillees ; couts programmes CEDEAO comparables.</w:t>
            </w:r>
          </w:p>
        </w:tc>
      </w:tr>
      <w:tr>
        <w:tc>
          <w:tcPr>
            <w:tcW w:type="dxa" w:w="1701"/>
            <w:shd w:val="clear" w:color="auto" w:fill="FFFFFF"/>
          </w:tcPr>
          <w:p>
            <w:r>
              <w:rPr>
                <w:b/>
                <w:sz w:val="19"/>
              </w:rPr>
              <w:t>Effets/Impacts</w:t>
            </w:r>
          </w:p>
        </w:tc>
        <w:tc>
          <w:tcPr>
            <w:tcW w:type="dxa" w:w="3969"/>
            <w:shd w:val="clear" w:color="auto" w:fill="FFFFFF"/>
          </w:tcPr>
          <w:p>
            <w:r>
              <w:rPr>
                <w:sz w:val="19"/>
              </w:rPr>
              <w:t>Changements a long terme chez les beneficiaires (maintien en emploi, revenus).</w:t>
            </w:r>
          </w:p>
        </w:tc>
        <w:tc>
          <w:tcPr>
            <w:tcW w:type="dxa" w:w="3969"/>
            <w:shd w:val="clear" w:color="auto" w:fill="FFFFFF"/>
          </w:tcPr>
          <w:p>
            <w:r>
              <w:rPr>
                <w:sz w:val="19"/>
              </w:rPr>
              <w:t>Enquete alumni a 6, 12 et 24 mois ; donnees longitudinales.</w:t>
            </w:r>
          </w:p>
        </w:tc>
      </w:tr>
      <w:tr>
        <w:tc>
          <w:tcPr>
            <w:tcW w:type="dxa" w:w="1701"/>
            <w:shd w:val="clear" w:color="auto" w:fill="F2F2F2"/>
          </w:tcPr>
          <w:p>
            <w:r>
              <w:rPr>
                <w:b/>
                <w:sz w:val="19"/>
              </w:rPr>
              <w:t>Durabilite</w:t>
            </w:r>
          </w:p>
        </w:tc>
        <w:tc>
          <w:tcPr>
            <w:tcW w:type="dxa" w:w="3969"/>
            <w:shd w:val="clear" w:color="auto" w:fill="F2F2F2"/>
          </w:tcPr>
          <w:p>
            <w:r>
              <w:rPr>
                <w:sz w:val="19"/>
              </w:rPr>
              <w:t>Perennite des benefices apres la fin de la periode d'immersion.</w:t>
            </w:r>
          </w:p>
        </w:tc>
        <w:tc>
          <w:tcPr>
            <w:tcW w:type="dxa" w:w="3969"/>
            <w:shd w:val="clear" w:color="auto" w:fill="F2F2F2"/>
          </w:tcPr>
          <w:p>
            <w:r>
              <w:rPr>
                <w:sz w:val="19"/>
              </w:rPr>
              <w:t>Entretiens beneficiaires et entreprises ; suivi post-programme.</w:t>
            </w:r>
          </w:p>
        </w:tc>
      </w:tr>
      <w:tr>
        <w:tc>
          <w:tcPr>
            <w:tcW w:type="dxa" w:w="1701"/>
            <w:shd w:val="clear" w:color="auto" w:fill="FFFFFF"/>
          </w:tcPr>
          <w:p>
            <w:r>
              <w:rPr>
                <w:b/>
                <w:sz w:val="19"/>
              </w:rPr>
              <w:t>Genre</w:t>
            </w:r>
          </w:p>
        </w:tc>
        <w:tc>
          <w:tcPr>
            <w:tcW w:type="dxa" w:w="3969"/>
            <w:shd w:val="clear" w:color="auto" w:fill="FFFFFF"/>
          </w:tcPr>
          <w:p>
            <w:r>
              <w:rPr>
                <w:sz w:val="19"/>
              </w:rPr>
              <w:t>Equite hommes-femmes dans l'acces, les secteurs et les resultats.</w:t>
            </w:r>
          </w:p>
        </w:tc>
        <w:tc>
          <w:tcPr>
            <w:tcW w:type="dxa" w:w="3969"/>
            <w:shd w:val="clear" w:color="auto" w:fill="FFFFFF"/>
          </w:tcPr>
          <w:p>
            <w:r>
              <w:rPr>
                <w:sz w:val="19"/>
              </w:rPr>
              <w:t>Donnees desagregees par sexe (non disponibles actuellement).</w:t>
            </w:r>
          </w:p>
        </w:tc>
      </w:tr>
    </w:tbl>
    <w:p/>
    <w:p>
      <w:r>
        <w:br w:type="page"/>
      </w:r>
    </w:p>
    <w:p>
      <w:pPr>
        <w:pStyle w:val="Heading1"/>
      </w:pPr>
      <w:r>
        <w:rPr>
          <w:rFonts w:ascii="Calibri" w:hAnsi="Calibri"/>
          <w:color w:val="1F3864"/>
        </w:rPr>
        <w:t>ANNEXE - LISTE DES DOCUMENTS CONSULTES</w:t>
      </w:r>
    </w:p>
    <w:tbl>
      <w:tblPr>
        <w:tblStyle w:val="TableGrid"/>
        <w:tblW w:type="auto" w:w="0"/>
        <w:tblLook w:firstColumn="1" w:firstRow="1" w:lastColumn="0" w:lastRow="0" w:noHBand="0" w:noVBand="1" w:val="04A0"/>
      </w:tblPr>
      <w:tblGrid>
        <w:gridCol w:w="2309"/>
        <w:gridCol w:w="2309"/>
        <w:gridCol w:w="2309"/>
        <w:gridCol w:w="2309"/>
      </w:tblGrid>
      <w:tr>
        <w:tc>
          <w:tcPr>
            <w:tcW w:type="dxa" w:w="567"/>
            <w:shd w:val="clear" w:color="auto" w:fill="1F3864"/>
          </w:tcPr>
          <w:p>
            <w:r>
              <w:rPr>
                <w:b/>
                <w:color w:val="FFFFFF"/>
                <w:sz w:val="19"/>
              </w:rPr>
              <w:t>N°</w:t>
            </w:r>
          </w:p>
        </w:tc>
        <w:tc>
          <w:tcPr>
            <w:tcW w:type="dxa" w:w="5669"/>
            <w:shd w:val="clear" w:color="auto" w:fill="1F3864"/>
          </w:tcPr>
          <w:p>
            <w:r>
              <w:rPr>
                <w:b/>
                <w:color w:val="FFFFFF"/>
                <w:sz w:val="19"/>
              </w:rPr>
              <w:t>Intitule du document</w:t>
            </w:r>
          </w:p>
        </w:tc>
        <w:tc>
          <w:tcPr>
            <w:tcW w:type="dxa" w:w="2268"/>
            <w:shd w:val="clear" w:color="auto" w:fill="1F3864"/>
          </w:tcPr>
          <w:p>
            <w:r>
              <w:rPr>
                <w:b/>
                <w:color w:val="FFFFFF"/>
                <w:sz w:val="19"/>
              </w:rPr>
              <w:t>Type</w:t>
            </w:r>
          </w:p>
        </w:tc>
        <w:tc>
          <w:tcPr>
            <w:tcW w:type="dxa" w:w="1701"/>
            <w:shd w:val="clear" w:color="auto" w:fill="1F3864"/>
          </w:tcPr>
          <w:p>
            <w:r>
              <w:rPr>
                <w:b/>
                <w:color w:val="FFFFFF"/>
                <w:sz w:val="19"/>
              </w:rPr>
              <w:t>Date</w:t>
            </w:r>
          </w:p>
        </w:tc>
      </w:tr>
      <w:tr>
        <w:tc>
          <w:tcPr>
            <w:tcW w:type="dxa" w:w="567"/>
            <w:shd w:val="clear" w:color="auto" w:fill="F2F2F2"/>
          </w:tcPr>
          <w:p>
            <w:r>
              <w:rPr>
                <w:b/>
                <w:sz w:val="19"/>
              </w:rPr>
              <w:t>1</w:t>
            </w:r>
          </w:p>
        </w:tc>
        <w:tc>
          <w:tcPr>
            <w:tcW w:type="dxa" w:w="5669"/>
            <w:shd w:val="clear" w:color="auto" w:fill="F2F2F2"/>
          </w:tcPr>
          <w:p>
            <w:r>
              <w:rPr>
                <w:sz w:val="19"/>
              </w:rPr>
              <w:t>Prodoc PSIE-BeninF (revu) 03.04.20.pdf</w:t>
            </w:r>
          </w:p>
        </w:tc>
        <w:tc>
          <w:tcPr>
            <w:tcW w:type="dxa" w:w="2268"/>
            <w:shd w:val="clear" w:color="auto" w:fill="F2F2F2"/>
          </w:tcPr>
          <w:p>
            <w:r>
              <w:rPr>
                <w:sz w:val="19"/>
              </w:rPr>
              <w:t>Document de programme</w:t>
            </w:r>
          </w:p>
        </w:tc>
        <w:tc>
          <w:tcPr>
            <w:tcW w:type="dxa" w:w="1701"/>
            <w:shd w:val="clear" w:color="auto" w:fill="F2F2F2"/>
          </w:tcPr>
          <w:p>
            <w:r>
              <w:rPr>
                <w:sz w:val="19"/>
              </w:rPr>
              <w:t>Mars 2020</w:t>
            </w:r>
          </w:p>
        </w:tc>
      </w:tr>
      <w:tr>
        <w:tc>
          <w:tcPr>
            <w:tcW w:type="dxa" w:w="567"/>
            <w:shd w:val="clear" w:color="auto" w:fill="FFFFFF"/>
          </w:tcPr>
          <w:p>
            <w:r>
              <w:rPr>
                <w:b/>
                <w:sz w:val="19"/>
              </w:rPr>
              <w:t>2</w:t>
            </w:r>
          </w:p>
        </w:tc>
        <w:tc>
          <w:tcPr>
            <w:tcW w:type="dxa" w:w="5669"/>
            <w:shd w:val="clear" w:color="auto" w:fill="FFFFFF"/>
          </w:tcPr>
          <w:p>
            <w:r>
              <w:rPr>
                <w:sz w:val="19"/>
              </w:rPr>
              <w:t>Cadre Logique PSIE.pdf</w:t>
            </w:r>
          </w:p>
        </w:tc>
        <w:tc>
          <w:tcPr>
            <w:tcW w:type="dxa" w:w="2268"/>
            <w:shd w:val="clear" w:color="auto" w:fill="FFFFFF"/>
          </w:tcPr>
          <w:p>
            <w:r>
              <w:rPr>
                <w:sz w:val="19"/>
              </w:rPr>
              <w:t>Cadre de resultats</w:t>
            </w:r>
          </w:p>
        </w:tc>
        <w:tc>
          <w:tcPr>
            <w:tcW w:type="dxa" w:w="1701"/>
            <w:shd w:val="clear" w:color="auto" w:fill="FFFFFF"/>
          </w:tcPr>
          <w:p>
            <w:r>
              <w:rPr>
                <w:sz w:val="19"/>
              </w:rPr>
              <w:t>2020</w:t>
            </w:r>
          </w:p>
        </w:tc>
      </w:tr>
      <w:tr>
        <w:tc>
          <w:tcPr>
            <w:tcW w:type="dxa" w:w="567"/>
            <w:shd w:val="clear" w:color="auto" w:fill="F2F2F2"/>
          </w:tcPr>
          <w:p>
            <w:r>
              <w:rPr>
                <w:b/>
                <w:sz w:val="19"/>
              </w:rPr>
              <w:t>3</w:t>
            </w:r>
          </w:p>
        </w:tc>
        <w:tc>
          <w:tcPr>
            <w:tcW w:type="dxa" w:w="5669"/>
            <w:shd w:val="clear" w:color="auto" w:fill="F2F2F2"/>
          </w:tcPr>
          <w:p>
            <w:r>
              <w:rPr>
                <w:sz w:val="19"/>
              </w:rPr>
              <w:t>Rapport actualise de mise en oeuvre du PSIE juil. 2020 - sept. 2025</w:t>
            </w:r>
          </w:p>
        </w:tc>
        <w:tc>
          <w:tcPr>
            <w:tcW w:type="dxa" w:w="2268"/>
            <w:shd w:val="clear" w:color="auto" w:fill="F2F2F2"/>
          </w:tcPr>
          <w:p>
            <w:r>
              <w:rPr>
                <w:sz w:val="19"/>
              </w:rPr>
              <w:t>Rapport d'activites</w:t>
            </w:r>
          </w:p>
        </w:tc>
        <w:tc>
          <w:tcPr>
            <w:tcW w:type="dxa" w:w="1701"/>
            <w:shd w:val="clear" w:color="auto" w:fill="F2F2F2"/>
          </w:tcPr>
          <w:p>
            <w:r>
              <w:rPr>
                <w:sz w:val="19"/>
              </w:rPr>
              <w:t>Octobre 2025</w:t>
            </w:r>
          </w:p>
        </w:tc>
      </w:tr>
    </w:tbl>
    <w:p/>
    <w:sectPr w:rsidR="00FC693F" w:rsidRPr="0006063C" w:rsidSect="00034616">
      <w:footerReference w:type="default" r:id="rId9"/>
      <w:pgSz w:w="12240" w:h="15840"/>
      <w:pgMar w:top="1417" w:right="141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i/>
        <w:color w:val="808080"/>
        <w:sz w:val="16"/>
      </w:rPr>
      <w:t>Evaluation du PSIE - Benin  |  Criteres OCDE/CAD : Pertinence / Coherence / Efficacite  |  Fevrier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