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564"/>
          <w:sz w:val="40"/>
        </w:rPr>
        <w:t>ÉVALUATION FINALE DU PSIE</w:t>
      </w:r>
    </w:p>
    <w:p>
      <w:pPr>
        <w:jc w:val="center"/>
      </w:pPr>
      <w:r>
        <w:rPr>
          <w:b/>
          <w:color w:val="265FAD"/>
          <w:sz w:val="32"/>
        </w:rPr>
        <w:t>PLAN DE TABULATION APPROFONDI — VERSION 2.0</w:t>
      </w:r>
    </w:p>
    <w:p>
      <w:pPr>
        <w:jc w:val="center"/>
      </w:pPr>
      <w:r>
        <w:rPr>
          <w:b w:val="0"/>
          <w:color w:val="17655E"/>
          <w:sz w:val="24"/>
        </w:rPr>
        <w:t>Indicateurs par critère OCDE · Efficacité · Effets (Double Différence)</w:t>
      </w:r>
    </w:p>
    <w:p>
      <w:pPr>
        <w:jc w:val="center"/>
      </w:pPr>
      <w:r>
        <w:rPr>
          <w:b w:val="0"/>
          <w:color w:val="606060"/>
          <w:sz w:val="20"/>
        </w:rPr>
        <w:t>Bénin · ANPE · Avril 2026</w:t>
      </w:r>
    </w:p>
    <w:p>
      <w:r>
        <w:br w:type="page"/>
      </w:r>
    </w:p>
    <w:p>
      <w:pPr>
        <w:spacing w:before="160" w:after="80"/>
      </w:pPr>
      <w:r>
        <w:rPr>
          <w:b/>
          <w:color w:val="1F3564"/>
          <w:sz w:val="26"/>
        </w:rPr>
        <w:t>PARTIE 0. INDICATEURS PAR CRITÈRE D'ÉVALUATION OCDE/CAD</w:t>
      </w:r>
    </w:p>
    <w:p>
      <w:pPr>
        <w:spacing w:after="60"/>
      </w:pPr>
      <w:r>
        <w:rPr>
          <w:b w:val="0"/>
          <w:i w:val="0"/>
          <w:sz w:val="20"/>
        </w:rPr>
        <w:t>Les 37 indicateurs ci-dessous couvrent les 7 critères OCDE retenus. Chaque indicateur est associé à sa variable source (QB = Questionnaire Bénéficiaires · QE = Questionnaire Entreprises · GE = Guide d'Entretien · Docs = Documents officiels) et à sa nature Q (quantitatif) ou QL (qualitatif).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283"/>
            <w:shd w:val="clear" w:color="auto" w:fill="1F3564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N°</w:t>
            </w:r>
          </w:p>
        </w:tc>
        <w:tc>
          <w:tcPr>
            <w:tcW w:type="dxa" w:w="4082"/>
            <w:shd w:val="clear" w:color="auto" w:fill="1F3564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Indicateur</w:t>
            </w:r>
          </w:p>
        </w:tc>
        <w:tc>
          <w:tcPr>
            <w:tcW w:type="dxa" w:w="1984"/>
            <w:shd w:val="clear" w:color="auto" w:fill="1F3564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Variable(s) / Source</w:t>
            </w:r>
          </w:p>
        </w:tc>
        <w:tc>
          <w:tcPr>
            <w:tcW w:type="dxa" w:w="850"/>
            <w:shd w:val="clear" w:color="auto" w:fill="1F3564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Nature</w:t>
            </w:r>
          </w:p>
        </w:tc>
      </w:tr>
      <w:tr>
        <w:tc>
          <w:tcPr>
            <w:tcW w:type="dxa" w:w="15024"/>
            <w:gridSpan w:val="4"/>
            <w:shd w:val="clear" w:color="auto" w:fill="265FAD"/>
          </w:tcPr>
          <w:p>
            <w:r>
              <w:rPr>
                <w:b/>
                <w:i w:val="0"/>
                <w:color w:val="FFFFFF"/>
                <w:sz w:val="18"/>
              </w:rPr>
              <w:t>Critère : PERTINENCE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Degré de documentation du problème à l'origine du PSIE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GE-Pert01/02 + Docs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17655E"/>
                <w:sz w:val="18"/>
              </w:rPr>
              <w:t>QL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Clarté d'identification des bénéficiaires directs et indirects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GE-Pert03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17655E"/>
                <w:sz w:val="18"/>
              </w:rPr>
              <w:t>QL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Existence d'évidences empiriques sur approches similaires (PAES)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GE-Pert04 + Docs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17655E"/>
                <w:sz w:val="18"/>
              </w:rPr>
              <w:t>QL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Cohérence entre rationnel, cibles, objectifs et moyens du PSIE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GE-Pert05 + CL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17655E"/>
                <w:sz w:val="18"/>
              </w:rPr>
              <w:t>QL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Taux d'adéquation emploi-formation des bénéficiaires (%)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QB-Q6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Durée moyenne de chômage avant le PSIE (mois)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QB-Q7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Taux de bénéficiaires estimant leur employabilité améliorée (%)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QB-Q22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15024"/>
            <w:gridSpan w:val="4"/>
            <w:shd w:val="clear" w:color="auto" w:fill="17655E"/>
          </w:tcPr>
          <w:p>
            <w:r>
              <w:rPr>
                <w:b/>
                <w:i w:val="0"/>
                <w:color w:val="FFFFFF"/>
                <w:sz w:val="18"/>
              </w:rPr>
              <w:t>Critère : COHÉRENCE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Degré d'intégration du PSIE dans les stratégies sectorielles emploi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GE-Coeh01 + Docs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17655E"/>
                <w:sz w:val="18"/>
              </w:rPr>
              <w:t>QL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Synergies avec PND/PAG2 et ODD (score de cohérence documentée)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GE-Coeh02 + Docs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17655E"/>
                <w:sz w:val="18"/>
              </w:rPr>
              <w:t>QL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Cohérence interne du PSIE (chaîne de résultats du cadre logique)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GE-Coeh03 + CL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17655E"/>
                <w:sz w:val="18"/>
              </w:rPr>
              <w:t>QL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Taux d'alignement des extrants avec les objectifs du CL (%)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Rapport MO + CL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Qualité de la coordination interinstitutionnelle (appréciation)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GE-Eff02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17655E"/>
                <w:sz w:val="18"/>
              </w:rPr>
              <w:t>QL</w:t>
            </w:r>
          </w:p>
        </w:tc>
      </w:tr>
      <w:tr>
        <w:tc>
          <w:tcPr>
            <w:tcW w:type="dxa" w:w="15024"/>
            <w:gridSpan w:val="4"/>
            <w:shd w:val="clear" w:color="auto" w:fill="7030A0"/>
          </w:tcPr>
          <w:p>
            <w:r>
              <w:rPr>
                <w:b/>
                <w:i w:val="0"/>
                <w:color w:val="FFFFFF"/>
                <w:sz w:val="18"/>
              </w:rPr>
              <w:t>Critère : EFFICACITÉ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Taux d'insertion en emploi des allocataires (%)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QB-Q14 [Q0=1]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Taux de rétention en entreprise après immersion (%)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QB-Q29 / QE-Q8/Q9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Taux de maintien dans le même emploi (stabilité) (%)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QB-Q16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Taux de couverture des bénéficiaires prévus (%)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Rapport MO + CL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Taux de formation bénéficiaires dans le cadre du PSIE (%)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QB-Q26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Score moyen de satisfaction PSIE (sur 10)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QB-Q31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Taux d'entreprises observant une amélioration de productivité (%)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QE-Q17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Taux moyen d'accroissement de productivité (%)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QE-Q18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Score moyen de satisfaction des entreprises (sur 10)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QE-Q33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Taux d'adéquation emploi-formation (%)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QB-Q6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Taux de mise en œuvre des services prévus (%)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GE-Efte05 + CL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37874A"/>
                <w:sz w:val="18"/>
              </w:rPr>
              <w:t>Q/QL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Taux d'exécution annuelle des insertions prévues (%)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Rapport MO, Table 2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15024"/>
            <w:gridSpan w:val="4"/>
            <w:shd w:val="clear" w:color="auto" w:fill="C05000"/>
          </w:tcPr>
          <w:p>
            <w:r>
              <w:rPr>
                <w:b/>
                <w:i w:val="0"/>
                <w:color w:val="FFFFFF"/>
                <w:sz w:val="18"/>
              </w:rPr>
              <w:t>Critère : EFFICIENCE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Coût moyen opérationnel par allocataire inséré (FCFA)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Rapport MO, Tables 7-9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Taux d'exécution budgétaire global (%)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Rapport MO, Table 9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Ratio charges administratives / total réalisé (%)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Rapport MO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Taux de conversion candidats → insérés (% sur 137 086)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Rapport MO, Table 2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Adéquation personnel en nombre et compétences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GE-Eff01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17655E"/>
                <w:sz w:val="18"/>
              </w:rPr>
              <w:t>QL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Fonctionnement des organes de pilotage et de suivi-évaluation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GE-Eff05/06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17655E"/>
                <w:sz w:val="18"/>
              </w:rPr>
              <w:t>QL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Coût de revient des principaux extrants du PSIE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GE-Eff09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37874A"/>
                <w:sz w:val="18"/>
              </w:rPr>
              <w:t>Q/QL</w:t>
            </w:r>
          </w:p>
        </w:tc>
      </w:tr>
      <w:tr>
        <w:tc>
          <w:tcPr>
            <w:tcW w:type="dxa" w:w="15024"/>
            <w:gridSpan w:val="4"/>
            <w:shd w:val="clear" w:color="auto" w:fill="37874A"/>
          </w:tcPr>
          <w:p>
            <w:r>
              <w:rPr>
                <w:b/>
                <w:i w:val="0"/>
                <w:color w:val="FFFFFF"/>
                <w:sz w:val="18"/>
              </w:rPr>
              <w:t>Critère : EFFETS / IMPACTS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Taux d'emploi (allocataires vs non-allocataires) — DiD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QB-Q14 × Q0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Score de satisfaction professionnelle — DiD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QB-Q18 × Q0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Score d'amélioration des compétences (1-5) — DiD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QB-Q10 × Q0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Taux d'auto-emploi ou d'intention d'entreprendre — DiD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QB-Q20/Q25 × Q0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Taux d'employabilité perçue améliorée — DiD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QB-Q22 × Q0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37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Durée moyenne en emploi stable (mois) — DiD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QB-Q13 × Q0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38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Taux de rétention post-immersion vs référence PAES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QB-Q29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Évolution effectifs salariés dans entreprises bénéficiaires (%)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QE-Q4/Q5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15024"/>
            <w:gridSpan w:val="4"/>
            <w:shd w:val="clear" w:color="auto" w:fill="206040"/>
          </w:tcPr>
          <w:p>
            <w:r>
              <w:rPr>
                <w:b/>
                <w:i w:val="0"/>
                <w:color w:val="FFFFFF"/>
                <w:sz w:val="18"/>
              </w:rPr>
              <w:t>Critère : DURABILITÉ / VIABILITÉ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Degré d'institutionnalisation des acquis du PSIE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GE-Viab01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17655E"/>
                <w:sz w:val="18"/>
              </w:rPr>
              <w:t>QL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Existence d'un système de monitoring post-clôture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GE-Viab02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17655E"/>
                <w:sz w:val="18"/>
              </w:rPr>
              <w:t>QL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42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Actions de renforcement des capacités pour la viabilité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GE-Viab03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17655E"/>
                <w:sz w:val="18"/>
              </w:rPr>
              <w:t>QL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43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Niveau d'appropriation des acteurs (score qualitatif)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GE-Viab04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17655E"/>
                <w:sz w:val="18"/>
              </w:rPr>
              <w:t>QL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Intention des entreprises de continuer à recruter via PSIE (%)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QE-Q28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Intention des bénéficiaires de créer leur entreprise (%)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QB-Q25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15024"/>
            <w:gridSpan w:val="4"/>
            <w:shd w:val="clear" w:color="auto" w:fill="A02060"/>
          </w:tcPr>
          <w:p>
            <w:r>
              <w:rPr>
                <w:b/>
                <w:i w:val="0"/>
                <w:color w:val="FFFFFF"/>
                <w:sz w:val="18"/>
              </w:rPr>
              <w:t>Critère : GENRE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46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Répartition H/F des allocataires insérés (%)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QB-Q2a [Q0=1]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47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Gap de genre dans le taux d'emploi (H vs F)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QB-Q14 × Q2a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Score satisfaction PSIE par sexe (test de différence)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QB-Q31 × Q2a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</w:t>
            </w:r>
          </w:p>
        </w:tc>
        <w:tc>
          <w:tcPr>
            <w:tcW w:type="dxa" w:w="3756"/>
          </w:tcPr>
          <w:p>
            <w:r>
              <w:rPr>
                <w:b w:val="0"/>
                <w:i w:val="0"/>
                <w:sz w:val="18"/>
              </w:rPr>
              <w:t>Prise en compte du genre dans la planification PSIE</w:t>
            </w:r>
          </w:p>
        </w:tc>
        <w:tc>
          <w:tcPr>
            <w:tcW w:type="dxa" w:w="3756"/>
          </w:tcPr>
          <w:p>
            <w:r>
              <w:rPr>
                <w:b w:val="0"/>
                <w:i/>
                <w:sz w:val="16"/>
              </w:rPr>
              <w:t>GE-Genre01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17655E"/>
                <w:sz w:val="18"/>
              </w:rPr>
              <w:t>QL</w:t>
            </w:r>
          </w:p>
        </w:tc>
      </w:tr>
      <w:tr>
        <w:tc>
          <w:tcPr>
            <w:tcW w:type="dxa" w:w="3756"/>
            <w:shd w:val="clear" w:color="auto" w:fill="F2F2F2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 w:val="0"/>
                <w:sz w:val="18"/>
              </w:rPr>
              <w:t>Score AGDEN (notation 0-3 sur 5 critères)</w:t>
            </w:r>
          </w:p>
        </w:tc>
        <w:tc>
          <w:tcPr>
            <w:tcW w:type="dxa" w:w="3756"/>
            <w:shd w:val="clear" w:color="auto" w:fill="F2F2F2"/>
          </w:tcPr>
          <w:p>
            <w:r>
              <w:rPr>
                <w:b w:val="0"/>
                <w:i/>
                <w:sz w:val="16"/>
              </w:rPr>
              <w:t>Docs + GE-Genre01</w:t>
            </w:r>
          </w:p>
        </w:tc>
        <w:tc>
          <w:tcPr>
            <w:tcW w:type="dxa" w:w="3756"/>
          </w:tcPr>
          <w:p>
            <w:pPr>
              <w:jc w:val="center"/>
            </w:pPr>
            <w:r>
              <w:rPr>
                <w:b w:val="0"/>
                <w:i w:val="0"/>
                <w:color w:val="265FAD"/>
                <w:sz w:val="18"/>
              </w:rPr>
              <w:t>Q</w:t>
            </w:r>
          </w:p>
        </w:tc>
      </w:tr>
    </w:tbl>
    <w:p/>
    <w:p>
      <w:pPr>
        <w:spacing w:after="60"/>
      </w:pPr>
      <w:r>
        <w:rPr>
          <w:b w:val="0"/>
          <w:i/>
          <w:sz w:val="18"/>
        </w:rPr>
        <w:t>QB = Questionnaire Bénéficiaires | QE = Questionnaire Entreprises | GE = Guide d'Entretien | Docs = Documents officiels PSIE | Q = Quantitatif | QL = Qualitatif</w:t>
      </w:r>
    </w:p>
    <w:p>
      <w:r>
        <w:br w:type="page"/>
      </w:r>
    </w:p>
    <w:p>
      <w:pPr>
        <w:spacing w:before="160" w:after="80"/>
      </w:pPr>
      <w:r>
        <w:rPr>
          <w:b/>
          <w:color w:val="1F3564"/>
          <w:sz w:val="26"/>
        </w:rPr>
        <w:t>PARTIE 1. PLAN DE TABULATION — CRITÈRE EFFICACITÉ</w:t>
      </w:r>
    </w:p>
    <w:p>
      <w:pPr>
        <w:spacing w:after="60"/>
      </w:pPr>
      <w:r>
        <w:rPr>
          <w:b w:val="0"/>
          <w:i w:val="0"/>
          <w:sz w:val="20"/>
        </w:rPr>
        <w:t>Ce plan recense les 12 indicateurs de résultats retenus pour évaluer l'efficacité du PSIE selon le critère OCDE. La colonne 'Taux d'efficacité' est calculée comme : Réalisation / Prévision × 100. Seuils de jugement : ≥ 90% = Satisfaisant (S) | 75–89% = Moyennement satisfaisant (MS) | &lt; 75% = Insuffisant (I).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1984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Indicateurs de résultats</w:t>
            </w:r>
          </w:p>
        </w:tc>
        <w:tc>
          <w:tcPr>
            <w:tcW w:type="dxa" w:w="2154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Règle de calcul / Formule</w:t>
            </w:r>
          </w:p>
        </w:tc>
        <w:tc>
          <w:tcPr>
            <w:tcW w:type="dxa" w:w="1304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Réalisation</w:t>
              <w:br/>
              <w:t>(Valeur réalisée)</w:t>
            </w:r>
          </w:p>
        </w:tc>
        <w:tc>
          <w:tcPr>
            <w:tcW w:type="dxa" w:w="1304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Prévision</w:t>
              <w:br/>
              <w:t>(Valeur prévue)</w:t>
            </w:r>
          </w:p>
        </w:tc>
        <w:tc>
          <w:tcPr>
            <w:tcW w:type="dxa" w:w="850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Taux</w:t>
              <w:br/>
              <w:t>d'efficacité (%)</w:t>
            </w:r>
          </w:p>
        </w:tc>
        <w:tc>
          <w:tcPr>
            <w:tcW w:type="dxa" w:w="1644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Décision</w:t>
              <w:br/>
              <w:t>(Règle)</w:t>
            </w:r>
          </w:p>
        </w:tc>
      </w:tr>
      <w:tr>
        <w:tc>
          <w:tcPr>
            <w:tcW w:type="dxa" w:w="1984"/>
            <w:shd w:val="clear" w:color="auto" w:fill="265FA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2154"/>
            <w:shd w:val="clear" w:color="auto" w:fill="265FA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Source(s) des données</w:t>
            </w:r>
          </w:p>
        </w:tc>
        <w:tc>
          <w:tcPr>
            <w:tcW w:type="dxa" w:w="1304"/>
            <w:shd w:val="clear" w:color="auto" w:fill="265FA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(Données enquête + MO)</w:t>
            </w:r>
          </w:p>
        </w:tc>
        <w:tc>
          <w:tcPr>
            <w:tcW w:type="dxa" w:w="1304"/>
            <w:shd w:val="clear" w:color="auto" w:fill="265FA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(CL / Prodoc / Référence)</w:t>
            </w:r>
          </w:p>
        </w:tc>
        <w:tc>
          <w:tcPr>
            <w:tcW w:type="dxa" w:w="850"/>
            <w:shd w:val="clear" w:color="auto" w:fill="265FA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Réalisation ÷ Prévision × 100</w:t>
            </w:r>
          </w:p>
        </w:tc>
        <w:tc>
          <w:tcPr>
            <w:tcW w:type="dxa" w:w="1644"/>
            <w:shd w:val="clear" w:color="auto" w:fill="265FA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Seuil de jugement</w:t>
            </w:r>
          </w:p>
        </w:tc>
      </w:tr>
      <w:tr>
        <w:tc>
          <w:tcPr>
            <w:tcW w:type="dxa" w:w="2504"/>
            <w:shd w:val="clear" w:color="auto" w:fill="DAE8FC"/>
          </w:tcPr>
          <w:p>
            <w:r>
              <w:rPr>
                <w:b w:val="0"/>
                <w:i w:val="0"/>
                <w:sz w:val="18"/>
              </w:rPr>
              <w:t>E1. Taux d'insertion en emploi des allocataires (%)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/>
                <w:sz w:val="16"/>
              </w:rPr>
              <w:t>(Nb allocataires en emploi / Nb allocataires enquêtés) × 100</w:t>
              <w:br/>
              <w:t>Source : QB-Q14=1 [groupe Q0=1]</w:t>
            </w:r>
          </w:p>
        </w:tc>
        <w:tc>
          <w:tcPr>
            <w:tcW w:type="dxa" w:w="2504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[Enquête]</w:t>
            </w:r>
          </w:p>
        </w:tc>
        <w:tc>
          <w:tcPr>
            <w:tcW w:type="dxa" w:w="2504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Cible CL 2025</w:t>
            </w:r>
          </w:p>
        </w:tc>
        <w:tc>
          <w:tcPr>
            <w:tcW w:type="dxa" w:w="2504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=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 w:val="0"/>
                <w:sz w:val="16"/>
              </w:rPr>
              <w:t>≥90%→S ; 75-89%→MS ; &lt;75%→I</w:t>
            </w:r>
          </w:p>
        </w:tc>
      </w:tr>
      <w:tr>
        <w:tc>
          <w:tcPr>
            <w:tcW w:type="dxa" w:w="250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E2. Taux de rétention en entreprise après immersion (%)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/>
                <w:sz w:val="16"/>
              </w:rPr>
              <w:t>(Nb recrutés définitivement / Nb sortis d'immersion) × 100</w:t>
              <w:br/>
              <w:t>Source : QB-Q29=1 ; QE-Q8 &amp; Q9/Q10</w:t>
            </w:r>
          </w:p>
        </w:tc>
        <w:tc>
          <w:tcPr>
            <w:tcW w:type="dxa" w:w="2504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[Enquête]</w:t>
            </w:r>
          </w:p>
        </w:tc>
        <w:tc>
          <w:tcPr>
            <w:tcW w:type="dxa" w:w="2504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Référence PAES : ~15%</w:t>
            </w:r>
          </w:p>
        </w:tc>
        <w:tc>
          <w:tcPr>
            <w:tcW w:type="dxa" w:w="2504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=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 w:val="0"/>
                <w:sz w:val="16"/>
              </w:rPr>
              <w:t>&gt;15%→S ; 10-14%→MS ; &lt;10%→I</w:t>
            </w:r>
          </w:p>
        </w:tc>
      </w:tr>
      <w:tr>
        <w:tc>
          <w:tcPr>
            <w:tcW w:type="dxa" w:w="2504"/>
            <w:shd w:val="clear" w:color="auto" w:fill="DAE8FC"/>
          </w:tcPr>
          <w:p>
            <w:r>
              <w:rPr>
                <w:b w:val="0"/>
                <w:i w:val="0"/>
                <w:sz w:val="18"/>
              </w:rPr>
              <w:t>E3. Taux de maintien dans le même emploi (%)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/>
                <w:sz w:val="16"/>
              </w:rPr>
              <w:t>(Nb maintenu dans même emploi / Nb en emploi) × 100</w:t>
              <w:br/>
              <w:t>Source : QB-Q16=1</w:t>
            </w:r>
          </w:p>
        </w:tc>
        <w:tc>
          <w:tcPr>
            <w:tcW w:type="dxa" w:w="2504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[Enquête]</w:t>
            </w:r>
          </w:p>
        </w:tc>
        <w:tc>
          <w:tcPr>
            <w:tcW w:type="dxa" w:w="2504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≥70% (référence stabilité)</w:t>
            </w:r>
          </w:p>
        </w:tc>
        <w:tc>
          <w:tcPr>
            <w:tcW w:type="dxa" w:w="2504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=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 w:val="0"/>
                <w:sz w:val="16"/>
              </w:rPr>
              <w:t>≥70%→S ; 50-69%→MS ; &lt;50%→I</w:t>
            </w:r>
          </w:p>
        </w:tc>
      </w:tr>
      <w:tr>
        <w:tc>
          <w:tcPr>
            <w:tcW w:type="dxa" w:w="250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E4. Taux de couverture des bénéficiaires prévus (%)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/>
                <w:sz w:val="16"/>
              </w:rPr>
              <w:t>(Nb insertions réalisées / Cible cumulative 8 000) × 100</w:t>
              <w:br/>
              <w:t>Source : Rapport MO, Table 2</w:t>
            </w:r>
          </w:p>
        </w:tc>
        <w:tc>
          <w:tcPr>
            <w:tcW w:type="dxa" w:w="2504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9 263 (Rapport MO)</w:t>
            </w:r>
          </w:p>
        </w:tc>
        <w:tc>
          <w:tcPr>
            <w:tcW w:type="dxa" w:w="2504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8 000 (cible Prodoc)</w:t>
            </w:r>
          </w:p>
        </w:tc>
        <w:tc>
          <w:tcPr>
            <w:tcW w:type="dxa" w:w="2504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=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 w:val="0"/>
                <w:sz w:val="16"/>
              </w:rPr>
              <w:t>&gt;100%→TS ; ≥90%→S ; &lt;75%→I</w:t>
            </w:r>
          </w:p>
        </w:tc>
      </w:tr>
      <w:tr>
        <w:tc>
          <w:tcPr>
            <w:tcW w:type="dxa" w:w="2504"/>
            <w:shd w:val="clear" w:color="auto" w:fill="DAE8FC"/>
          </w:tcPr>
          <w:p>
            <w:r>
              <w:rPr>
                <w:b w:val="0"/>
                <w:i w:val="0"/>
                <w:sz w:val="18"/>
              </w:rPr>
              <w:t>E5. Taux de formation bénéficiaires dans le cadre PSIE (%)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/>
                <w:sz w:val="16"/>
              </w:rPr>
              <w:t>(Nb ayant reçu formation PSIE / Nb allocataires) × 100</w:t>
              <w:br/>
              <w:t>Source : QB-Q26=1</w:t>
            </w:r>
          </w:p>
        </w:tc>
        <w:tc>
          <w:tcPr>
            <w:tcW w:type="dxa" w:w="2504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[Enquête]</w:t>
            </w:r>
          </w:p>
        </w:tc>
        <w:tc>
          <w:tcPr>
            <w:tcW w:type="dxa" w:w="2504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100% (doc. projet §5.2)</w:t>
            </w:r>
          </w:p>
        </w:tc>
        <w:tc>
          <w:tcPr>
            <w:tcW w:type="dxa" w:w="2504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=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 w:val="0"/>
                <w:sz w:val="16"/>
              </w:rPr>
              <w:t>≥90%→S ; 70-89%→MS ; &lt;70%→I</w:t>
            </w:r>
          </w:p>
        </w:tc>
      </w:tr>
      <w:tr>
        <w:tc>
          <w:tcPr>
            <w:tcW w:type="dxa" w:w="250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E6. Score moyen de satisfaction globale PSIE (sur 10)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/>
                <w:sz w:val="16"/>
              </w:rPr>
              <w:t>Moyenne de QB-Q31 (échelle 1–10) — allocataires uniquement</w:t>
              <w:br/>
              <w:t>Source : QB-Q31 [Q0=1]</w:t>
            </w:r>
          </w:p>
        </w:tc>
        <w:tc>
          <w:tcPr>
            <w:tcW w:type="dxa" w:w="2504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[Enquête]</w:t>
            </w:r>
          </w:p>
        </w:tc>
        <w:tc>
          <w:tcPr>
            <w:tcW w:type="dxa" w:w="2504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≥ 7/10</w:t>
            </w:r>
          </w:p>
        </w:tc>
        <w:tc>
          <w:tcPr>
            <w:tcW w:type="dxa" w:w="2504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=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 w:val="0"/>
                <w:sz w:val="16"/>
              </w:rPr>
              <w:t>≥7→S ; 5-6,9→MS ; &lt;5→I</w:t>
            </w:r>
          </w:p>
        </w:tc>
      </w:tr>
      <w:tr>
        <w:tc>
          <w:tcPr>
            <w:tcW w:type="dxa" w:w="2504"/>
            <w:shd w:val="clear" w:color="auto" w:fill="DAE8FC"/>
          </w:tcPr>
          <w:p>
            <w:r>
              <w:rPr>
                <w:b w:val="0"/>
                <w:i w:val="0"/>
                <w:sz w:val="18"/>
              </w:rPr>
              <w:t>E7. Taux d'entreprises observant amélioration productivité (%)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/>
                <w:sz w:val="16"/>
              </w:rPr>
              <w:t>(Nb entreprises QE-Q17=1 / Total enquêtées) × 100</w:t>
              <w:br/>
              <w:t>Source : QE-Q17</w:t>
            </w:r>
          </w:p>
        </w:tc>
        <w:tc>
          <w:tcPr>
            <w:tcW w:type="dxa" w:w="2504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[Enquête]</w:t>
            </w:r>
          </w:p>
        </w:tc>
        <w:tc>
          <w:tcPr>
            <w:tcW w:type="dxa" w:w="2504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Cible qualitative (généralisation)</w:t>
            </w:r>
          </w:p>
        </w:tc>
        <w:tc>
          <w:tcPr>
            <w:tcW w:type="dxa" w:w="2504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=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 w:val="0"/>
                <w:sz w:val="16"/>
              </w:rPr>
              <w:t>≥60%→S ; 40-59%→MS ; &lt;40%→I</w:t>
            </w:r>
          </w:p>
        </w:tc>
      </w:tr>
      <w:tr>
        <w:tc>
          <w:tcPr>
            <w:tcW w:type="dxa" w:w="250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E8. Taux moyen d'accroissement de productivité estimé (%)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/>
                <w:sz w:val="16"/>
              </w:rPr>
              <w:t>Moyenne de QE-Q18 (%) pour entreprises ayant répondu oui à Q17</w:t>
              <w:br/>
              <w:t>Source : QE-Q18</w:t>
            </w:r>
          </w:p>
        </w:tc>
        <w:tc>
          <w:tcPr>
            <w:tcW w:type="dxa" w:w="2504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[Enquête]</w:t>
            </w:r>
          </w:p>
        </w:tc>
        <w:tc>
          <w:tcPr>
            <w:tcW w:type="dxa" w:w="2504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Référence sectorielle BCEAO</w:t>
            </w:r>
          </w:p>
        </w:tc>
        <w:tc>
          <w:tcPr>
            <w:tcW w:type="dxa" w:w="2504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=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 w:val="0"/>
                <w:sz w:val="16"/>
              </w:rPr>
              <w:t>≥10%→S ; 5-9%→MS ; &lt;5%→I</w:t>
            </w:r>
          </w:p>
        </w:tc>
      </w:tr>
      <w:tr>
        <w:tc>
          <w:tcPr>
            <w:tcW w:type="dxa" w:w="2504"/>
            <w:shd w:val="clear" w:color="auto" w:fill="DAE8FC"/>
          </w:tcPr>
          <w:p>
            <w:r>
              <w:rPr>
                <w:b w:val="0"/>
                <w:i w:val="0"/>
                <w:sz w:val="18"/>
              </w:rPr>
              <w:t>E9. Score moyen de satisfaction des entreprises (sur 10)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/>
                <w:sz w:val="16"/>
              </w:rPr>
              <w:t>Moyenne de QE-Q33 (échelle 1–10) — toutes entreprises</w:t>
              <w:br/>
              <w:t>Source : QE-Q33</w:t>
            </w:r>
          </w:p>
        </w:tc>
        <w:tc>
          <w:tcPr>
            <w:tcW w:type="dxa" w:w="2504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[Enquête]</w:t>
            </w:r>
          </w:p>
        </w:tc>
        <w:tc>
          <w:tcPr>
            <w:tcW w:type="dxa" w:w="2504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≥ 7/10</w:t>
            </w:r>
          </w:p>
        </w:tc>
        <w:tc>
          <w:tcPr>
            <w:tcW w:type="dxa" w:w="2504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=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 w:val="0"/>
                <w:sz w:val="16"/>
              </w:rPr>
              <w:t>≥7→S ; 5-6,9→MS ; &lt;5→I</w:t>
            </w:r>
          </w:p>
        </w:tc>
      </w:tr>
      <w:tr>
        <w:tc>
          <w:tcPr>
            <w:tcW w:type="dxa" w:w="250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E10. Taux d'adéquation emploi-formation (%)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/>
                <w:sz w:val="16"/>
              </w:rPr>
              <w:t>(Nb dont emploi en adéquation avec formation / Total) × 100</w:t>
              <w:br/>
              <w:t>Source : QB-Q6=1</w:t>
            </w:r>
          </w:p>
        </w:tc>
        <w:tc>
          <w:tcPr>
            <w:tcW w:type="dxa" w:w="2504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[Enquête]</w:t>
            </w:r>
          </w:p>
        </w:tc>
        <w:tc>
          <w:tcPr>
            <w:tcW w:type="dxa" w:w="2504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≥70% (PAG objectif capital humain)</w:t>
            </w:r>
          </w:p>
        </w:tc>
        <w:tc>
          <w:tcPr>
            <w:tcW w:type="dxa" w:w="2504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=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 w:val="0"/>
                <w:sz w:val="16"/>
              </w:rPr>
              <w:t>≥70%→S ; 50-69%→MS ; &lt;50%→I</w:t>
            </w:r>
          </w:p>
        </w:tc>
      </w:tr>
      <w:tr>
        <w:tc>
          <w:tcPr>
            <w:tcW w:type="dxa" w:w="2504"/>
            <w:shd w:val="clear" w:color="auto" w:fill="DAE8FC"/>
          </w:tcPr>
          <w:p>
            <w:r>
              <w:rPr>
                <w:b w:val="0"/>
                <w:i w:val="0"/>
                <w:sz w:val="18"/>
              </w:rPr>
              <w:t>E11. Taux de mise en œuvre des services prévus (%)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/>
                <w:sz w:val="16"/>
              </w:rPr>
              <w:t>(Nb services réalisés / Nb services prévus dans CL) × 100</w:t>
              <w:br/>
              <w:t>Source : GE-Efte05 + CL</w:t>
            </w:r>
          </w:p>
        </w:tc>
        <w:tc>
          <w:tcPr>
            <w:tcW w:type="dxa" w:w="2504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[GE + Docs]</w:t>
            </w:r>
          </w:p>
        </w:tc>
        <w:tc>
          <w:tcPr>
            <w:tcW w:type="dxa" w:w="2504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100% des services prévus</w:t>
            </w:r>
          </w:p>
        </w:tc>
        <w:tc>
          <w:tcPr>
            <w:tcW w:type="dxa" w:w="2504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=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 w:val="0"/>
                <w:sz w:val="16"/>
              </w:rPr>
              <w:t>≥90%→S ; 75-89%→MS ; &lt;75%→I</w:t>
            </w:r>
          </w:p>
        </w:tc>
      </w:tr>
      <w:tr>
        <w:tc>
          <w:tcPr>
            <w:tcW w:type="dxa" w:w="2504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E12. Taux d'exécution annuelle des insertions prévues (%)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/>
                <w:sz w:val="16"/>
              </w:rPr>
              <w:t>(Nb insertions réalisées par an / Cible 2 000) × 100</w:t>
              <w:br/>
              <w:t>Source : Rapport MO, Table 2</w:t>
            </w:r>
          </w:p>
        </w:tc>
        <w:tc>
          <w:tcPr>
            <w:tcW w:type="dxa" w:w="2504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Voir tableau annuel MO</w:t>
            </w:r>
          </w:p>
        </w:tc>
        <w:tc>
          <w:tcPr>
            <w:tcW w:type="dxa" w:w="2504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2 000/an (Prodoc §4.1)</w:t>
            </w:r>
          </w:p>
        </w:tc>
        <w:tc>
          <w:tcPr>
            <w:tcW w:type="dxa" w:w="2504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=</w:t>
            </w:r>
          </w:p>
        </w:tc>
        <w:tc>
          <w:tcPr>
            <w:tcW w:type="dxa" w:w="2504"/>
            <w:shd w:val="clear" w:color="auto" w:fill="F2F2F2"/>
          </w:tcPr>
          <w:p>
            <w:r>
              <w:rPr>
                <w:b w:val="0"/>
                <w:i w:val="0"/>
                <w:sz w:val="16"/>
              </w:rPr>
              <w:t>≥90%→S ; 75-89%→MS ; &lt;75%→I</w:t>
            </w:r>
          </w:p>
        </w:tc>
      </w:tr>
    </w:tbl>
    <w:p/>
    <w:p>
      <w:pPr>
        <w:spacing w:after="60"/>
      </w:pPr>
      <w:r>
        <w:rPr>
          <w:b w:val="0"/>
          <w:i/>
          <w:sz w:val="18"/>
        </w:rPr>
        <w:t>Légende : TS = Très Satisfaisant | S = Satisfaisant | MS = Moyennement Satisfaisant | I = Insuffisant</w:t>
      </w:r>
    </w:p>
    <w:p>
      <w:pPr>
        <w:spacing w:after="60"/>
      </w:pPr>
      <w:r>
        <w:rPr>
          <w:b w:val="0"/>
          <w:i/>
          <w:sz w:val="18"/>
        </w:rPr>
        <w:t>Logiciel : Stata 17 (tabulate, summarize, proportion, ttest) | Excel pour tableaux de présentation</w:t>
      </w:r>
    </w:p>
    <w:p>
      <w:r>
        <w:br w:type="page"/>
      </w:r>
    </w:p>
    <w:p>
      <w:pPr>
        <w:spacing w:before="160" w:after="80"/>
      </w:pPr>
      <w:r>
        <w:rPr>
          <w:b/>
          <w:color w:val="1F3564"/>
          <w:sz w:val="26"/>
        </w:rPr>
        <w:t>PARTIE 2. PLAN DE TABULATION — EFFETS DU PSIE (DOUBLE DIFFÉRENCE)</w:t>
      </w:r>
    </w:p>
    <w:p>
      <w:pPr>
        <w:spacing w:after="60"/>
      </w:pPr>
      <w:r>
        <w:rPr>
          <w:b w:val="0"/>
          <w:i w:val="0"/>
          <w:sz w:val="20"/>
        </w:rPr>
        <w:t>La méthode de Double Différence (DiD) compare l'évolution avant/après de l'indicateur chez les bénéficiaires PSIE (Groupe Traitement T, Q0=1) et les non-bénéficiaires (Groupe Contrôle C, Q0=0).</w:t>
      </w:r>
    </w:p>
    <w:p>
      <w:pPr>
        <w:spacing w:after="60"/>
      </w:pPr>
      <w:r>
        <w:rPr>
          <w:b/>
          <w:i w:val="0"/>
          <w:sz w:val="22"/>
        </w:rPr>
        <w:t>Formule DiD = (T_après − T_avant) − (C_après − C_avant)</w:t>
      </w:r>
    </w:p>
    <w:p>
      <w:pPr>
        <w:spacing w:after="60"/>
      </w:pPr>
      <w:r>
        <w:rPr>
          <w:b w:val="0"/>
          <w:i w:val="0"/>
          <w:sz w:val="20"/>
        </w:rPr>
        <w:t>Test de significativité : test t de Student bilatéral. Seuil : α = 0,05 (H0 : DiD = 0).</w:t>
      </w:r>
    </w:p>
    <w:p>
      <w:pPr>
        <w:spacing w:after="60"/>
      </w:pPr>
      <w:r>
        <w:rPr>
          <w:b w:val="0"/>
          <w:i/>
          <w:sz w:val="20"/>
        </w:rPr>
        <w:t>Logiciel d'estimation : Stata 17 — commandes : ttest, regress avec termes d'interaction (i.traitement##i.periode).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9"/>
        <w:gridCol w:w="1669"/>
        <w:gridCol w:w="1669"/>
        <w:gridCol w:w="1669"/>
        <w:gridCol w:w="1669"/>
        <w:gridCol w:w="1669"/>
        <w:gridCol w:w="1669"/>
        <w:gridCol w:w="1669"/>
        <w:gridCol w:w="1669"/>
      </w:tblGrid>
      <w:tr>
        <w:tc>
          <w:tcPr>
            <w:tcW w:type="dxa" w:w="1587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Indicateurs d'effets</w:t>
            </w:r>
          </w:p>
        </w:tc>
        <w:tc>
          <w:tcPr>
            <w:tcW w:type="dxa" w:w="1247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Formule de calcul</w:t>
            </w:r>
          </w:p>
        </w:tc>
        <w:tc>
          <w:tcPr>
            <w:tcW w:type="dxa" w:w="964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Bénéficiaires (T)</w:t>
              <w:br/>
              <w:t>Valeur de base</w:t>
            </w:r>
          </w:p>
        </w:tc>
        <w:tc>
          <w:tcPr>
            <w:tcW w:type="dxa" w:w="964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Bénéficiaires (T)</w:t>
              <w:br/>
              <w:t>Valeur après</w:t>
            </w:r>
          </w:p>
        </w:tc>
        <w:tc>
          <w:tcPr>
            <w:tcW w:type="dxa" w:w="964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Non-bénéficiaires (C)</w:t>
              <w:br/>
              <w:t>Valeur de base</w:t>
            </w:r>
          </w:p>
        </w:tc>
        <w:tc>
          <w:tcPr>
            <w:tcW w:type="dxa" w:w="964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Non-bénéficiaires (C)</w:t>
              <w:br/>
              <w:t>Valeur après</w:t>
            </w:r>
          </w:p>
        </w:tc>
        <w:tc>
          <w:tcPr>
            <w:tcW w:type="dxa" w:w="850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Double Différence</w:t>
              <w:br/>
              <w:t>(DiD = ΔT − ΔC)</w:t>
            </w:r>
          </w:p>
        </w:tc>
        <w:tc>
          <w:tcPr>
            <w:tcW w:type="dxa" w:w="850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Test de</w:t>
              <w:br/>
              <w:t>significativité</w:t>
            </w:r>
          </w:p>
        </w:tc>
        <w:tc>
          <w:tcPr>
            <w:tcW w:type="dxa" w:w="1531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Règle de décision</w:t>
            </w:r>
          </w:p>
        </w:tc>
      </w:tr>
      <w:tr>
        <w:tc>
          <w:tcPr>
            <w:tcW w:type="dxa" w:w="1587"/>
            <w:shd w:val="clear" w:color="auto" w:fill="265FA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1247"/>
            <w:shd w:val="clear" w:color="auto" w:fill="265FA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Source variable</w:t>
            </w:r>
          </w:p>
        </w:tc>
        <w:tc>
          <w:tcPr>
            <w:tcW w:type="dxa" w:w="964"/>
            <w:shd w:val="clear" w:color="auto" w:fill="265FA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T_avant</w:t>
              <w:br/>
              <w:t>(Q0=1)</w:t>
            </w:r>
          </w:p>
        </w:tc>
        <w:tc>
          <w:tcPr>
            <w:tcW w:type="dxa" w:w="964"/>
            <w:shd w:val="clear" w:color="auto" w:fill="265FA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T_après</w:t>
              <w:br/>
              <w:t>(Q0=1)</w:t>
            </w:r>
          </w:p>
        </w:tc>
        <w:tc>
          <w:tcPr>
            <w:tcW w:type="dxa" w:w="964"/>
            <w:shd w:val="clear" w:color="auto" w:fill="265FA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C_avant</w:t>
              <w:br/>
              <w:t>(Q0=0)</w:t>
            </w:r>
          </w:p>
        </w:tc>
        <w:tc>
          <w:tcPr>
            <w:tcW w:type="dxa" w:w="964"/>
            <w:shd w:val="clear" w:color="auto" w:fill="265FA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C_après</w:t>
              <w:br/>
              <w:t>(Q0=0)</w:t>
            </w:r>
          </w:p>
        </w:tc>
        <w:tc>
          <w:tcPr>
            <w:tcW w:type="dxa" w:w="850"/>
            <w:shd w:val="clear" w:color="auto" w:fill="265FA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DiD=(T_ap−T_av)−(C_ap−C_av)</w:t>
            </w:r>
          </w:p>
        </w:tc>
        <w:tc>
          <w:tcPr>
            <w:tcW w:type="dxa" w:w="850"/>
            <w:shd w:val="clear" w:color="auto" w:fill="265FA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p-value α=0,05</w:t>
            </w:r>
          </w:p>
        </w:tc>
        <w:tc>
          <w:tcPr>
            <w:tcW w:type="dxa" w:w="1531"/>
            <w:shd w:val="clear" w:color="auto" w:fill="265FA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H0 : DiD = 0</w:t>
            </w:r>
          </w:p>
        </w:tc>
      </w:tr>
      <w:tr>
        <w:tc>
          <w:tcPr>
            <w:tcW w:type="dxa" w:w="1587"/>
            <w:shd w:val="clear" w:color="auto" w:fill="17655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1247"/>
            <w:shd w:val="clear" w:color="auto" w:fill="17655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964"/>
            <w:shd w:val="clear" w:color="auto" w:fill="17655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QB/Docs</w:t>
            </w:r>
          </w:p>
        </w:tc>
        <w:tc>
          <w:tcPr>
            <w:tcW w:type="dxa" w:w="964"/>
            <w:shd w:val="clear" w:color="auto" w:fill="17655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QB-Q14/Q18...</w:t>
            </w:r>
          </w:p>
        </w:tc>
        <w:tc>
          <w:tcPr>
            <w:tcW w:type="dxa" w:w="964"/>
            <w:shd w:val="clear" w:color="auto" w:fill="17655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QB/Docs</w:t>
            </w:r>
          </w:p>
        </w:tc>
        <w:tc>
          <w:tcPr>
            <w:tcW w:type="dxa" w:w="964"/>
            <w:shd w:val="clear" w:color="auto" w:fill="17655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QB-Q14/Q18...</w:t>
            </w:r>
          </w:p>
        </w:tc>
        <w:tc>
          <w:tcPr>
            <w:tcW w:type="dxa" w:w="850"/>
            <w:shd w:val="clear" w:color="auto" w:fill="17655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Stata 17 : regress i.T##i.P</w:t>
            </w:r>
          </w:p>
        </w:tc>
        <w:tc>
          <w:tcPr>
            <w:tcW w:type="dxa" w:w="850"/>
            <w:shd w:val="clear" w:color="auto" w:fill="17655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t de Student</w:t>
            </w:r>
          </w:p>
        </w:tc>
        <w:tc>
          <w:tcPr>
            <w:tcW w:type="dxa" w:w="1531"/>
            <w:shd w:val="clear" w:color="auto" w:fill="17655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Interprétation</w:t>
            </w:r>
          </w:p>
        </w:tc>
      </w:tr>
      <w:tr>
        <w:tc>
          <w:tcPr>
            <w:tcW w:type="dxa" w:w="1669"/>
            <w:shd w:val="clear" w:color="auto" w:fill="DAE8FC"/>
          </w:tcPr>
          <w:p>
            <w:r>
              <w:rPr>
                <w:b w:val="0"/>
                <w:i w:val="0"/>
                <w:sz w:val="18"/>
              </w:rPr>
              <w:t>I1. Taux d'emploi (%)</w:t>
              <w:br/>
              <w:t>⭐ Indicateur primaire</w:t>
            </w:r>
          </w:p>
        </w:tc>
        <w:tc>
          <w:tcPr>
            <w:tcW w:type="dxa" w:w="1669"/>
            <w:shd w:val="clear" w:color="auto" w:fill="F2F2F2"/>
          </w:tcPr>
          <w:p>
            <w:r>
              <w:rPr>
                <w:b w:val="0"/>
                <w:i/>
                <w:sz w:val="14"/>
              </w:rPr>
              <w:t>(Nb en emploi / Total groupe) × 100</w:t>
              <w:br/>
              <w:t>QB-Q14=1 par groupe Q0</w:t>
            </w:r>
          </w:p>
        </w:tc>
        <w:tc>
          <w:tcPr>
            <w:tcW w:type="dxa" w:w="1669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Proxy : 1 − (Q14 avant PSIE)</w:t>
              <w:br/>
              <w:t>[QB-Q5/Q7]</w:t>
            </w:r>
          </w:p>
        </w:tc>
        <w:tc>
          <w:tcPr>
            <w:tcW w:type="dxa" w:w="1669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QB-Q14=1</w:t>
              <w:br/>
              <w:t>[groupe Q0=1]</w:t>
            </w:r>
          </w:p>
        </w:tc>
        <w:tc>
          <w:tcPr>
            <w:tcW w:type="dxa" w:w="1669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Proxy : 1 − (Q5 avant)</w:t>
              <w:br/>
              <w:t>[QB-Q5, groupe Q0=0]</w:t>
            </w:r>
          </w:p>
        </w:tc>
        <w:tc>
          <w:tcPr>
            <w:tcW w:type="dxa" w:w="1669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QB-Q14=1</w:t>
              <w:br/>
              <w:t>[groupe Q0=0]</w:t>
            </w:r>
          </w:p>
        </w:tc>
        <w:tc>
          <w:tcPr>
            <w:tcW w:type="dxa" w:w="1669"/>
            <w:shd w:val="clear" w:color="auto" w:fill="DAE8F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À calculer</w:t>
            </w:r>
          </w:p>
        </w:tc>
        <w:tc>
          <w:tcPr>
            <w:tcW w:type="dxa" w:w="1669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t ; χ²</w:t>
              <w:br/>
              <w:t>p &lt; 0,05</w:t>
            </w:r>
          </w:p>
        </w:tc>
        <w:tc>
          <w:tcPr>
            <w:tcW w:type="dxa" w:w="1669"/>
            <w:shd w:val="clear" w:color="auto" w:fill="DAE8FC"/>
          </w:tcPr>
          <w:p>
            <w:r>
              <w:rPr>
                <w:b w:val="0"/>
                <w:i w:val="0"/>
                <w:sz w:val="14"/>
              </w:rPr>
              <w:t>DiD &gt; 0 &amp; p&lt;0,05 → PSIE ↑ taux emploi</w:t>
            </w:r>
          </w:p>
        </w:tc>
      </w:tr>
      <w:tr>
        <w:tc>
          <w:tcPr>
            <w:tcW w:type="dxa" w:w="1669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I2. Score satisfaction professionnelle (1-5)</w:t>
            </w:r>
          </w:p>
        </w:tc>
        <w:tc>
          <w:tcPr>
            <w:tcW w:type="dxa" w:w="1669"/>
            <w:shd w:val="clear" w:color="auto" w:fill="F2F2F2"/>
          </w:tcPr>
          <w:p>
            <w:r>
              <w:rPr>
                <w:b w:val="0"/>
                <w:i/>
                <w:sz w:val="14"/>
              </w:rPr>
              <w:t>Moyenne QB-Q18 par groupe</w:t>
              <w:br/>
              <w:t>(ordinal 1 à 5)</w:t>
            </w:r>
          </w:p>
        </w:tc>
        <w:tc>
          <w:tcPr>
            <w:tcW w:type="dxa" w:w="1669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Pas de baseline directe</w:t>
              <w:br/>
              <w:t>→ comparaison T-C</w:t>
            </w:r>
          </w:p>
        </w:tc>
        <w:tc>
          <w:tcPr>
            <w:tcW w:type="dxa" w:w="1669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QB-Q18</w:t>
              <w:br/>
              <w:t>[Q0=1]</w:t>
            </w:r>
          </w:p>
        </w:tc>
        <w:tc>
          <w:tcPr>
            <w:tcW w:type="dxa" w:w="1669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Pas de baseline directe</w:t>
            </w:r>
          </w:p>
        </w:tc>
        <w:tc>
          <w:tcPr>
            <w:tcW w:type="dxa" w:w="1669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QB-Q18</w:t>
              <w:br/>
              <w:t>[Q0=0]</w:t>
            </w:r>
          </w:p>
        </w:tc>
        <w:tc>
          <w:tcPr>
            <w:tcW w:type="dxa" w:w="1669"/>
            <w:shd w:val="clear" w:color="auto" w:fill="DAE8F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À calculer</w:t>
            </w:r>
          </w:p>
        </w:tc>
        <w:tc>
          <w:tcPr>
            <w:tcW w:type="dxa" w:w="1669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t ; χ²</w:t>
              <w:br/>
              <w:t>p &lt; 0,05</w:t>
            </w:r>
          </w:p>
        </w:tc>
        <w:tc>
          <w:tcPr>
            <w:tcW w:type="dxa" w:w="1669"/>
            <w:shd w:val="clear" w:color="auto" w:fill="FFFFFF"/>
          </w:tcPr>
          <w:p>
            <w:r>
              <w:rPr>
                <w:b w:val="0"/>
                <w:i w:val="0"/>
                <w:sz w:val="14"/>
              </w:rPr>
              <w:t>T &gt; C &amp; p&lt;0,05 → PSIE ↑ satisfaction</w:t>
            </w:r>
          </w:p>
        </w:tc>
      </w:tr>
      <w:tr>
        <w:tc>
          <w:tcPr>
            <w:tcW w:type="dxa" w:w="1669"/>
            <w:shd w:val="clear" w:color="auto" w:fill="DAE8FC"/>
          </w:tcPr>
          <w:p>
            <w:r>
              <w:rPr>
                <w:b w:val="0"/>
                <w:i w:val="0"/>
                <w:sz w:val="18"/>
              </w:rPr>
              <w:t>I3. Score amélioration compétences (1-5)</w:t>
            </w:r>
          </w:p>
        </w:tc>
        <w:tc>
          <w:tcPr>
            <w:tcW w:type="dxa" w:w="1669"/>
            <w:shd w:val="clear" w:color="auto" w:fill="F2F2F2"/>
          </w:tcPr>
          <w:p>
            <w:r>
              <w:rPr>
                <w:b w:val="0"/>
                <w:i/>
                <w:sz w:val="14"/>
              </w:rPr>
              <w:t>Moyenne QB-Q10 par groupe</w:t>
              <w:br/>
              <w:t>(À quel degré vos compétences se sont améliorées ?)</w:t>
            </w:r>
          </w:p>
        </w:tc>
        <w:tc>
          <w:tcPr>
            <w:tcW w:type="dxa" w:w="1669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Proxy : niveau avant</w:t>
              <w:br/>
              <w:t>[QB-Q3/Q5]</w:t>
            </w:r>
          </w:p>
        </w:tc>
        <w:tc>
          <w:tcPr>
            <w:tcW w:type="dxa" w:w="1669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QB-Q10</w:t>
              <w:br/>
              <w:t>[Q0=1]</w:t>
            </w:r>
          </w:p>
        </w:tc>
        <w:tc>
          <w:tcPr>
            <w:tcW w:type="dxa" w:w="1669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Proxy : niveau avant</w:t>
              <w:br/>
              <w:t>[QB-Q3/Q5, Q0=0]</w:t>
            </w:r>
          </w:p>
        </w:tc>
        <w:tc>
          <w:tcPr>
            <w:tcW w:type="dxa" w:w="1669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QB-Q10</w:t>
              <w:br/>
              <w:t>[Q0=0]</w:t>
            </w:r>
          </w:p>
        </w:tc>
        <w:tc>
          <w:tcPr>
            <w:tcW w:type="dxa" w:w="1669"/>
            <w:shd w:val="clear" w:color="auto" w:fill="DAE8F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À calculer</w:t>
            </w:r>
          </w:p>
        </w:tc>
        <w:tc>
          <w:tcPr>
            <w:tcW w:type="dxa" w:w="1669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t ; χ²</w:t>
              <w:br/>
              <w:t>p &lt; 0,05</w:t>
            </w:r>
          </w:p>
        </w:tc>
        <w:tc>
          <w:tcPr>
            <w:tcW w:type="dxa" w:w="1669"/>
            <w:shd w:val="clear" w:color="auto" w:fill="DAE8FC"/>
          </w:tcPr>
          <w:p>
            <w:r>
              <w:rPr>
                <w:b w:val="0"/>
                <w:i w:val="0"/>
                <w:sz w:val="14"/>
              </w:rPr>
              <w:t>DiD &gt; 0 &amp; p&lt;0,05 → PSIE ↑ compétences</w:t>
            </w:r>
          </w:p>
        </w:tc>
      </w:tr>
      <w:tr>
        <w:tc>
          <w:tcPr>
            <w:tcW w:type="dxa" w:w="1669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I4. Taux d'auto-emploi ou intention d'entreprendre (%)</w:t>
            </w:r>
          </w:p>
        </w:tc>
        <w:tc>
          <w:tcPr>
            <w:tcW w:type="dxa" w:w="1669"/>
            <w:shd w:val="clear" w:color="auto" w:fill="F2F2F2"/>
          </w:tcPr>
          <w:p>
            <w:r>
              <w:rPr>
                <w:b w:val="0"/>
                <w:i/>
                <w:sz w:val="14"/>
              </w:rPr>
              <w:t>(Nb avec auto-emploi ou intention/Total) × 100</w:t>
              <w:br/>
              <w:t>QB-Q20=1 ou Q25=1</w:t>
            </w:r>
          </w:p>
        </w:tc>
        <w:tc>
          <w:tcPr>
            <w:tcW w:type="dxa" w:w="1669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QB-Q5 proxy</w:t>
              <w:br/>
              <w:t>(situation avant PSIE)</w:t>
            </w:r>
          </w:p>
        </w:tc>
        <w:tc>
          <w:tcPr>
            <w:tcW w:type="dxa" w:w="1669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QB-Q20 ou Q25=1</w:t>
              <w:br/>
              <w:t>[Q0=1]</w:t>
            </w:r>
          </w:p>
        </w:tc>
        <w:tc>
          <w:tcPr>
            <w:tcW w:type="dxa" w:w="1669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QB-Q5 proxy</w:t>
              <w:br/>
              <w:t>[Q0=0]</w:t>
            </w:r>
          </w:p>
        </w:tc>
        <w:tc>
          <w:tcPr>
            <w:tcW w:type="dxa" w:w="1669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QB-Q20 ou Q25=1</w:t>
              <w:br/>
              <w:t>[Q0=0]</w:t>
            </w:r>
          </w:p>
        </w:tc>
        <w:tc>
          <w:tcPr>
            <w:tcW w:type="dxa" w:w="1669"/>
            <w:shd w:val="clear" w:color="auto" w:fill="DAE8F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À calculer</w:t>
            </w:r>
          </w:p>
        </w:tc>
        <w:tc>
          <w:tcPr>
            <w:tcW w:type="dxa" w:w="1669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t ; χ²</w:t>
              <w:br/>
              <w:t>p &lt; 0,05</w:t>
            </w:r>
          </w:p>
        </w:tc>
        <w:tc>
          <w:tcPr>
            <w:tcW w:type="dxa" w:w="1669"/>
            <w:shd w:val="clear" w:color="auto" w:fill="FFFFFF"/>
          </w:tcPr>
          <w:p>
            <w:r>
              <w:rPr>
                <w:b w:val="0"/>
                <w:i w:val="0"/>
                <w:sz w:val="14"/>
              </w:rPr>
              <w:t>DiD &gt; 0 &amp; p&lt;0,05 → PSIE ↑ entrepreneuriat</w:t>
            </w:r>
          </w:p>
        </w:tc>
      </w:tr>
      <w:tr>
        <w:tc>
          <w:tcPr>
            <w:tcW w:type="dxa" w:w="1669"/>
            <w:shd w:val="clear" w:color="auto" w:fill="DAE8FC"/>
          </w:tcPr>
          <w:p>
            <w:r>
              <w:rPr>
                <w:b w:val="0"/>
                <w:i w:val="0"/>
                <w:sz w:val="18"/>
              </w:rPr>
              <w:t>I5. Taux d'employabilité perçue améliorée (%)</w:t>
            </w:r>
          </w:p>
        </w:tc>
        <w:tc>
          <w:tcPr>
            <w:tcW w:type="dxa" w:w="1669"/>
            <w:shd w:val="clear" w:color="auto" w:fill="F2F2F2"/>
          </w:tcPr>
          <w:p>
            <w:r>
              <w:rPr>
                <w:b w:val="0"/>
                <w:i/>
                <w:sz w:val="14"/>
              </w:rPr>
              <w:t>(Nb déclarant amélioration / Total) × 100</w:t>
              <w:br/>
              <w:t>QB-Q22=1</w:t>
            </w:r>
          </w:p>
        </w:tc>
        <w:tc>
          <w:tcPr>
            <w:tcW w:type="dxa" w:w="1669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QB-Q7 inverse proxy</w:t>
              <w:br/>
              <w:t>(durée chômage avant)</w:t>
            </w:r>
          </w:p>
        </w:tc>
        <w:tc>
          <w:tcPr>
            <w:tcW w:type="dxa" w:w="1669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QB-Q22=1</w:t>
              <w:br/>
              <w:t>[Q0=1]</w:t>
            </w:r>
          </w:p>
        </w:tc>
        <w:tc>
          <w:tcPr>
            <w:tcW w:type="dxa" w:w="1669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QB-Q7 proxy</w:t>
              <w:br/>
              <w:t>[Q0=0]</w:t>
            </w:r>
          </w:p>
        </w:tc>
        <w:tc>
          <w:tcPr>
            <w:tcW w:type="dxa" w:w="1669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QB-Q22=1</w:t>
              <w:br/>
              <w:t>[Q0=0]</w:t>
            </w:r>
          </w:p>
        </w:tc>
        <w:tc>
          <w:tcPr>
            <w:tcW w:type="dxa" w:w="1669"/>
            <w:shd w:val="clear" w:color="auto" w:fill="DAE8F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À calculer</w:t>
            </w:r>
          </w:p>
        </w:tc>
        <w:tc>
          <w:tcPr>
            <w:tcW w:type="dxa" w:w="1669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t ; χ²</w:t>
              <w:br/>
              <w:t>p &lt; 0,05</w:t>
            </w:r>
          </w:p>
        </w:tc>
        <w:tc>
          <w:tcPr>
            <w:tcW w:type="dxa" w:w="1669"/>
            <w:shd w:val="clear" w:color="auto" w:fill="DAE8FC"/>
          </w:tcPr>
          <w:p>
            <w:r>
              <w:rPr>
                <w:b w:val="0"/>
                <w:i w:val="0"/>
                <w:sz w:val="14"/>
              </w:rPr>
              <w:t>DiD &gt; 0 &amp; p&lt;0,05 → PSIE ↑ employabilité perçue</w:t>
            </w:r>
          </w:p>
        </w:tc>
      </w:tr>
      <w:tr>
        <w:tc>
          <w:tcPr>
            <w:tcW w:type="dxa" w:w="1669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I6. Durée moyenne en emploi stable (mois)</w:t>
            </w:r>
          </w:p>
        </w:tc>
        <w:tc>
          <w:tcPr>
            <w:tcW w:type="dxa" w:w="1669"/>
            <w:shd w:val="clear" w:color="auto" w:fill="F2F2F2"/>
          </w:tcPr>
          <w:p>
            <w:r>
              <w:rPr>
                <w:b w:val="0"/>
                <w:i/>
                <w:sz w:val="14"/>
              </w:rPr>
              <w:t>Moyenne QB-Q13 (durée occupation)</w:t>
              <w:br/>
              <w:t>par groupe</w:t>
            </w:r>
          </w:p>
        </w:tc>
        <w:tc>
          <w:tcPr>
            <w:tcW w:type="dxa" w:w="1669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QB-Q7 inverse proxy</w:t>
              <w:br/>
              <w:t>(durée chômage avant)</w:t>
            </w:r>
          </w:p>
        </w:tc>
        <w:tc>
          <w:tcPr>
            <w:tcW w:type="dxa" w:w="1669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QB-Q13</w:t>
              <w:br/>
              <w:t>[Q0=1]</w:t>
            </w:r>
          </w:p>
        </w:tc>
        <w:tc>
          <w:tcPr>
            <w:tcW w:type="dxa" w:w="1669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QB-Q7 proxy</w:t>
              <w:br/>
              <w:t>[Q0=0]</w:t>
            </w:r>
          </w:p>
        </w:tc>
        <w:tc>
          <w:tcPr>
            <w:tcW w:type="dxa" w:w="1669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QB-Q13</w:t>
              <w:br/>
              <w:t>[Q0=0]</w:t>
            </w:r>
          </w:p>
        </w:tc>
        <w:tc>
          <w:tcPr>
            <w:tcW w:type="dxa" w:w="1669"/>
            <w:shd w:val="clear" w:color="auto" w:fill="DAE8F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À calculer</w:t>
            </w:r>
          </w:p>
        </w:tc>
        <w:tc>
          <w:tcPr>
            <w:tcW w:type="dxa" w:w="1669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t ; χ²</w:t>
              <w:br/>
              <w:t>p &lt; 0,05</w:t>
            </w:r>
          </w:p>
        </w:tc>
        <w:tc>
          <w:tcPr>
            <w:tcW w:type="dxa" w:w="1669"/>
            <w:shd w:val="clear" w:color="auto" w:fill="FFFFFF"/>
          </w:tcPr>
          <w:p>
            <w:r>
              <w:rPr>
                <w:b w:val="0"/>
                <w:i w:val="0"/>
                <w:sz w:val="14"/>
              </w:rPr>
              <w:t>T &gt; C &amp; p&lt;0,05 → PSIE ↑ durée stabilité</w:t>
            </w:r>
          </w:p>
        </w:tc>
      </w:tr>
      <w:tr>
        <w:tc>
          <w:tcPr>
            <w:tcW w:type="dxa" w:w="1669"/>
            <w:shd w:val="clear" w:color="auto" w:fill="DAE8FC"/>
          </w:tcPr>
          <w:p>
            <w:r>
              <w:rPr>
                <w:b w:val="0"/>
                <w:i w:val="0"/>
                <w:sz w:val="18"/>
              </w:rPr>
              <w:t>I7. Taux de rétention post-immersion (%)</w:t>
              <w:br/>
              <w:t>(spécifique allocataires vs PAES)</w:t>
            </w:r>
          </w:p>
        </w:tc>
        <w:tc>
          <w:tcPr>
            <w:tcW w:type="dxa" w:w="1669"/>
            <w:shd w:val="clear" w:color="auto" w:fill="F2F2F2"/>
          </w:tcPr>
          <w:p>
            <w:r>
              <w:rPr>
                <w:b w:val="0"/>
                <w:i/>
                <w:sz w:val="14"/>
              </w:rPr>
              <w:t>(Nb recrutés définit. / Nb sortis) × 100</w:t>
              <w:br/>
              <w:t>QB-Q29=1</w:t>
            </w:r>
          </w:p>
        </w:tc>
        <w:tc>
          <w:tcPr>
            <w:tcW w:type="dxa" w:w="1669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Référence historique PAES ≈ 15%</w:t>
            </w:r>
          </w:p>
        </w:tc>
        <w:tc>
          <w:tcPr>
            <w:tcW w:type="dxa" w:w="1669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QB-Q29=1</w:t>
              <w:br/>
              <w:t>[Q0=1]</w:t>
            </w:r>
          </w:p>
        </w:tc>
        <w:tc>
          <w:tcPr>
            <w:tcW w:type="dxa" w:w="1669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Référence PAES</w:t>
              <w:br/>
              <w:t>(pas de groupe C direct)</w:t>
            </w:r>
          </w:p>
        </w:tc>
        <w:tc>
          <w:tcPr>
            <w:tcW w:type="dxa" w:w="1669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N/A</w:t>
            </w:r>
          </w:p>
        </w:tc>
        <w:tc>
          <w:tcPr>
            <w:tcW w:type="dxa" w:w="1669"/>
            <w:shd w:val="clear" w:color="auto" w:fill="DAE8F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À calculer</w:t>
            </w:r>
          </w:p>
        </w:tc>
        <w:tc>
          <w:tcPr>
            <w:tcW w:type="dxa" w:w="1669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t ; χ²</w:t>
              <w:br/>
              <w:t>p &lt; 0,05</w:t>
            </w:r>
          </w:p>
        </w:tc>
        <w:tc>
          <w:tcPr>
            <w:tcW w:type="dxa" w:w="1669"/>
            <w:shd w:val="clear" w:color="auto" w:fill="DAE8FC"/>
          </w:tcPr>
          <w:p>
            <w:r>
              <w:rPr>
                <w:b w:val="0"/>
                <w:i w:val="0"/>
                <w:sz w:val="14"/>
              </w:rPr>
              <w:t>Taux &gt; 15% &amp; z sig. → PSIE &gt; PAES</w:t>
            </w:r>
          </w:p>
        </w:tc>
      </w:tr>
      <w:tr>
        <w:tc>
          <w:tcPr>
            <w:tcW w:type="dxa" w:w="1669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I8. Évolution effectifs salariés entreprises (%)</w:t>
              <w:br/>
              <w:t>(avant vs après PSIE)</w:t>
            </w:r>
          </w:p>
        </w:tc>
        <w:tc>
          <w:tcPr>
            <w:tcW w:type="dxa" w:w="1669"/>
            <w:shd w:val="clear" w:color="auto" w:fill="F2F2F2"/>
          </w:tcPr>
          <w:p>
            <w:r>
              <w:rPr>
                <w:b w:val="0"/>
                <w:i/>
                <w:sz w:val="14"/>
              </w:rPr>
              <w:t>[(Q5 − Q4) / Q4] × 100</w:t>
              <w:br/>
              <w:t>QE-Q4 (avant 2020) ; QE-Q5 (2025)</w:t>
            </w:r>
          </w:p>
        </w:tc>
        <w:tc>
          <w:tcPr>
            <w:tcW w:type="dxa" w:w="1669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QE-Q4</w:t>
              <w:br/>
              <w:t>(effectif avant PSIE)</w:t>
            </w:r>
          </w:p>
        </w:tc>
        <w:tc>
          <w:tcPr>
            <w:tcW w:type="dxa" w:w="1669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QE-Q5</w:t>
              <w:br/>
              <w:t>(effectif 2025)</w:t>
            </w:r>
          </w:p>
        </w:tc>
        <w:tc>
          <w:tcPr>
            <w:tcW w:type="dxa" w:w="1669"/>
            <w:shd w:val="clear" w:color="auto" w:fill="FFF2C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N/A (pas de groupe C</w:t>
              <w:br/>
              <w:t>pour les entreprises)</w:t>
            </w:r>
          </w:p>
        </w:tc>
        <w:tc>
          <w:tcPr>
            <w:tcW w:type="dxa" w:w="1669"/>
            <w:shd w:val="clear" w:color="auto" w:fill="D5E8D4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N/A</w:t>
            </w:r>
          </w:p>
        </w:tc>
        <w:tc>
          <w:tcPr>
            <w:tcW w:type="dxa" w:w="1669"/>
            <w:shd w:val="clear" w:color="auto" w:fill="DAE8FC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À calculer</w:t>
            </w:r>
          </w:p>
        </w:tc>
        <w:tc>
          <w:tcPr>
            <w:tcW w:type="dxa" w:w="1669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t ; χ²</w:t>
              <w:br/>
              <w:t>p &lt; 0,05</w:t>
            </w:r>
          </w:p>
        </w:tc>
        <w:tc>
          <w:tcPr>
            <w:tcW w:type="dxa" w:w="1669"/>
            <w:shd w:val="clear" w:color="auto" w:fill="FFFFFF"/>
          </w:tcPr>
          <w:p>
            <w:r>
              <w:rPr>
                <w:b w:val="0"/>
                <w:i w:val="0"/>
                <w:sz w:val="14"/>
              </w:rPr>
              <w:t>Δ&gt;0 &amp; t sig. → PSIE contribue à la croissance emploi</w:t>
            </w:r>
          </w:p>
        </w:tc>
      </w:tr>
    </w:tbl>
    <w:p/>
    <w:p>
      <w:pPr>
        <w:spacing w:after="60"/>
      </w:pPr>
      <w:r>
        <w:rPr>
          <w:b/>
          <w:i w:val="0"/>
          <w:sz w:val="20"/>
        </w:rPr>
        <w:t>Notes méthodologiques :</w:t>
      </w:r>
    </w:p>
    <w:p>
      <w:pPr>
        <w:spacing w:after="60"/>
      </w:pPr>
      <w:r>
        <w:rPr>
          <w:b w:val="0"/>
          <w:i/>
          <w:sz w:val="18"/>
        </w:rPr>
        <w:t>(1) Hypothèse de tendances parallèles : validée ex-ante par test d'équilibre T vs C sur Q2 (âge), Q2a (sexe), Q3 (niveau), Q7 (durée chômage). Si déséquilibre → utiliser Propensity Score Matching avant la DiD.</w:t>
      </w:r>
    </w:p>
    <w:p>
      <w:pPr>
        <w:spacing w:after="60"/>
      </w:pPr>
      <w:r>
        <w:rPr>
          <w:b w:val="0"/>
          <w:i/>
          <w:sz w:val="18"/>
        </w:rPr>
        <w:t>(2) Données de base : Q5 (situation professionnelle avant) et Q7 (durée de chômage) servent de proxys pour reconstituer la valeur de base des indicateurs, en l'absence d'une collecte en panel.</w:t>
      </w:r>
    </w:p>
    <w:p>
      <w:pPr>
        <w:spacing w:after="60"/>
      </w:pPr>
      <w:r>
        <w:rPr>
          <w:b w:val="0"/>
          <w:i/>
          <w:sz w:val="18"/>
        </w:rPr>
        <w:t>(3) Traitement des données manquantes : exclusion si &gt; 20% manquant ; imputation multiple si &lt; 20% (commande Stata : mi impute).</w:t>
      </w:r>
    </w:p>
    <w:p>
      <w:pPr>
        <w:spacing w:after="60"/>
      </w:pPr>
      <w:r>
        <w:rPr>
          <w:b w:val="0"/>
          <w:i/>
          <w:sz w:val="18"/>
        </w:rPr>
        <w:t>(4) Logiciel : Stata 17. Commandes : ttest, regress, xtdidregress. Pour la présentation : tabout ou outreg2.</w:t>
      </w:r>
    </w:p>
    <w:p>
      <w:pPr>
        <w:spacing w:after="60"/>
      </w:pPr>
      <w:r>
        <w:rPr>
          <w:b w:val="0"/>
          <w:i/>
          <w:sz w:val="18"/>
        </w:rPr>
        <w:t>Légende : ■ Orange = Valeur de base (avant) | ■ Vert = Valeur après | ■ Bleu = Double Différence | T = Groupe Traitement (allocataires PSIE) | C = Groupe Contrôle (non-allocataires)</w:t>
      </w:r>
    </w:p>
    <w:sectPr w:rsidR="00FC693F" w:rsidRPr="0006063C" w:rsidSect="00034616">
      <w:pgSz w:w="16838" w:h="11906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