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RAPPORT D'ÉVALUATION</w:t>
      </w:r>
    </w:p>
    <w:p>
      <w:pPr>
        <w:pStyle w:val="Heading1"/>
        <w:jc w:val="center"/>
      </w:pPr>
      <w:r>
        <w:rPr>
          <w:color w:val="1F7A8C"/>
        </w:rPr>
        <w:t>Programme d'Insertion Spécial dans l'Emploi (PSIE)</w:t>
      </w:r>
    </w:p>
    <w:p>
      <w:pPr>
        <w:pStyle w:val="Heading2"/>
        <w:jc w:val="center"/>
      </w:pPr>
      <w:r>
        <w:rPr>
          <w:color w:val="666666"/>
        </w:rPr>
        <w:t>Évaluation selon les critères OCDE/CAD — Phase 1 : Revue documentaire</w:t>
      </w:r>
    </w:p>
    <w:tbl>
      <w:tblPr>
        <w:tblStyle w:val="TableGrid"/>
        <w:tblW w:type="auto" w:w="0"/>
        <w:tblLook w:firstColumn="1" w:firstRow="1" w:lastColumn="0" w:lastRow="0" w:noHBand="0" w:noVBand="1" w:val="04A0"/>
      </w:tblPr>
      <w:tblGrid>
        <w:gridCol w:w="4561"/>
        <w:gridCol w:w="4561"/>
      </w:tblGrid>
      <w:tr>
        <w:tc>
          <w:tcPr>
            <w:tcW w:type="dxa" w:w="4561"/>
            <w:shd w:val="clear" w:color="auto" w:fill="1F3564"/>
          </w:tcPr>
          <w:p>
            <w:r>
              <w:rPr>
                <w:b/>
                <w:color w:val="FFFFFF"/>
                <w:sz w:val="20"/>
              </w:rPr>
              <w:t>Pays</w:t>
            </w:r>
          </w:p>
        </w:tc>
        <w:tc>
          <w:tcPr>
            <w:tcW w:type="dxa" w:w="4561"/>
          </w:tcPr>
          <w:p>
            <w:r>
              <w:rPr>
                <w:sz w:val="20"/>
              </w:rPr>
              <w:t>Bénin</w:t>
            </w:r>
          </w:p>
        </w:tc>
      </w:tr>
      <w:tr>
        <w:tc>
          <w:tcPr>
            <w:tcW w:type="dxa" w:w="4561"/>
            <w:shd w:val="clear" w:color="auto" w:fill="1F3564"/>
          </w:tcPr>
          <w:p>
            <w:r>
              <w:rPr>
                <w:b/>
                <w:color w:val="FFFFFF"/>
                <w:sz w:val="20"/>
              </w:rPr>
              <w:t>Commanditaire</w:t>
            </w:r>
          </w:p>
        </w:tc>
        <w:tc>
          <w:tcPr>
            <w:tcW w:type="dxa" w:w="4561"/>
          </w:tcPr>
          <w:p>
            <w:r>
              <w:rPr>
                <w:sz w:val="20"/>
              </w:rPr>
              <w:t>Gouvernement du Bénin / ANPE</w:t>
            </w:r>
          </w:p>
        </w:tc>
      </w:tr>
      <w:tr>
        <w:tc>
          <w:tcPr>
            <w:tcW w:type="dxa" w:w="4561"/>
            <w:shd w:val="clear" w:color="auto" w:fill="1F3564"/>
          </w:tcPr>
          <w:p>
            <w:r>
              <w:rPr>
                <w:b/>
                <w:color w:val="FFFFFF"/>
                <w:sz w:val="20"/>
              </w:rPr>
              <w:t>Programme évalué</w:t>
            </w:r>
          </w:p>
        </w:tc>
        <w:tc>
          <w:tcPr>
            <w:tcW w:type="dxa" w:w="4561"/>
          </w:tcPr>
          <w:p>
            <w:r>
              <w:rPr>
                <w:sz w:val="20"/>
              </w:rPr>
              <w:t>PSIE (Programme d'Insertion Spécial dans l'Emplois)</w:t>
            </w:r>
          </w:p>
        </w:tc>
      </w:tr>
      <w:tr>
        <w:tc>
          <w:tcPr>
            <w:tcW w:type="dxa" w:w="4561"/>
            <w:shd w:val="clear" w:color="auto" w:fill="1F3564"/>
          </w:tcPr>
          <w:p>
            <w:r>
              <w:rPr>
                <w:b/>
                <w:color w:val="FFFFFF"/>
                <w:sz w:val="20"/>
              </w:rPr>
              <w:t>Période couverte</w:t>
            </w:r>
          </w:p>
        </w:tc>
        <w:tc>
          <w:tcPr>
            <w:tcW w:type="dxa" w:w="4561"/>
          </w:tcPr>
          <w:p>
            <w:r>
              <w:rPr>
                <w:sz w:val="20"/>
              </w:rPr>
              <w:t>Juillet 2020 – Septembre 2025</w:t>
            </w:r>
          </w:p>
        </w:tc>
      </w:tr>
      <w:tr>
        <w:tc>
          <w:tcPr>
            <w:tcW w:type="dxa" w:w="4561"/>
            <w:shd w:val="clear" w:color="auto" w:fill="1F3564"/>
          </w:tcPr>
          <w:p>
            <w:r>
              <w:rPr>
                <w:b/>
                <w:color w:val="FFFFFF"/>
                <w:sz w:val="20"/>
              </w:rPr>
              <w:t>Critères évalués</w:t>
            </w:r>
          </w:p>
        </w:tc>
        <w:tc>
          <w:tcPr>
            <w:tcW w:type="dxa" w:w="4561"/>
          </w:tcPr>
          <w:p>
            <w:r>
              <w:rPr>
                <w:sz w:val="20"/>
              </w:rPr>
              <w:t>Pertinence, Cohérence, Efficacité (Phase 1)</w:t>
            </w:r>
          </w:p>
        </w:tc>
      </w:tr>
      <w:tr>
        <w:tc>
          <w:tcPr>
            <w:tcW w:type="dxa" w:w="4561"/>
            <w:shd w:val="clear" w:color="auto" w:fill="1F3564"/>
          </w:tcPr>
          <w:p>
            <w:r>
              <w:rPr>
                <w:b/>
                <w:color w:val="FFFFFF"/>
                <w:sz w:val="20"/>
              </w:rPr>
              <w:t>Phase de l'évaluation</w:t>
            </w:r>
          </w:p>
        </w:tc>
        <w:tc>
          <w:tcPr>
            <w:tcW w:type="dxa" w:w="4561"/>
          </w:tcPr>
          <w:p>
            <w:r>
              <w:rPr>
                <w:sz w:val="20"/>
              </w:rPr>
              <w:t>Phase 1 — Revue documentaire systématique</w:t>
            </w:r>
          </w:p>
        </w:tc>
      </w:tr>
      <w:tr>
        <w:tc>
          <w:tcPr>
            <w:tcW w:type="dxa" w:w="4561"/>
            <w:shd w:val="clear" w:color="auto" w:fill="1F3564"/>
          </w:tcPr>
          <w:p>
            <w:r>
              <w:rPr>
                <w:b/>
                <w:color w:val="FFFFFF"/>
                <w:sz w:val="20"/>
              </w:rPr>
              <w:t>Documents analysés</w:t>
            </w:r>
          </w:p>
        </w:tc>
        <w:tc>
          <w:tcPr>
            <w:tcW w:type="dxa" w:w="4561"/>
          </w:tcPr>
          <w:p>
            <w:r>
              <w:rPr>
                <w:sz w:val="20"/>
              </w:rPr>
              <w:t>Prodoc PSIE (2020), Cadre Logique, Rapport actualisé MO (2025)</w:t>
            </w:r>
          </w:p>
        </w:tc>
      </w:tr>
      <w:tr>
        <w:tc>
          <w:tcPr>
            <w:tcW w:type="dxa" w:w="4561"/>
            <w:shd w:val="clear" w:color="auto" w:fill="1F3564"/>
          </w:tcPr>
          <w:p>
            <w:r>
              <w:rPr>
                <w:b/>
                <w:color w:val="FFFFFF"/>
                <w:sz w:val="20"/>
              </w:rPr>
              <w:t>Date de rédaction</w:t>
            </w:r>
          </w:p>
        </w:tc>
        <w:tc>
          <w:tcPr>
            <w:tcW w:type="dxa" w:w="4561"/>
          </w:tcPr>
          <w:p>
            <w:r>
              <w:rPr>
                <w:sz w:val="20"/>
              </w:rPr>
              <w:t>Février 2026</w:t>
            </w:r>
          </w:p>
        </w:tc>
      </w:tr>
    </w:tbl>
    <w:p>
      <w:r>
        <w:br w:type="page"/>
      </w:r>
    </w:p>
    <w:p>
      <w:pPr>
        <w:pStyle w:val="Heading1"/>
      </w:pPr>
      <w:r>
        <w:rPr>
          <w:b/>
          <w:color w:val="1F3564"/>
        </w:rPr>
        <w:t>RÉSUMÉ EXÉCUTIF</w:t>
      </w:r>
    </w:p>
    <w:p>
      <w:pPr>
        <w:spacing w:after="120"/>
      </w:pPr>
      <w:r>
        <w:rPr>
          <w:sz w:val="22"/>
        </w:rPr>
        <w:t>L'évaluation finale du PSIE porte sur la période juillet 2020 – septembre 2025. La Phase 1, fondée sur la revue documentaire systématique de trois sources primaires (document de projet, cadre logique, rapport actualisé de mise en œuvre), permet d'apprécier les critères de pertinence, de cohérence et d'efficacité.</w:t>
      </w:r>
    </w:p>
    <w:p>
      <w:pPr>
        <w:spacing w:after="120"/>
      </w:pPr>
      <w:r>
        <w:rPr>
          <w:b/>
          <w:sz w:val="22"/>
        </w:rPr>
        <w:t>Pertinence — Élevée.</w:t>
      </w:r>
      <w:r>
        <w:rPr>
          <w:sz w:val="22"/>
        </w:rPr>
        <w:t xml:space="preserve"> Le PSIE répond à un besoin structurel documenté : un taux de sous-emploi des jeunes de 72 % (INSAE, 2017), une inadéquation formation-emploi et une réticence des entreprises à embaucher liée aux charges salariales. Le programme est ancré dans le PAG, la PNE et une initiative présidentielle directe.</w:t>
      </w:r>
    </w:p>
    <w:p>
      <w:pPr>
        <w:spacing w:after="120"/>
      </w:pPr>
      <w:r>
        <w:rPr>
          <w:b/>
          <w:sz w:val="22"/>
        </w:rPr>
        <w:t>Cohérence — Élevée.</w:t>
      </w:r>
      <w:r>
        <w:rPr>
          <w:sz w:val="22"/>
        </w:rPr>
        <w:t xml:space="preserve"> La chaîne de résultats est logique et cohérente (OS1+OS2→R1+R2). L'intégration dans l'ANPE évite les structures parallèles. La cohérence externe avec le PND, le PAG 2 et les ODD est forte.</w:t>
      </w:r>
    </w:p>
    <w:p>
      <w:pPr>
        <w:spacing w:after="120"/>
      </w:pPr>
      <w:r>
        <w:rPr>
          <w:b/>
          <w:sz w:val="22"/>
        </w:rPr>
        <w:t>Efficacité — Moyenne à Élevée.</w:t>
      </w:r>
      <w:r>
        <w:rPr>
          <w:sz w:val="22"/>
        </w:rPr>
        <w:t xml:space="preserve"> Le programme a inséré </w:t>
      </w:r>
      <w:r>
        <w:rPr>
          <w:b/>
          <w:sz w:val="22"/>
        </w:rPr>
        <w:t>9 263 jeunes</w:t>
      </w:r>
      <w:r>
        <w:rPr>
          <w:sz w:val="22"/>
        </w:rPr>
        <w:t xml:space="preserve"> en emploi entre juillet 2020 et septembre 2025, dépassant la cible initiale de 8 000 (+15,8 %). Les salaires versés s'élèvent à </w:t>
      </w:r>
      <w:r>
        <w:rPr>
          <w:b/>
          <w:sz w:val="22"/>
        </w:rPr>
        <w:t>18,3 milliards FCFA</w:t>
      </w:r>
      <w:r>
        <w:rPr>
          <w:sz w:val="22"/>
        </w:rPr>
        <w:t xml:space="preserve"> (taux d'exécution financière : 79,6 %). Des défis persistent sur l'équité géographique (85,5 % des insertions dans 2 départements) et l'accompagnement à l'employabilité.</w:t>
      </w:r>
    </w:p>
    <w:p>
      <w:r>
        <w:br w:type="page"/>
      </w:r>
    </w:p>
    <w:p>
      <w:pPr>
        <w:pStyle w:val="Heading1"/>
      </w:pPr>
      <w:r>
        <w:rPr>
          <w:b/>
          <w:color w:val="1F3564"/>
        </w:rPr>
        <w:t>1. INTRODUCTION ET CADRAGE DE L'ÉVALUATION</w:t>
      </w:r>
    </w:p>
    <w:p>
      <w:pPr>
        <w:pStyle w:val="Heading2"/>
      </w:pPr>
      <w:r>
        <w:rPr>
          <w:b/>
          <w:color w:val="1F7A8C"/>
        </w:rPr>
        <w:t>1.3 Champ et portée de l'évaluation</w:t>
      </w:r>
    </w:p>
    <w:p>
      <w:pPr>
        <w:spacing w:after="120"/>
      </w:pPr>
      <w:r>
        <w:rPr>
          <w:sz w:val="22"/>
        </w:rPr>
        <w:t xml:space="preserve">La présente évaluation porte sur le </w:t>
      </w:r>
      <w:r>
        <w:rPr>
          <w:b/>
          <w:sz w:val="22"/>
        </w:rPr>
        <w:t>Programme d'Insertion Spécial dans l'Emploi (PSIE)</w:t>
      </w:r>
      <w:r>
        <w:rPr>
          <w:sz w:val="22"/>
        </w:rPr>
        <w:t xml:space="preserve"> mis en œuvre au Bénin sur la période juillet 2020 – septembre 2025, dans le cadre de la Politique Nationale de l'Emploi. Elle a été commanditée conformément aux dispositions prévues dans le document de projet.</w:t>
      </w:r>
    </w:p>
    <w:p>
      <w:pPr>
        <w:spacing w:after="120"/>
      </w:pPr>
      <w:r>
        <w:rPr>
          <w:sz w:val="22"/>
        </w:rPr>
        <w:t xml:space="preserve">L'évaluation est structurée en deux phases : la </w:t>
      </w:r>
      <w:r>
        <w:rPr>
          <w:b/>
          <w:sz w:val="22"/>
        </w:rPr>
        <w:t>Phase 1</w:t>
      </w:r>
      <w:r>
        <w:rPr>
          <w:sz w:val="22"/>
        </w:rPr>
        <w:t xml:space="preserve"> (présente) fondée sur la revue documentaire, permet d'analyser les critères de pertinence, de cohérence et d'efficacité ; la </w:t>
      </w:r>
      <w:r>
        <w:rPr>
          <w:b/>
          <w:sz w:val="22"/>
        </w:rPr>
        <w:t>Phase 2</w:t>
      </w:r>
      <w:r>
        <w:rPr>
          <w:sz w:val="22"/>
        </w:rPr>
        <w:t xml:space="preserve"> (à venir), fondée sur l'enquête terrain, permettra d'apprécier les effets/impacts, l'efficience, la durabilité et le genre.</w:t>
      </w:r>
    </w:p>
    <w:tbl>
      <w:tblPr>
        <w:tblStyle w:val="TableGrid"/>
        <w:tblW w:type="auto" w:w="0"/>
        <w:tblLook w:firstColumn="1" w:firstRow="1" w:lastColumn="0" w:lastRow="0" w:noHBand="0" w:noVBand="1" w:val="04A0"/>
      </w:tblPr>
      <w:tblGrid>
        <w:gridCol w:w="4561"/>
        <w:gridCol w:w="4561"/>
      </w:tblGrid>
      <w:tr>
        <w:tc>
          <w:tcPr>
            <w:tcW w:type="dxa" w:w="4561"/>
            <w:shd w:val="clear" w:color="auto" w:fill="1F3564"/>
          </w:tcPr>
          <w:p>
            <w:r>
              <w:rPr>
                <w:b/>
                <w:color w:val="FFFFFF"/>
                <w:sz w:val="20"/>
              </w:rPr>
              <w:t>Dimension</w:t>
            </w:r>
          </w:p>
        </w:tc>
        <w:tc>
          <w:tcPr>
            <w:tcW w:type="dxa" w:w="4561"/>
            <w:shd w:val="clear" w:color="auto" w:fill="1F3564"/>
          </w:tcPr>
          <w:p>
            <w:r>
              <w:rPr>
                <w:b/>
                <w:color w:val="FFFFFF"/>
                <w:sz w:val="20"/>
              </w:rPr>
              <w:t>Contenu</w:t>
            </w:r>
          </w:p>
        </w:tc>
      </w:tr>
      <w:tr>
        <w:tc>
          <w:tcPr>
            <w:tcW w:type="dxa" w:w="4561"/>
            <w:shd w:val="clear" w:color="auto" w:fill="E9F0F8"/>
          </w:tcPr>
          <w:p>
            <w:r/>
            <w:r>
              <w:rPr>
                <w:sz w:val="20"/>
              </w:rPr>
              <w:t>Portée temporelle</w:t>
            </w:r>
          </w:p>
        </w:tc>
        <w:tc>
          <w:tcPr>
            <w:tcW w:type="dxa" w:w="4561"/>
            <w:shd w:val="clear" w:color="auto" w:fill="E9F0F8"/>
          </w:tcPr>
          <w:p>
            <w:r/>
            <w:r>
              <w:rPr>
                <w:sz w:val="20"/>
              </w:rPr>
              <w:t>5 ans de mise en œuvre initiale (2020-2024), prolongé au-delà de 2025</w:t>
            </w:r>
          </w:p>
        </w:tc>
      </w:tr>
      <w:tr>
        <w:tc>
          <w:tcPr>
            <w:tcW w:type="dxa" w:w="4561"/>
          </w:tcPr>
          <w:p>
            <w:r/>
            <w:r>
              <w:rPr>
                <w:sz w:val="20"/>
              </w:rPr>
              <w:t>Portée cible (jeunes)</w:t>
            </w:r>
          </w:p>
        </w:tc>
        <w:tc>
          <w:tcPr>
            <w:tcW w:type="dxa" w:w="4561"/>
          </w:tcPr>
          <w:p>
            <w:r/>
            <w:r>
              <w:rPr>
                <w:sz w:val="20"/>
              </w:rPr>
              <w:t>2 000 nouveaux bénéficiaires/an ; cible initiale de 8 000 cumulée sur 5 ans</w:t>
            </w:r>
          </w:p>
        </w:tc>
      </w:tr>
      <w:tr>
        <w:tc>
          <w:tcPr>
            <w:tcW w:type="dxa" w:w="4561"/>
            <w:shd w:val="clear" w:color="auto" w:fill="E9F0F8"/>
          </w:tcPr>
          <w:p>
            <w:r/>
            <w:r>
              <w:rPr>
                <w:sz w:val="20"/>
              </w:rPr>
              <w:t>Portée entreprises</w:t>
            </w:r>
          </w:p>
        </w:tc>
        <w:tc>
          <w:tcPr>
            <w:tcW w:type="dxa" w:w="4561"/>
            <w:shd w:val="clear" w:color="auto" w:fill="E9F0F8"/>
          </w:tcPr>
          <w:p>
            <w:r/>
            <w:r>
              <w:rPr>
                <w:sz w:val="20"/>
              </w:rPr>
              <w:t>Toutes entreprises formelles publiques et privées, toutes tailles</w:t>
            </w:r>
          </w:p>
        </w:tc>
      </w:tr>
      <w:tr>
        <w:tc>
          <w:tcPr>
            <w:tcW w:type="dxa" w:w="4561"/>
          </w:tcPr>
          <w:p>
            <w:r/>
            <w:r>
              <w:rPr>
                <w:sz w:val="20"/>
              </w:rPr>
              <w:t>Portée sectorielle</w:t>
            </w:r>
          </w:p>
        </w:tc>
        <w:tc>
          <w:tcPr>
            <w:tcW w:type="dxa" w:w="4561"/>
          </w:tcPr>
          <w:p>
            <w:r/>
            <w:r>
              <w:rPr>
                <w:sz w:val="20"/>
              </w:rPr>
              <w:t>Tous secteurs formels (sauf emplois directs en santé, éducation, agriculture vivrière, artisanat)</w:t>
            </w:r>
          </w:p>
        </w:tc>
      </w:tr>
      <w:tr>
        <w:tc>
          <w:tcPr>
            <w:tcW w:type="dxa" w:w="4561"/>
            <w:shd w:val="clear" w:color="auto" w:fill="E9F0F8"/>
          </w:tcPr>
          <w:p>
            <w:r/>
            <w:r>
              <w:rPr>
                <w:sz w:val="20"/>
              </w:rPr>
              <w:t>Portée géographique</w:t>
            </w:r>
          </w:p>
        </w:tc>
        <w:tc>
          <w:tcPr>
            <w:tcW w:type="dxa" w:w="4561"/>
            <w:shd w:val="clear" w:color="auto" w:fill="E9F0F8"/>
          </w:tcPr>
          <w:p>
            <w:r/>
            <w:r>
              <w:rPr>
                <w:sz w:val="20"/>
              </w:rPr>
              <w:t>12 départements du Bénin — couverture nationale via antennes ANPE</w:t>
            </w:r>
          </w:p>
        </w:tc>
      </w:tr>
    </w:tbl>
    <w:p/>
    <w:p>
      <w:pPr>
        <w:pStyle w:val="Heading2"/>
      </w:pPr>
      <w:r>
        <w:rPr>
          <w:b/>
          <w:color w:val="1F7A8C"/>
        </w:rPr>
        <w:t>1.4 Description du PSIE</w:t>
      </w:r>
    </w:p>
    <w:p>
      <w:pPr>
        <w:pStyle w:val="Heading3"/>
      </w:pPr>
      <w:r>
        <w:rPr>
          <w:b/>
          <w:color w:val="2E8648"/>
        </w:rPr>
        <w:t>1.4.1 Contexte et genèse</w:t>
      </w:r>
    </w:p>
    <w:p>
      <w:pPr>
        <w:spacing w:after="120"/>
      </w:pPr>
      <w:r>
        <w:rPr>
          <w:sz w:val="22"/>
        </w:rPr>
        <w:t>Le PSIE est une initiative du Gouvernement béninois, lancée officiellement en juillet 2020 sous l'impulsion du Chef de l'État lors de son annonce du 31 juillet 2019. Il répond à un double constat : un taux de sous-emploi des jeunes de 72 % (INSAE, 2017) et une réticence structurelle des entreprises à recruter des primo-demandeurs d'emploi en raison des charges salariales.</w:t>
      </w:r>
    </w:p>
    <w:p>
      <w:pPr>
        <w:spacing w:after="120"/>
      </w:pPr>
      <w:r>
        <w:rPr>
          <w:sz w:val="22"/>
        </w:rPr>
        <w:t>Il s'inscrit dans la continuité du Programme d'Appui à l'Emploi Salarié (PAES), dont il améliore le modèle avec une prise en charge salariale à 100 % et une durée d'immersion de 24 mois. Le programme a été prolongé au-delà de 2025 par décision du Conseil des ministres du 19 février 2025.</w:t>
      </w:r>
    </w:p>
    <w:p>
      <w:pPr>
        <w:pStyle w:val="Heading3"/>
      </w:pPr>
      <w:r>
        <w:rPr>
          <w:b/>
          <w:color w:val="2E8648"/>
        </w:rPr>
        <w:t>1.4.2 Objectifs et structure du PSIE</w:t>
      </w:r>
    </w:p>
    <w:p>
      <w:pPr>
        <w:spacing w:after="120"/>
      </w:pPr>
      <w:r>
        <w:rPr>
          <w:b/>
          <w:sz w:val="22"/>
        </w:rPr>
        <w:t>Objectif général :</w:t>
      </w:r>
      <w:r>
        <w:rPr>
          <w:sz w:val="22"/>
        </w:rPr>
        <w:t xml:space="preserve"> Faciliter l'insertion professionnelle des jeunes diplômés (18-35 ans, BAC professionnel à Master) dans les entreprises formelles béninoises.</w:t>
      </w:r>
    </w:p>
    <w:p>
      <w:pPr>
        <w:spacing w:after="120"/>
      </w:pPr>
      <w:r>
        <w:rPr>
          <w:b/>
          <w:sz w:val="22"/>
        </w:rPr>
        <w:t>Objectif spécifique 1 :</w:t>
      </w:r>
      <w:r>
        <w:rPr>
          <w:sz w:val="22"/>
        </w:rPr>
        <w:t xml:space="preserve"> Améliorer l'employabilité des jeunes diplômés par des mesures d'accompagnement (TRE, coaching, tutorat).</w:t>
      </w:r>
    </w:p>
    <w:p>
      <w:pPr>
        <w:spacing w:after="120"/>
      </w:pPr>
      <w:r>
        <w:rPr>
          <w:b/>
          <w:sz w:val="22"/>
        </w:rPr>
        <w:t>Objectif spécifique 2 :</w:t>
      </w:r>
      <w:r>
        <w:rPr>
          <w:sz w:val="22"/>
        </w:rPr>
        <w:t xml:space="preserve"> Soutenir financièrement les entreprises dans la prise en charge totale des salaires des allocataires sur 24 mois.</w:t>
      </w:r>
    </w:p>
    <w:p>
      <w:pPr>
        <w:pStyle w:val="Heading3"/>
      </w:pPr>
      <w:r>
        <w:rPr>
          <w:b/>
          <w:color w:val="2E8648"/>
        </w:rPr>
        <w:t>1.4.3 Portée, enjeux et effets attendus du PSIE</w:t>
      </w:r>
    </w:p>
    <w:p>
      <w:pPr>
        <w:spacing w:after="120"/>
      </w:pPr>
      <w:r>
        <w:rPr>
          <w:sz w:val="22"/>
        </w:rPr>
        <w:t>Le PSIE a été conçu pour une mise en œuvre initiale de cinq ans, couvrant la période 2020–2024, avec une prolongation au-delà de 2025. Sur le plan quantitatif, le programme vise l'insertion de 2 000 nouveaux bénéficiaires par an, soit une cible cumulative de 8 000 jeunes sur la durée initiale.</w:t>
      </w:r>
    </w:p>
    <w:p>
      <w:pPr>
        <w:spacing w:after="120"/>
      </w:pPr>
      <w:r>
        <w:rPr>
          <w:b/>
          <w:sz w:val="22"/>
        </w:rPr>
        <w:t>B. Enjeux de politique publique</w:t>
      </w:r>
    </w:p>
    <w:p>
      <w:pPr>
        <w:spacing w:after="120"/>
      </w:pPr>
      <w:r>
        <w:rPr>
          <w:sz w:val="22"/>
        </w:rPr>
        <w:t xml:space="preserve">Le PSIE s'inscrit au croisement de cinq enjeux structurants de la politique de l'emploi au Bénin. Le premier est l'enjeu du </w:t>
      </w:r>
      <w:r>
        <w:rPr>
          <w:b/>
          <w:sz w:val="22"/>
        </w:rPr>
        <w:t>dividende démographique</w:t>
      </w:r>
      <w:r>
        <w:rPr>
          <w:sz w:val="22"/>
        </w:rPr>
        <w:t xml:space="preserve"> : avec plus de quatre millions de Béninois de moins de 40 ans (34 % de la population), le pays dispose d'un potentiel humain considérable que le PSIE vise à convertir en levier de croissance. Le deuxième enjeu est celui de la </w:t>
      </w:r>
      <w:r>
        <w:rPr>
          <w:b/>
          <w:sz w:val="22"/>
        </w:rPr>
        <w:t>formalisation de l'emploi</w:t>
      </w:r>
      <w:r>
        <w:rPr>
          <w:sz w:val="22"/>
        </w:rPr>
        <w:t xml:space="preserve"> : en imposant des contrats CDD formels avec affiliations CNSS et IRPP, le programme contribue à l'élargissement de l'économie formelle. Le troisième concerne la </w:t>
      </w:r>
      <w:r>
        <w:rPr>
          <w:b/>
          <w:sz w:val="22"/>
        </w:rPr>
        <w:t>compétitivité des entreprises</w:t>
      </w:r>
      <w:r>
        <w:rPr>
          <w:sz w:val="22"/>
        </w:rPr>
        <w:t xml:space="preserve"> via l'accès à des compétences qualifiées à coût réduit. Le quatrième enjeu est l'</w:t>
      </w:r>
      <w:r>
        <w:rPr>
          <w:b/>
          <w:sz w:val="22"/>
        </w:rPr>
        <w:t>articulation formation-emploi</w:t>
      </w:r>
      <w:r>
        <w:rPr>
          <w:sz w:val="22"/>
        </w:rPr>
        <w:t xml:space="preserve"> — le PSIE crée une transition structurée entre la formation initiale et l'emploi durable. Le cinquième, enfin, est l'</w:t>
      </w:r>
      <w:r>
        <w:rPr>
          <w:b/>
          <w:sz w:val="22"/>
        </w:rPr>
        <w:t>équité territoriale</w:t>
      </w:r>
      <w:r>
        <w:rPr>
          <w:sz w:val="22"/>
        </w:rPr>
        <w:t xml:space="preserve"> : la concentration de 85,5 % des insertions dans le Littoral et l'Atlantique constitue un défi documenté.</w:t>
      </w:r>
    </w:p>
    <w:p>
      <w:pPr>
        <w:pStyle w:val="Heading3"/>
      </w:pPr>
      <w:r>
        <w:rPr>
          <w:b/>
          <w:color w:val="2E8648"/>
        </w:rPr>
        <w:t>1.4.4 Théorie de changement du PSIE</w:t>
      </w:r>
    </w:p>
    <w:p>
      <w:pPr>
        <w:spacing w:after="120"/>
      </w:pPr>
      <w:r>
        <w:rPr>
          <w:sz w:val="22"/>
        </w:rPr>
        <w:t>La théorie de changement du PSIE repose sur une logique causale en quatre liens :</w:t>
      </w:r>
    </w:p>
    <w:p>
      <w:pPr>
        <w:spacing w:after="120"/>
      </w:pPr>
      <w:r>
        <w:rPr>
          <w:b/>
          <w:sz w:val="22"/>
        </w:rPr>
        <w:t>Lien 1 — Si</w:t>
      </w:r>
      <w:r>
        <w:rPr>
          <w:sz w:val="22"/>
        </w:rPr>
        <w:t xml:space="preserve"> l'État finance intégralement les salaires des allocataires, </w:t>
      </w:r>
      <w:r>
        <w:rPr>
          <w:b/>
          <w:sz w:val="22"/>
        </w:rPr>
        <w:t>alors</w:t>
      </w:r>
      <w:r>
        <w:rPr>
          <w:sz w:val="22"/>
        </w:rPr>
        <w:t xml:space="preserve"> les entreprises acceptent d'accueillir des primo-demandeurs d'emploi sans expérience.</w:t>
      </w:r>
    </w:p>
    <w:p>
      <w:pPr>
        <w:spacing w:after="120"/>
      </w:pPr>
      <w:r>
        <w:rPr>
          <w:b/>
          <w:sz w:val="22"/>
        </w:rPr>
        <w:t>Lien 2 — Si</w:t>
      </w:r>
      <w:r>
        <w:rPr>
          <w:sz w:val="22"/>
        </w:rPr>
        <w:t xml:space="preserve"> les jeunes sont déployés en entreprise pendant 24 mois, </w:t>
      </w:r>
      <w:r>
        <w:rPr>
          <w:b/>
          <w:sz w:val="22"/>
        </w:rPr>
        <w:t>alors</w:t>
      </w:r>
      <w:r>
        <w:rPr>
          <w:sz w:val="22"/>
        </w:rPr>
        <w:t xml:space="preserve"> ils développent des compétences professionnelles certifiées.</w:t>
      </w:r>
    </w:p>
    <w:p>
      <w:pPr>
        <w:spacing w:after="120"/>
      </w:pPr>
      <w:r>
        <w:rPr>
          <w:b/>
          <w:sz w:val="22"/>
        </w:rPr>
        <w:t>Lien 3 — Si</w:t>
      </w:r>
      <w:r>
        <w:rPr>
          <w:sz w:val="22"/>
        </w:rPr>
        <w:t xml:space="preserve"> les jeunes acquièrent une expérience professionnelle certifiée, </w:t>
      </w:r>
      <w:r>
        <w:rPr>
          <w:b/>
          <w:sz w:val="22"/>
        </w:rPr>
        <w:t>alors</w:t>
      </w:r>
      <w:r>
        <w:rPr>
          <w:sz w:val="22"/>
        </w:rPr>
        <w:t xml:space="preserve"> leur employabilité augmente et leur accès à un emploi durable s'améliore.</w:t>
      </w:r>
    </w:p>
    <w:p>
      <w:pPr>
        <w:spacing w:after="120"/>
      </w:pPr>
      <w:r>
        <w:rPr>
          <w:b/>
          <w:sz w:val="22"/>
        </w:rPr>
        <w:t>Lien 4 — Si</w:t>
      </w:r>
      <w:r>
        <w:rPr>
          <w:sz w:val="22"/>
        </w:rPr>
        <w:t xml:space="preserve"> des milliers de jeunes diplômés sont insérés chaque année, </w:t>
      </w:r>
      <w:r>
        <w:rPr>
          <w:b/>
          <w:sz w:val="22"/>
        </w:rPr>
        <w:t>alors</w:t>
      </w:r>
      <w:r>
        <w:rPr>
          <w:sz w:val="22"/>
        </w:rPr>
        <w:t xml:space="preserve"> le taux de sous-emploi des jeunes diminue et l'économie formelle se renforce.</w:t>
      </w:r>
    </w:p>
    <w:p>
      <w:r>
        <w:br w:type="page"/>
      </w:r>
    </w:p>
    <w:p>
      <w:pPr>
        <w:pStyle w:val="Heading1"/>
      </w:pPr>
      <w:r>
        <w:rPr>
          <w:b/>
          <w:color w:val="1F3564"/>
        </w:rPr>
        <w:t>3. MÉTHODOLOGIE DE L'ÉVALUATION</w:t>
      </w:r>
    </w:p>
    <w:p>
      <w:pPr>
        <w:pStyle w:val="Heading2"/>
      </w:pPr>
      <w:r>
        <w:rPr>
          <w:b/>
          <w:color w:val="1F7A8C"/>
        </w:rPr>
        <w:t>3.1 Approche globale et conformité au GMNE</w:t>
      </w:r>
    </w:p>
    <w:p>
      <w:pPr>
        <w:spacing w:after="120"/>
      </w:pPr>
      <w:r>
        <w:rPr>
          <w:sz w:val="22"/>
        </w:rPr>
        <w:t xml:space="preserve">La méthodologie globale adopte une approche inclusive et participative, conforme au Guide Méthodologique National d'Évaluation (GMNE) des politiques en République du Bénin. L'évaluation est structurée en deux phases : la </w:t>
      </w:r>
      <w:r>
        <w:rPr>
          <w:b/>
          <w:sz w:val="22"/>
        </w:rPr>
        <w:t>Phase 1</w:t>
      </w:r>
      <w:r>
        <w:rPr>
          <w:sz w:val="22"/>
        </w:rPr>
        <w:t xml:space="preserve"> (présente rapport) fondée sur la revue documentaire systématique, et la </w:t>
      </w:r>
      <w:r>
        <w:rPr>
          <w:b/>
          <w:sz w:val="22"/>
        </w:rPr>
        <w:t>Phase 2</w:t>
      </w:r>
      <w:r>
        <w:rPr>
          <w:sz w:val="22"/>
        </w:rPr>
        <w:t xml:space="preserve"> (à venir) fondée sur l'enquête terrain auprès des bénéficiaires et des acteurs clés.</w:t>
      </w:r>
    </w:p>
    <w:p>
      <w:pPr>
        <w:pStyle w:val="Heading2"/>
      </w:pPr>
      <w:r>
        <w:rPr>
          <w:b/>
          <w:color w:val="1F7A8C"/>
        </w:rPr>
        <w:t>3.2 Processus de conduite de la mission — 5 phases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Phase</w:t>
            </w:r>
          </w:p>
        </w:tc>
        <w:tc>
          <w:tcPr>
            <w:tcW w:type="dxa" w:w="3041"/>
            <w:shd w:val="clear" w:color="auto" w:fill="1F3564"/>
          </w:tcPr>
          <w:p>
            <w:r>
              <w:rPr>
                <w:b/>
                <w:color w:val="FFFFFF"/>
                <w:sz w:val="20"/>
              </w:rPr>
              <w:t>Étape</w:t>
            </w:r>
          </w:p>
        </w:tc>
        <w:tc>
          <w:tcPr>
            <w:tcW w:type="dxa" w:w="3041"/>
            <w:shd w:val="clear" w:color="auto" w:fill="1F3564"/>
          </w:tcPr>
          <w:p>
            <w:r>
              <w:rPr>
                <w:b/>
                <w:color w:val="FFFFFF"/>
                <w:sz w:val="20"/>
              </w:rPr>
              <w:t>Statut</w:t>
            </w:r>
          </w:p>
        </w:tc>
      </w:tr>
      <w:tr>
        <w:tc>
          <w:tcPr>
            <w:tcW w:type="dxa" w:w="3041"/>
            <w:shd w:val="clear" w:color="auto" w:fill="E9F0F8"/>
          </w:tcPr>
          <w:p>
            <w:r/>
            <w:r>
              <w:rPr>
                <w:sz w:val="20"/>
              </w:rPr>
              <w:t>Phase 1</w:t>
            </w:r>
          </w:p>
        </w:tc>
        <w:tc>
          <w:tcPr>
            <w:tcW w:type="dxa" w:w="3041"/>
            <w:shd w:val="clear" w:color="auto" w:fill="E9F0F8"/>
          </w:tcPr>
          <w:p>
            <w:r/>
            <w:r>
              <w:rPr>
                <w:sz w:val="20"/>
              </w:rPr>
              <w:t>Phase préparatoire — Recrutement de l'équipe et séance de cadrage (ANPE, 24 nov. 2025)</w:t>
            </w:r>
          </w:p>
        </w:tc>
        <w:tc>
          <w:tcPr>
            <w:tcW w:type="dxa" w:w="3041"/>
            <w:shd w:val="clear" w:color="auto" w:fill="E9F0F8"/>
          </w:tcPr>
          <w:p>
            <w:r/>
            <w:r>
              <w:rPr>
                <w:sz w:val="20"/>
              </w:rPr>
              <w:t>✅ Réalisée</w:t>
            </w:r>
          </w:p>
        </w:tc>
      </w:tr>
      <w:tr>
        <w:tc>
          <w:tcPr>
            <w:tcW w:type="dxa" w:w="3041"/>
          </w:tcPr>
          <w:p>
            <w:r/>
            <w:r>
              <w:rPr>
                <w:sz w:val="20"/>
              </w:rPr>
              <w:t>Phase 2</w:t>
            </w:r>
          </w:p>
        </w:tc>
        <w:tc>
          <w:tcPr>
            <w:tcW w:type="dxa" w:w="3041"/>
          </w:tcPr>
          <w:p>
            <w:r/>
            <w:r>
              <w:rPr>
                <w:sz w:val="20"/>
              </w:rPr>
              <w:t>Élaboration et validation du référentiel d'évaluation (rapport de démarrage)</w:t>
            </w:r>
          </w:p>
        </w:tc>
        <w:tc>
          <w:tcPr>
            <w:tcW w:type="dxa" w:w="3041"/>
          </w:tcPr>
          <w:p>
            <w:r/>
            <w:r>
              <w:rPr>
                <w:sz w:val="20"/>
              </w:rPr>
              <w:t>✅ Réalisée</w:t>
            </w:r>
          </w:p>
        </w:tc>
      </w:tr>
      <w:tr>
        <w:tc>
          <w:tcPr>
            <w:tcW w:type="dxa" w:w="3041"/>
            <w:shd w:val="clear" w:color="auto" w:fill="E9F0F8"/>
          </w:tcPr>
          <w:p>
            <w:r/>
            <w:r>
              <w:rPr>
                <w:sz w:val="20"/>
              </w:rPr>
              <w:t>Phase 3</w:t>
            </w:r>
          </w:p>
        </w:tc>
        <w:tc>
          <w:tcPr>
            <w:tcW w:type="dxa" w:w="3041"/>
            <w:shd w:val="clear" w:color="auto" w:fill="E9F0F8"/>
          </w:tcPr>
          <w:p>
            <w:r/>
            <w:r>
              <w:rPr>
                <w:sz w:val="20"/>
              </w:rPr>
              <w:t>Collecte et analyse de données (revue documentaire Phase 1 / enquête terrain Phase 2)</w:t>
            </w:r>
          </w:p>
        </w:tc>
        <w:tc>
          <w:tcPr>
            <w:tcW w:type="dxa" w:w="3041"/>
            <w:shd w:val="clear" w:color="auto" w:fill="E9F0F8"/>
          </w:tcPr>
          <w:p>
            <w:r/>
            <w:r>
              <w:rPr>
                <w:sz w:val="20"/>
              </w:rPr>
              <w:t>🔲 En cours</w:t>
            </w:r>
          </w:p>
        </w:tc>
      </w:tr>
      <w:tr>
        <w:tc>
          <w:tcPr>
            <w:tcW w:type="dxa" w:w="3041"/>
          </w:tcPr>
          <w:p>
            <w:r/>
            <w:r>
              <w:rPr>
                <w:sz w:val="20"/>
              </w:rPr>
              <w:t>Phase 4</w:t>
            </w:r>
          </w:p>
        </w:tc>
        <w:tc>
          <w:tcPr>
            <w:tcW w:type="dxa" w:w="3041"/>
          </w:tcPr>
          <w:p>
            <w:r/>
            <w:r>
              <w:rPr>
                <w:sz w:val="20"/>
              </w:rPr>
              <w:t>Élaboration du rapport provisoire et examen par le Comité de pilotage</w:t>
            </w:r>
          </w:p>
        </w:tc>
        <w:tc>
          <w:tcPr>
            <w:tcW w:type="dxa" w:w="3041"/>
          </w:tcPr>
          <w:p>
            <w:r/>
            <w:r>
              <w:rPr>
                <w:sz w:val="20"/>
              </w:rPr>
              <w:t>🔲 À venir</w:t>
            </w:r>
          </w:p>
        </w:tc>
      </w:tr>
      <w:tr>
        <w:tc>
          <w:tcPr>
            <w:tcW w:type="dxa" w:w="3041"/>
            <w:shd w:val="clear" w:color="auto" w:fill="E9F0F8"/>
          </w:tcPr>
          <w:p>
            <w:r/>
            <w:r>
              <w:rPr>
                <w:sz w:val="20"/>
              </w:rPr>
              <w:t>Phase 5</w:t>
            </w:r>
          </w:p>
        </w:tc>
        <w:tc>
          <w:tcPr>
            <w:tcW w:type="dxa" w:w="3041"/>
            <w:shd w:val="clear" w:color="auto" w:fill="E9F0F8"/>
          </w:tcPr>
          <w:p>
            <w:r/>
            <w:r>
              <w:rPr>
                <w:sz w:val="20"/>
              </w:rPr>
              <w:t>Validation nationale et approbation du rapport final</w:t>
            </w:r>
          </w:p>
        </w:tc>
        <w:tc>
          <w:tcPr>
            <w:tcW w:type="dxa" w:w="3041"/>
            <w:shd w:val="clear" w:color="auto" w:fill="E9F0F8"/>
          </w:tcPr>
          <w:p>
            <w:r/>
            <w:r>
              <w:rPr>
                <w:sz w:val="20"/>
              </w:rPr>
              <w:t>🔲 À venir</w:t>
            </w:r>
          </w:p>
        </w:tc>
      </w:tr>
    </w:tbl>
    <w:p/>
    <w:p>
      <w:pPr>
        <w:pStyle w:val="Heading2"/>
      </w:pPr>
      <w:r>
        <w:rPr>
          <w:b/>
          <w:color w:val="1F7A8C"/>
        </w:rPr>
        <w:t>3.3 Phase 1 — Revue documentaire systématique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Réf.</w:t>
            </w:r>
          </w:p>
        </w:tc>
        <w:tc>
          <w:tcPr>
            <w:tcW w:type="dxa" w:w="3041"/>
            <w:shd w:val="clear" w:color="auto" w:fill="1F3564"/>
          </w:tcPr>
          <w:p>
            <w:r>
              <w:rPr>
                <w:b/>
                <w:color w:val="FFFFFF"/>
                <w:sz w:val="20"/>
              </w:rPr>
              <w:t>Document analysé</w:t>
            </w:r>
          </w:p>
        </w:tc>
        <w:tc>
          <w:tcPr>
            <w:tcW w:type="dxa" w:w="3041"/>
            <w:shd w:val="clear" w:color="auto" w:fill="1F3564"/>
          </w:tcPr>
          <w:p>
            <w:r>
              <w:rPr>
                <w:b/>
                <w:color w:val="FFFFFF"/>
                <w:sz w:val="20"/>
              </w:rPr>
              <w:t>Informations extraites pour l'évaluation</w:t>
            </w:r>
          </w:p>
        </w:tc>
      </w:tr>
      <w:tr>
        <w:tc>
          <w:tcPr>
            <w:tcW w:type="dxa" w:w="3041"/>
            <w:shd w:val="clear" w:color="auto" w:fill="E9F0F8"/>
          </w:tcPr>
          <w:p>
            <w:r/>
            <w:r>
              <w:rPr>
                <w:sz w:val="20"/>
              </w:rPr>
              <w:t>D1</w:t>
            </w:r>
          </w:p>
        </w:tc>
        <w:tc>
          <w:tcPr>
            <w:tcW w:type="dxa" w:w="3041"/>
            <w:shd w:val="clear" w:color="auto" w:fill="E9F0F8"/>
          </w:tcPr>
          <w:p>
            <w:r/>
            <w:r>
              <w:rPr>
                <w:sz w:val="20"/>
              </w:rPr>
              <w:t>Prodoc PSIE-Bénin (revu, 03/04/2020)</w:t>
            </w:r>
          </w:p>
        </w:tc>
        <w:tc>
          <w:tcPr>
            <w:tcW w:type="dxa" w:w="3041"/>
            <w:shd w:val="clear" w:color="auto" w:fill="E9F0F8"/>
          </w:tcPr>
          <w:p>
            <w:r/>
            <w:r>
              <w:rPr>
                <w:sz w:val="20"/>
              </w:rPr>
              <w:t>Diagnostic, objectifs, bénéficiaires, mécanisme, budget, hypothèses</w:t>
            </w:r>
          </w:p>
        </w:tc>
      </w:tr>
      <w:tr>
        <w:tc>
          <w:tcPr>
            <w:tcW w:type="dxa" w:w="3041"/>
          </w:tcPr>
          <w:p>
            <w:r/>
            <w:r>
              <w:rPr>
                <w:sz w:val="20"/>
              </w:rPr>
              <w:t>D2</w:t>
            </w:r>
          </w:p>
        </w:tc>
        <w:tc>
          <w:tcPr>
            <w:tcW w:type="dxa" w:w="3041"/>
          </w:tcPr>
          <w:p>
            <w:r/>
            <w:r>
              <w:rPr>
                <w:sz w:val="20"/>
              </w:rPr>
              <w:t>Cadre Logique PSIE</w:t>
            </w:r>
          </w:p>
        </w:tc>
        <w:tc>
          <w:tcPr>
            <w:tcW w:type="dxa" w:w="3041"/>
          </w:tcPr>
          <w:p>
            <w:r/>
            <w:r>
              <w:rPr>
                <w:sz w:val="20"/>
              </w:rPr>
              <w:t>Chaîne de résultats, indicateurs, cibles, hypothèses critiques</w:t>
            </w:r>
          </w:p>
        </w:tc>
      </w:tr>
      <w:tr>
        <w:tc>
          <w:tcPr>
            <w:tcW w:type="dxa" w:w="3041"/>
            <w:shd w:val="clear" w:color="auto" w:fill="E9F0F8"/>
          </w:tcPr>
          <w:p>
            <w:r/>
            <w:r>
              <w:rPr>
                <w:sz w:val="20"/>
              </w:rPr>
              <w:t>D3</w:t>
            </w:r>
          </w:p>
        </w:tc>
        <w:tc>
          <w:tcPr>
            <w:tcW w:type="dxa" w:w="3041"/>
            <w:shd w:val="clear" w:color="auto" w:fill="E9F0F8"/>
          </w:tcPr>
          <w:p>
            <w:r/>
            <w:r>
              <w:rPr>
                <w:sz w:val="20"/>
              </w:rPr>
              <w:t>Rapport actualisé MO PSIE (juil. 2020 – sept. 2025)</w:t>
            </w:r>
          </w:p>
        </w:tc>
        <w:tc>
          <w:tcPr>
            <w:tcW w:type="dxa" w:w="3041"/>
            <w:shd w:val="clear" w:color="auto" w:fill="E9F0F8"/>
          </w:tcPr>
          <w:p>
            <w:r/>
            <w:r>
              <w:rPr>
                <w:sz w:val="20"/>
              </w:rPr>
              <w:t>Extrants, réalisations, défis, données financières, concentration géographique</w:t>
            </w:r>
          </w:p>
        </w:tc>
      </w:tr>
    </w:tbl>
    <w:p/>
    <w:p>
      <w:pPr>
        <w:pStyle w:val="Heading2"/>
      </w:pPr>
      <w:r>
        <w:rPr>
          <w:b/>
          <w:color w:val="1F7A8C"/>
        </w:rPr>
        <w:t>3.4 Phase 2 — Collecte de données (à venir)</w:t>
      </w:r>
    </w:p>
    <w:p>
      <w:pPr>
        <w:spacing w:after="120"/>
      </w:pPr>
      <w:r>
        <w:rPr>
          <w:sz w:val="22"/>
        </w:rPr>
        <w:t xml:space="preserve">La Phase 2 mobilisera une </w:t>
      </w:r>
      <w:r>
        <w:rPr>
          <w:b/>
          <w:sz w:val="22"/>
        </w:rPr>
        <w:t>approche mixte</w:t>
      </w:r>
      <w:r>
        <w:rPr>
          <w:sz w:val="22"/>
        </w:rPr>
        <w:t xml:space="preserve"> : enquête quantitative (CSPRO, téléphonique) auprès de 174 allocataires et 313 jeunes témoins, entretiens individuels et focus groups avec 7 acteurs clés (3 catégories), dans 4 départements représentant 81,57 % des demandeurs d'emploi. La taille d'échantillon a été calculée selon la formule de Cochran (z=1,96, P=6,76%, d=5%, deff=1,5, N=137 086). Les données seront traitées avec Stata 17 et validées via la méthode des doubles différences.</w:t>
      </w:r>
    </w:p>
    <w:p>
      <w:r>
        <w:br w:type="page"/>
      </w:r>
    </w:p>
    <w:p>
      <w:pPr>
        <w:pStyle w:val="Heading1"/>
      </w:pPr>
      <w:r>
        <w:rPr>
          <w:b/>
          <w:color w:val="1F3564"/>
        </w:rPr>
        <w:t>4. CRITÈRE 1 — PERTINENCE</w:t>
      </w:r>
    </w:p>
    <w:p>
      <w:pPr>
        <w:spacing w:after="120"/>
        <w:ind w:left="283"/>
      </w:pPr>
      <w:r>
        <w:rPr>
          <w:i/>
          <w:color w:val="666666"/>
          <w:sz w:val="20"/>
        </w:rPr>
        <w:t>Définition OCDE/CAD : La pertinence est la mesure dans laquelle les objectifs et la conception d'une intervention correspondent aux besoins, aux politiques et aux priorités des bénéficiaires, du pays partenaire et des partenaires institutionnels.</w:t>
      </w:r>
    </w:p>
    <w:p>
      <w:pPr>
        <w:spacing w:after="120"/>
      </w:pPr>
      <w:r>
        <w:rPr>
          <w:sz w:val="22"/>
        </w:rPr>
        <w:t>L'analyse de la pertinence du PSIE vise à apprécier dans quelle mesure le programme répond aux problèmes documentés du marché de l'emploi au Bénin, si ses bénéficiaires sont clairement identifiés, si des expériences similaires ont déjà été capitalisées, et si la logique causale est solide. Elle repose sur la revue des trois sources primaires disponibles.</w:t>
      </w:r>
    </w:p>
    <w:p>
      <w:pPr>
        <w:pStyle w:val="Heading2"/>
      </w:pPr>
      <w:r>
        <w:rPr>
          <w:b/>
          <w:color w:val="1F7A8C"/>
        </w:rPr>
        <w:t>4.1 Problème à l'origine du PSIE et ampleur documentée</w:t>
      </w:r>
    </w:p>
    <w:p>
      <w:pPr>
        <w:spacing w:after="120"/>
        <w:ind w:left="283"/>
      </w:pPr>
      <w:r>
        <w:rPr>
          <w:i/>
          <w:color w:val="666666"/>
          <w:sz w:val="20"/>
        </w:rPr>
        <w:t>Questions évaluatives 1 et 2 — Quel est le problème à l'origine de la mise en place du PSIE ? L'ampleur de ce problème est-elle bien documentée ?</w:t>
      </w:r>
    </w:p>
    <w:p>
      <w:pPr>
        <w:spacing w:after="120"/>
      </w:pPr>
      <w:r>
        <w:rPr>
          <w:sz w:val="22"/>
        </w:rPr>
        <w:t>Le PSIE a été institué en réponse à une situation de sous-emploi massif des jeunes diplômés au Bénin, documentée de manière rigoureuse dans le document de projet. Le diagnostic met en évidence une triple problématique.</w:t>
      </w:r>
    </w:p>
    <w:p>
      <w:pPr>
        <w:spacing w:after="120"/>
      </w:pPr>
      <w:r>
        <w:rPr>
          <w:sz w:val="22"/>
        </w:rPr>
        <w:t xml:space="preserve">Premièrement, </w:t>
      </w:r>
      <w:r>
        <w:rPr>
          <w:b/>
          <w:sz w:val="22"/>
        </w:rPr>
        <w:t>le marché du travail béninois est structurellement incapable d'absorber ses diplômés</w:t>
      </w:r>
      <w:r>
        <w:rPr>
          <w:sz w:val="22"/>
        </w:rPr>
        <w:t xml:space="preserve">. En 2017, le taux de sous-emploi des jeunes atteignait </w:t>
      </w:r>
      <w:r>
        <w:rPr>
          <w:b/>
          <w:sz w:val="22"/>
        </w:rPr>
        <w:t>72 %</w:t>
      </w:r>
      <w:r>
        <w:rPr>
          <w:sz w:val="22"/>
        </w:rPr>
        <w:t xml:space="preserve"> (INSAE, août 2017), soit près de trois quarts des jeunes actifs en situation d'emploi inadéquate.</w:t>
      </w:r>
    </w:p>
    <w:p>
      <w:pPr>
        <w:spacing w:after="120"/>
      </w:pPr>
      <w:r>
        <w:rPr>
          <w:sz w:val="22"/>
        </w:rPr>
        <w:t xml:space="preserve">Deuxièmement, </w:t>
      </w:r>
      <w:r>
        <w:rPr>
          <w:b/>
          <w:sz w:val="22"/>
        </w:rPr>
        <w:t>l'inadéquation entre les profils offerts et les profils demandés</w:t>
      </w:r>
      <w:r>
        <w:rPr>
          <w:sz w:val="22"/>
        </w:rPr>
        <w:t xml:space="preserve"> est documentée dans le Prodoc. Les jeunes se présentent majoritairement avec des qualifications tertiaires, alors que les entreprises expriment des besoins spécifiques en BAC professionnel, BTS, DUT et ingénieurs.</w:t>
      </w:r>
    </w:p>
    <w:p>
      <w:pPr>
        <w:spacing w:after="120"/>
      </w:pPr>
      <w:r>
        <w:rPr>
          <w:sz w:val="22"/>
        </w:rPr>
        <w:t xml:space="preserve">Troisièmement, </w:t>
      </w:r>
      <w:r>
        <w:rPr>
          <w:b/>
          <w:sz w:val="22"/>
        </w:rPr>
        <w:t>les PME/PMI sont réticentes à embaucher des primo-demandeurs</w:t>
      </w:r>
      <w:r>
        <w:rPr>
          <w:sz w:val="22"/>
        </w:rPr>
        <w:t>, en raison du coût des charges patronales — une défaillance de marché justifiant une intervention publique corrective.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Indicateur de contexte</w:t>
            </w:r>
          </w:p>
        </w:tc>
        <w:tc>
          <w:tcPr>
            <w:tcW w:type="dxa" w:w="3041"/>
            <w:shd w:val="clear" w:color="auto" w:fill="1F3564"/>
          </w:tcPr>
          <w:p>
            <w:r>
              <w:rPr>
                <w:b/>
                <w:color w:val="FFFFFF"/>
                <w:sz w:val="20"/>
              </w:rPr>
              <w:t>Valeur documentée</w:t>
            </w:r>
          </w:p>
        </w:tc>
        <w:tc>
          <w:tcPr>
            <w:tcW w:type="dxa" w:w="3041"/>
            <w:shd w:val="clear" w:color="auto" w:fill="1F3564"/>
          </w:tcPr>
          <w:p>
            <w:r>
              <w:rPr>
                <w:b/>
                <w:color w:val="FFFFFF"/>
                <w:sz w:val="20"/>
              </w:rPr>
              <w:t>Source</w:t>
            </w:r>
          </w:p>
        </w:tc>
      </w:tr>
      <w:tr>
        <w:tc>
          <w:tcPr>
            <w:tcW w:type="dxa" w:w="3041"/>
            <w:shd w:val="clear" w:color="auto" w:fill="E9F0F8"/>
          </w:tcPr>
          <w:p>
            <w:r/>
            <w:r>
              <w:rPr>
                <w:sz w:val="20"/>
              </w:rPr>
              <w:t>Taux de sous-emploi des jeunes</w:t>
            </w:r>
          </w:p>
        </w:tc>
        <w:tc>
          <w:tcPr>
            <w:tcW w:type="dxa" w:w="3041"/>
            <w:shd w:val="clear" w:color="auto" w:fill="E9F0F8"/>
          </w:tcPr>
          <w:p>
            <w:r/>
            <w:r>
              <w:rPr>
                <w:sz w:val="20"/>
              </w:rPr>
              <w:t>72 %</w:t>
            </w:r>
          </w:p>
        </w:tc>
        <w:tc>
          <w:tcPr>
            <w:tcW w:type="dxa" w:w="3041"/>
            <w:shd w:val="clear" w:color="auto" w:fill="E9F0F8"/>
          </w:tcPr>
          <w:p>
            <w:r/>
            <w:r>
              <w:rPr>
                <w:sz w:val="20"/>
              </w:rPr>
              <w:t>INSAE, août 2017</w:t>
            </w:r>
          </w:p>
        </w:tc>
      </w:tr>
      <w:tr>
        <w:tc>
          <w:tcPr>
            <w:tcW w:type="dxa" w:w="3041"/>
          </w:tcPr>
          <w:p>
            <w:r/>
            <w:r>
              <w:rPr>
                <w:sz w:val="20"/>
              </w:rPr>
              <w:t>Population de moins de 40 ans</w:t>
            </w:r>
          </w:p>
        </w:tc>
        <w:tc>
          <w:tcPr>
            <w:tcW w:type="dxa" w:w="3041"/>
          </w:tcPr>
          <w:p>
            <w:r/>
            <w:r>
              <w:rPr>
                <w:sz w:val="20"/>
              </w:rPr>
              <w:t>4,08 millions (34 % de la population)</w:t>
            </w:r>
          </w:p>
        </w:tc>
        <w:tc>
          <w:tcPr>
            <w:tcW w:type="dxa" w:w="3041"/>
          </w:tcPr>
          <w:p>
            <w:r/>
            <w:r>
              <w:rPr>
                <w:sz w:val="20"/>
              </w:rPr>
              <w:t>EMICOV 2015</w:t>
            </w:r>
          </w:p>
        </w:tc>
      </w:tr>
      <w:tr>
        <w:tc>
          <w:tcPr>
            <w:tcW w:type="dxa" w:w="3041"/>
            <w:shd w:val="clear" w:color="auto" w:fill="E9F0F8"/>
          </w:tcPr>
          <w:p>
            <w:r/>
            <w:r>
              <w:rPr>
                <w:sz w:val="20"/>
              </w:rPr>
              <w:t>Candidats éligibles interviewés (2020–2025)</w:t>
            </w:r>
          </w:p>
        </w:tc>
        <w:tc>
          <w:tcPr>
            <w:tcW w:type="dxa" w:w="3041"/>
            <w:shd w:val="clear" w:color="auto" w:fill="E9F0F8"/>
          </w:tcPr>
          <w:p>
            <w:r/>
            <w:r>
              <w:rPr>
                <w:sz w:val="20"/>
              </w:rPr>
              <w:t>137 086</w:t>
            </w:r>
          </w:p>
        </w:tc>
        <w:tc>
          <w:tcPr>
            <w:tcW w:type="dxa" w:w="3041"/>
            <w:shd w:val="clear" w:color="auto" w:fill="E9F0F8"/>
          </w:tcPr>
          <w:p>
            <w:r/>
            <w:r>
              <w:rPr>
                <w:sz w:val="20"/>
              </w:rPr>
              <w:t>Rapport MO, 2025</w:t>
            </w:r>
          </w:p>
        </w:tc>
      </w:tr>
      <w:tr>
        <w:tc>
          <w:tcPr>
            <w:tcW w:type="dxa" w:w="3041"/>
          </w:tcPr>
          <w:p>
            <w:r/>
            <w:r>
              <w:rPr>
                <w:sz w:val="20"/>
              </w:rPr>
              <w:t>Entreprises participantes</w:t>
            </w:r>
          </w:p>
        </w:tc>
        <w:tc>
          <w:tcPr>
            <w:tcW w:type="dxa" w:w="3041"/>
          </w:tcPr>
          <w:p>
            <w:r/>
            <w:r>
              <w:rPr>
                <w:sz w:val="20"/>
              </w:rPr>
              <w:t>2 067 entreprises sur 5 ans</w:t>
            </w:r>
          </w:p>
        </w:tc>
        <w:tc>
          <w:tcPr>
            <w:tcW w:type="dxa" w:w="3041"/>
          </w:tcPr>
          <w:p>
            <w:r/>
            <w:r>
              <w:rPr>
                <w:sz w:val="20"/>
              </w:rPr>
              <w:t>Rapport MO, 2025</w:t>
            </w:r>
          </w:p>
        </w:tc>
      </w:tr>
    </w:tbl>
    <w:p/>
    <w:p>
      <w:pPr>
        <w:pStyle w:val="Heading2"/>
      </w:pPr>
      <w:r>
        <w:rPr>
          <w:b/>
          <w:color w:val="1F7A8C"/>
        </w:rPr>
        <w:t>4.2 Bénéficiaires directs et indirects du PSIE</w:t>
      </w:r>
    </w:p>
    <w:p>
      <w:pPr>
        <w:spacing w:after="120"/>
        <w:ind w:left="283"/>
      </w:pPr>
      <w:r>
        <w:rPr>
          <w:i/>
          <w:color w:val="666666"/>
          <w:sz w:val="20"/>
        </w:rPr>
        <w:t>Question évaluative 3 — Les bénéficiaires directs et indirects des actions du PSIE sont-ils clairement identifiés ?</w:t>
      </w:r>
    </w:p>
    <w:p>
      <w:pPr>
        <w:spacing w:after="120"/>
      </w:pPr>
      <w:r>
        <w:rPr>
          <w:sz w:val="22"/>
        </w:rPr>
        <w:t>Le Prodoc identifie les bénéficiaires avec précision, en distinguant deux catégories.</w:t>
      </w:r>
    </w:p>
    <w:p>
      <w:pPr>
        <w:spacing w:after="120"/>
      </w:pPr>
      <w:r>
        <w:rPr>
          <w:b/>
          <w:sz w:val="22"/>
        </w:rPr>
        <w:t>Bénéficiaires directs :</w:t>
      </w:r>
      <w:r>
        <w:rPr>
          <w:sz w:val="22"/>
        </w:rPr>
        <w:t xml:space="preserve"> (1) les </w:t>
      </w:r>
      <w:r>
        <w:rPr>
          <w:b/>
          <w:sz w:val="22"/>
        </w:rPr>
        <w:t>jeunes allocataires</w:t>
      </w:r>
      <w:r>
        <w:rPr>
          <w:sz w:val="22"/>
        </w:rPr>
        <w:t xml:space="preserve"> — 18-35 ans, titulaires d'un diplôme BAC professionnel à Master, en situation de chômage ou sous-emploi, ayant passé les étapes de sélection ; (2) les </w:t>
      </w:r>
      <w:r>
        <w:rPr>
          <w:b/>
          <w:sz w:val="22"/>
        </w:rPr>
        <w:t>entreprises bénéficiaires</w:t>
      </w:r>
      <w:r>
        <w:rPr>
          <w:sz w:val="22"/>
        </w:rPr>
        <w:t xml:space="preserve"> — toute entreprise formelle béninoise inscrite au RCCM et affiliée à la CNSS.</w:t>
      </w:r>
    </w:p>
    <w:p>
      <w:pPr>
        <w:spacing w:after="120"/>
      </w:pPr>
      <w:r>
        <w:rPr>
          <w:b/>
          <w:sz w:val="22"/>
        </w:rPr>
        <w:t>Bénéficiaires indirects :</w:t>
      </w:r>
      <w:r>
        <w:rPr>
          <w:sz w:val="22"/>
        </w:rPr>
        <w:t xml:space="preserve"> l'État béninois (réduction du stock de chômeurs, élargissement de l'assiette fiscale), l'ANPE, la CNSS et les ménages des allocataires.</w:t>
      </w:r>
    </w:p>
    <w:p>
      <w:pPr>
        <w:pStyle w:val="Heading2"/>
      </w:pPr>
      <w:r>
        <w:rPr>
          <w:b/>
          <w:color w:val="1F7A8C"/>
        </w:rPr>
        <w:t>4.3 Capitalisation des expériences similaires</w:t>
      </w:r>
    </w:p>
    <w:p>
      <w:pPr>
        <w:spacing w:after="120"/>
        <w:ind w:left="283"/>
      </w:pPr>
      <w:r>
        <w:rPr>
          <w:i/>
          <w:color w:val="666666"/>
          <w:sz w:val="20"/>
        </w:rPr>
        <w:t>Question évaluative 4 — A-t-on déjà étudié empiriquement l'effet d'une telle approche ?</w:t>
      </w:r>
    </w:p>
    <w:p>
      <w:pPr>
        <w:spacing w:after="120"/>
      </w:pPr>
      <w:r>
        <w:rPr>
          <w:sz w:val="22"/>
        </w:rPr>
        <w:t xml:space="preserve">Le Prodoc s'appuie explicitement sur les leçons du </w:t>
      </w:r>
      <w:r>
        <w:rPr>
          <w:b/>
          <w:sz w:val="22"/>
        </w:rPr>
        <w:t>Programme d'Appui à l'Emploi Salarié (PAES)</w:t>
      </w:r>
      <w:r>
        <w:rPr>
          <w:sz w:val="22"/>
        </w:rPr>
        <w:t>, précédent national mis en œuvre à partir de 2009. Trois améliorations principales ont été intégrées : (1) extension à une prise en charge salariale à 100 % vs partielle pour le PAES ; (2) allongement de la durée d'immersion à 24 mois ; (3) institutionnalisation du mécanisme de tiers-payant via le Trésor public.</w:t>
      </w:r>
    </w:p>
    <w:p>
      <w:pPr>
        <w:spacing w:after="120"/>
      </w:pPr>
      <w:r>
        <w:rPr>
          <w:sz w:val="22"/>
        </w:rPr>
        <w:t>Il convient de noter qu'</w:t>
      </w:r>
      <w:r>
        <w:rPr>
          <w:b/>
          <w:sz w:val="22"/>
        </w:rPr>
        <w:t>aucune évaluation à mi-parcours du PSIE</w:t>
      </w:r>
      <w:r>
        <w:rPr>
          <w:sz w:val="22"/>
        </w:rPr>
        <w:t xml:space="preserve"> n'a été réalisée sur la période 2020-2025, constituant une limite pour l'appréciation des effets capitalisés.</w:t>
      </w:r>
    </w:p>
    <w:p>
      <w:pPr>
        <w:pStyle w:val="Heading2"/>
      </w:pPr>
      <w:r>
        <w:rPr>
          <w:b/>
          <w:color w:val="1F7A8C"/>
        </w:rPr>
        <w:t>4.4 Rationnel d'intervention et logique causale</w:t>
      </w:r>
    </w:p>
    <w:p>
      <w:pPr>
        <w:spacing w:after="120"/>
        <w:ind w:left="283"/>
      </w:pPr>
      <w:r>
        <w:rPr>
          <w:i/>
          <w:color w:val="666666"/>
          <w:sz w:val="20"/>
        </w:rPr>
        <w:t>Question évaluative 5 — Quel est le rationnel qui relie logiquement la raison d'être, les cibles, les objectifs et les effets attendus ?</w:t>
      </w:r>
    </w:p>
    <w:p>
      <w:pPr>
        <w:spacing w:after="120"/>
      </w:pPr>
      <w:r>
        <w:rPr>
          <w:sz w:val="22"/>
        </w:rPr>
        <w:t xml:space="preserve">Le rationnel repose sur une logique causale claire : </w:t>
      </w:r>
      <w:r>
        <w:rPr>
          <w:b/>
          <w:sz w:val="22"/>
        </w:rPr>
        <w:t>si</w:t>
      </w:r>
      <w:r>
        <w:rPr>
          <w:sz w:val="22"/>
        </w:rPr>
        <w:t xml:space="preserve"> l'État prend en charge le coût salarial, </w:t>
      </w:r>
      <w:r>
        <w:rPr>
          <w:b/>
          <w:sz w:val="22"/>
        </w:rPr>
        <w:t>alors</w:t>
      </w:r>
      <w:r>
        <w:rPr>
          <w:sz w:val="22"/>
        </w:rPr>
        <w:t xml:space="preserve"> les entreprises accueillent des primo-demandeurs ; </w:t>
      </w:r>
      <w:r>
        <w:rPr>
          <w:b/>
          <w:sz w:val="22"/>
        </w:rPr>
        <w:t>si</w:t>
      </w:r>
      <w:r>
        <w:rPr>
          <w:sz w:val="22"/>
        </w:rPr>
        <w:t xml:space="preserve"> les jeunes travaillent 24 mois en entreprise, </w:t>
      </w:r>
      <w:r>
        <w:rPr>
          <w:b/>
          <w:sz w:val="22"/>
        </w:rPr>
        <w:t>alors</w:t>
      </w:r>
      <w:r>
        <w:rPr>
          <w:sz w:val="22"/>
        </w:rPr>
        <w:t xml:space="preserve"> leur employabilité augmente et le risque de chômage de longue durée diminue.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Problème identifié</w:t>
            </w:r>
          </w:p>
        </w:tc>
        <w:tc>
          <w:tcPr>
            <w:tcW w:type="dxa" w:w="3041"/>
            <w:shd w:val="clear" w:color="auto" w:fill="1F3564"/>
          </w:tcPr>
          <w:p>
            <w:r>
              <w:rPr>
                <w:b/>
                <w:color w:val="FFFFFF"/>
                <w:sz w:val="20"/>
              </w:rPr>
              <w:t>Mécanisme d'intervention</w:t>
            </w:r>
          </w:p>
        </w:tc>
        <w:tc>
          <w:tcPr>
            <w:tcW w:type="dxa" w:w="3041"/>
            <w:shd w:val="clear" w:color="auto" w:fill="1F3564"/>
          </w:tcPr>
          <w:p>
            <w:r>
              <w:rPr>
                <w:b/>
                <w:color w:val="FFFFFF"/>
                <w:sz w:val="20"/>
              </w:rPr>
              <w:t>Effet attendu</w:t>
            </w:r>
          </w:p>
        </w:tc>
      </w:tr>
      <w:tr>
        <w:tc>
          <w:tcPr>
            <w:tcW w:type="dxa" w:w="3041"/>
            <w:shd w:val="clear" w:color="auto" w:fill="E9F0F8"/>
          </w:tcPr>
          <w:p>
            <w:r/>
            <w:r>
              <w:rPr>
                <w:sz w:val="20"/>
              </w:rPr>
              <w:t>Réticence des entreprises (coût salarial)</w:t>
            </w:r>
          </w:p>
        </w:tc>
        <w:tc>
          <w:tcPr>
            <w:tcW w:type="dxa" w:w="3041"/>
            <w:shd w:val="clear" w:color="auto" w:fill="E9F0F8"/>
          </w:tcPr>
          <w:p>
            <w:r/>
            <w:r>
              <w:rPr>
                <w:sz w:val="20"/>
              </w:rPr>
              <w:t>Prise en charge totale des salaires par l'État (24 mois)</w:t>
            </w:r>
          </w:p>
        </w:tc>
        <w:tc>
          <w:tcPr>
            <w:tcW w:type="dxa" w:w="3041"/>
            <w:shd w:val="clear" w:color="auto" w:fill="E9F0F8"/>
          </w:tcPr>
          <w:p>
            <w:r/>
            <w:r>
              <w:rPr>
                <w:sz w:val="20"/>
              </w:rPr>
              <w:t>Augmentation de la demande de jeunes en entreprise</w:t>
            </w:r>
          </w:p>
        </w:tc>
      </w:tr>
      <w:tr>
        <w:tc>
          <w:tcPr>
            <w:tcW w:type="dxa" w:w="3041"/>
          </w:tcPr>
          <w:p>
            <w:r/>
            <w:r>
              <w:rPr>
                <w:sz w:val="20"/>
              </w:rPr>
              <w:t>Inadéquation des profils à l'expérience</w:t>
            </w:r>
          </w:p>
        </w:tc>
        <w:tc>
          <w:tcPr>
            <w:tcW w:type="dxa" w:w="3041"/>
          </w:tcPr>
          <w:p>
            <w:r/>
            <w:r>
              <w:rPr>
                <w:sz w:val="20"/>
              </w:rPr>
              <w:t>Immersion professionnelle 24 mois + accompagnement employabilité</w:t>
            </w:r>
          </w:p>
        </w:tc>
        <w:tc>
          <w:tcPr>
            <w:tcW w:type="dxa" w:w="3041"/>
          </w:tcPr>
          <w:p>
            <w:r/>
            <w:r>
              <w:rPr>
                <w:sz w:val="20"/>
              </w:rPr>
              <w:t>Développement des compétences métiers et transversales</w:t>
            </w:r>
          </w:p>
        </w:tc>
      </w:tr>
      <w:tr>
        <w:tc>
          <w:tcPr>
            <w:tcW w:type="dxa" w:w="3041"/>
            <w:shd w:val="clear" w:color="auto" w:fill="E9F0F8"/>
          </w:tcPr>
          <w:p>
            <w:r/>
            <w:r>
              <w:rPr>
                <w:sz w:val="20"/>
              </w:rPr>
              <w:t>Stock de diplômés chômeurs</w:t>
            </w:r>
          </w:p>
        </w:tc>
        <w:tc>
          <w:tcPr>
            <w:tcW w:type="dxa" w:w="3041"/>
            <w:shd w:val="clear" w:color="auto" w:fill="E9F0F8"/>
          </w:tcPr>
          <w:p>
            <w:r/>
            <w:r>
              <w:rPr>
                <w:sz w:val="20"/>
              </w:rPr>
              <w:t>Ciblage des jeunes 18-35 ans, BAC prof. à Master</w:t>
            </w:r>
          </w:p>
        </w:tc>
        <w:tc>
          <w:tcPr>
            <w:tcW w:type="dxa" w:w="3041"/>
            <w:shd w:val="clear" w:color="auto" w:fill="E9F0F8"/>
          </w:tcPr>
          <w:p>
            <w:r/>
            <w:r>
              <w:rPr>
                <w:sz w:val="20"/>
              </w:rPr>
              <w:t>Réduction du taux de sous-emploi des jeunes diplômés</w:t>
            </w:r>
          </w:p>
        </w:tc>
      </w:tr>
    </w:tbl>
    <w:p/>
    <w:p>
      <w:pPr>
        <w:pStyle w:val="Heading2"/>
      </w:pPr>
      <w:r>
        <w:rPr>
          <w:b/>
          <w:color w:val="1F7A8C"/>
        </w:rPr>
        <w:t>4.5 Jugement global — Pertinence</w:t>
      </w:r>
    </w:p>
    <w:p>
      <w:pPr>
        <w:spacing w:after="120"/>
      </w:pPr>
      <w:r>
        <w:rPr>
          <w:sz w:val="22"/>
        </w:rPr>
        <w:t xml:space="preserve">L'analyse documentaire conduit au constat que </w:t>
      </w:r>
      <w:r>
        <w:rPr>
          <w:b/>
          <w:sz w:val="22"/>
        </w:rPr>
        <w:t>le PSIE présente une pertinence élevée</w:t>
      </w:r>
      <w:r>
        <w:rPr>
          <w:sz w:val="22"/>
        </w:rPr>
        <w:t>. Le programme repose sur un diagnostic chiffré rigoureux, identifie clairement ses bénéficiaires, s'appuie sur les leçons du PAES, et déploie un rationnel bien articulé. La prolongation en 2025 et la participation de 2 067 entreprises sont les preuves empiriques les plus éloquentes de cette pertinence.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Dimension analysée</w:t>
            </w:r>
          </w:p>
        </w:tc>
        <w:tc>
          <w:tcPr>
            <w:tcW w:type="dxa" w:w="3041"/>
            <w:shd w:val="clear" w:color="auto" w:fill="1F3564"/>
          </w:tcPr>
          <w:p>
            <w:r>
              <w:rPr>
                <w:b/>
                <w:color w:val="FFFFFF"/>
                <w:sz w:val="20"/>
              </w:rPr>
              <w:t>Jugement</w:t>
            </w:r>
          </w:p>
        </w:tc>
        <w:tc>
          <w:tcPr>
            <w:tcW w:type="dxa" w:w="3041"/>
            <w:shd w:val="clear" w:color="auto" w:fill="1F3564"/>
          </w:tcPr>
          <w:p>
            <w:r>
              <w:rPr>
                <w:b/>
                <w:color w:val="FFFFFF"/>
                <w:sz w:val="20"/>
              </w:rPr>
              <w:t>Justification principale</w:t>
            </w:r>
          </w:p>
        </w:tc>
      </w:tr>
      <w:tr>
        <w:tc>
          <w:tcPr>
            <w:tcW w:type="dxa" w:w="3041"/>
            <w:shd w:val="clear" w:color="auto" w:fill="E9F0F8"/>
          </w:tcPr>
          <w:p>
            <w:r/>
            <w:r>
              <w:rPr>
                <w:sz w:val="20"/>
              </w:rPr>
              <w:t>Adéquation au problème (QE1+QE2)</w:t>
            </w:r>
          </w:p>
        </w:tc>
        <w:tc>
          <w:tcPr>
            <w:tcW w:type="dxa" w:w="3041"/>
            <w:shd w:val="clear" w:color="auto" w:fill="E9F0F8"/>
          </w:tcPr>
          <w:p>
            <w:r/>
            <w:r>
              <w:rPr>
                <w:b/>
                <w:sz w:val="20"/>
              </w:rPr>
              <w:t>ÉLEVÉ</w:t>
            </w:r>
          </w:p>
        </w:tc>
        <w:tc>
          <w:tcPr>
            <w:tcW w:type="dxa" w:w="3041"/>
            <w:shd w:val="clear" w:color="auto" w:fill="E9F0F8"/>
          </w:tcPr>
          <w:p>
            <w:r/>
            <w:r>
              <w:rPr>
                <w:sz w:val="20"/>
              </w:rPr>
              <w:t>Taux de sous-emploi 72 %, triple défaillance documentée, diagnostic robuste</w:t>
            </w:r>
          </w:p>
        </w:tc>
      </w:tr>
      <w:tr>
        <w:tc>
          <w:tcPr>
            <w:tcW w:type="dxa" w:w="3041"/>
          </w:tcPr>
          <w:p>
            <w:r/>
            <w:r>
              <w:rPr>
                <w:sz w:val="20"/>
              </w:rPr>
              <w:t>Identification des bénéficiaires (QE3)</w:t>
            </w:r>
          </w:p>
        </w:tc>
        <w:tc>
          <w:tcPr>
            <w:tcW w:type="dxa" w:w="3041"/>
          </w:tcPr>
          <w:p>
            <w:r/>
            <w:r>
              <w:rPr>
                <w:b/>
                <w:sz w:val="20"/>
              </w:rPr>
              <w:t>ÉLEVÉ</w:t>
            </w:r>
          </w:p>
        </w:tc>
        <w:tc>
          <w:tcPr>
            <w:tcW w:type="dxa" w:w="3041"/>
          </w:tcPr>
          <w:p>
            <w:r/>
            <w:r>
              <w:rPr>
                <w:sz w:val="20"/>
              </w:rPr>
              <w:t>Bénéficiaires directs et indirects clairement définis et hiérarchisés</w:t>
            </w:r>
          </w:p>
        </w:tc>
      </w:tr>
      <w:tr>
        <w:tc>
          <w:tcPr>
            <w:tcW w:type="dxa" w:w="3041"/>
            <w:shd w:val="clear" w:color="auto" w:fill="E9F0F8"/>
          </w:tcPr>
          <w:p>
            <w:r/>
            <w:r>
              <w:rPr>
                <w:sz w:val="20"/>
              </w:rPr>
              <w:t>Capitalisation des expériences (QE4)</w:t>
            </w:r>
          </w:p>
        </w:tc>
        <w:tc>
          <w:tcPr>
            <w:tcW w:type="dxa" w:w="3041"/>
            <w:shd w:val="clear" w:color="auto" w:fill="E9F0F8"/>
          </w:tcPr>
          <w:p>
            <w:r/>
            <w:r>
              <w:rPr>
                <w:b/>
                <w:sz w:val="20"/>
              </w:rPr>
              <w:t>ÉLEVÉ</w:t>
            </w:r>
          </w:p>
        </w:tc>
        <w:tc>
          <w:tcPr>
            <w:tcW w:type="dxa" w:w="3041"/>
            <w:shd w:val="clear" w:color="auto" w:fill="E9F0F8"/>
          </w:tcPr>
          <w:p>
            <w:r/>
            <w:r>
              <w:rPr>
                <w:sz w:val="20"/>
              </w:rPr>
              <w:t>Apprentissage du PAES intégré ; effets secondaires documentés</w:t>
            </w:r>
          </w:p>
        </w:tc>
      </w:tr>
      <w:tr>
        <w:tc>
          <w:tcPr>
            <w:tcW w:type="dxa" w:w="3041"/>
          </w:tcPr>
          <w:p>
            <w:r/>
            <w:r>
              <w:rPr>
                <w:sz w:val="20"/>
              </w:rPr>
              <w:t>Rationnel d'intervention (QE5)</w:t>
            </w:r>
          </w:p>
        </w:tc>
        <w:tc>
          <w:tcPr>
            <w:tcW w:type="dxa" w:w="3041"/>
          </w:tcPr>
          <w:p>
            <w:r/>
            <w:r>
              <w:rPr>
                <w:b/>
                <w:sz w:val="20"/>
              </w:rPr>
              <w:t>ÉLEVÉ</w:t>
            </w:r>
          </w:p>
        </w:tc>
        <w:tc>
          <w:tcPr>
            <w:tcW w:type="dxa" w:w="3041"/>
          </w:tcPr>
          <w:p>
            <w:r/>
            <w:r>
              <w:rPr>
                <w:sz w:val="20"/>
              </w:rPr>
              <w:t>Logique causale claire ; mécanisme adapté aux défaillances de marché</w:t>
            </w:r>
          </w:p>
        </w:tc>
      </w:tr>
      <w:tr>
        <w:tc>
          <w:tcPr>
            <w:tcW w:type="dxa" w:w="3041"/>
            <w:shd w:val="clear" w:color="auto" w:fill="E9F0F8"/>
          </w:tcPr>
          <w:p>
            <w:r/>
            <w:r>
              <w:rPr>
                <w:b/>
                <w:sz w:val="20"/>
              </w:rPr>
              <w:t>JUGEMENT GLOBAL</w:t>
            </w:r>
          </w:p>
        </w:tc>
        <w:tc>
          <w:tcPr>
            <w:tcW w:type="dxa" w:w="3041"/>
            <w:shd w:val="clear" w:color="auto" w:fill="E9F0F8"/>
          </w:tcPr>
          <w:p>
            <w:r/>
            <w:r>
              <w:rPr>
                <w:b/>
                <w:sz w:val="20"/>
              </w:rPr>
              <w:t>ÉLEVÉ</w:t>
            </w:r>
          </w:p>
        </w:tc>
        <w:tc>
          <w:tcPr>
            <w:tcW w:type="dxa" w:w="3041"/>
            <w:shd w:val="clear" w:color="auto" w:fill="E9F0F8"/>
          </w:tcPr>
          <w:p>
            <w:r/>
            <w:r>
              <w:rPr>
                <w:sz w:val="20"/>
              </w:rPr>
              <w:t>Le PSIE répond précisément aux besoins, aux priorités et au contexte béninois</w:t>
            </w:r>
          </w:p>
        </w:tc>
      </w:tr>
    </w:tbl>
    <w:p/>
    <w:p>
      <w:r>
        <w:br w:type="page"/>
      </w:r>
    </w:p>
    <w:p>
      <w:pPr>
        <w:pStyle w:val="Heading1"/>
      </w:pPr>
      <w:r>
        <w:rPr>
          <w:b/>
          <w:color w:val="1F3564"/>
        </w:rPr>
        <w:t>5. CRITÈRE 2 — COHÉRENCE</w:t>
      </w:r>
    </w:p>
    <w:p>
      <w:pPr>
        <w:spacing w:after="120"/>
        <w:ind w:left="283"/>
      </w:pPr>
      <w:r>
        <w:rPr>
          <w:i/>
          <w:color w:val="666666"/>
          <w:sz w:val="20"/>
        </w:rPr>
        <w:t>Définition OCDE/CAD : La cohérence est la compatibilité de l'intervention avec d'autres interventions d'un pays, d'un secteur ou d'une institution. Elle distingue la cohérence interne et la cohérence externe.</w:t>
      </w:r>
    </w:p>
    <w:p>
      <w:pPr>
        <w:spacing w:after="120"/>
      </w:pPr>
      <w:r>
        <w:rPr>
          <w:sz w:val="22"/>
        </w:rPr>
        <w:t>L'analyse de la cohérence vise à apprécier la solidité de la logique interne du PSIE et son alignement avec les stratégies nationales de l'emploi, les priorités de développement national et les engagements internationaux du Bénin.</w:t>
      </w:r>
    </w:p>
    <w:p>
      <w:pPr>
        <w:pStyle w:val="Heading2"/>
      </w:pPr>
      <w:r>
        <w:rPr>
          <w:b/>
          <w:color w:val="1F7A8C"/>
        </w:rPr>
        <w:t>5.1 Cohérence interne — analyse de la chaîne de résultats du PSIE</w:t>
      </w:r>
    </w:p>
    <w:p>
      <w:pPr>
        <w:spacing w:after="120"/>
        <w:ind w:left="283"/>
      </w:pPr>
      <w:r>
        <w:rPr>
          <w:i/>
          <w:color w:val="666666"/>
          <w:sz w:val="20"/>
        </w:rPr>
        <w:t>Question évaluative 6 — Quel est le degré de cohérence interne du PSIE ?</w:t>
      </w:r>
    </w:p>
    <w:p>
      <w:pPr>
        <w:spacing w:after="120"/>
      </w:pPr>
      <w:r>
        <w:rPr>
          <w:sz w:val="22"/>
        </w:rPr>
        <w:t>Le cadre logique du PSIE présente une cohérence interne globalement satisfaisante. L'objectif général est décliné de manière cohérente à travers deux objectifs spécifiques complémentaires : OS1 (améliorer l'employabilité) et OS2 (soutien financier à la prise en charge salariale), répondant systémiquement aux deux dimensions du problème identifié.</w:t>
      </w:r>
    </w:p>
    <w:p>
      <w:pPr>
        <w:spacing w:after="120"/>
      </w:pPr>
      <w:r>
        <w:rPr>
          <w:sz w:val="22"/>
        </w:rPr>
        <w:t xml:space="preserve">Le cadre logique identifie explicitement les </w:t>
      </w:r>
      <w:r>
        <w:rPr>
          <w:b/>
          <w:sz w:val="22"/>
        </w:rPr>
        <w:t>hypothèses critiques</w:t>
      </w:r>
      <w:r>
        <w:rPr>
          <w:sz w:val="22"/>
        </w:rPr>
        <w:t>, bonne pratique confirmée par les réalisations : participation des entreprises (2 067) ✅, disponibilité des candidats (137 086) ✅, régularité des paiements (18,3 Mds FCFA) ✅, risque d'abandon ⚠️ (documenté mais non quantifié).</w:t>
      </w:r>
    </w:p>
    <w:p>
      <w:pPr>
        <w:spacing w:after="120"/>
      </w:pPr>
      <w:r>
        <w:rPr>
          <w:b/>
          <w:sz w:val="22"/>
        </w:rPr>
        <w:t>Observation :</w:t>
      </w:r>
      <w:r>
        <w:rPr>
          <w:sz w:val="22"/>
        </w:rPr>
        <w:t xml:space="preserve"> La grille salariale a été revue à la hausse (de 200 000 à 250 000 FCFA pour le niveau Master) sans avenant formalisé au cadre logique — une adaptation pragmatique cohérente avec les réalités du marché, mais créant un écart non tracé par rapport à la programmation initiale.</w:t>
      </w:r>
    </w:p>
    <w:p>
      <w:pPr>
        <w:pStyle w:val="Heading2"/>
      </w:pPr>
      <w:r>
        <w:rPr>
          <w:b/>
          <w:color w:val="1F7A8C"/>
        </w:rPr>
        <w:t>5.2 Cohérence externe — intégration des stratégies du secteur de l'emploi</w:t>
      </w:r>
    </w:p>
    <w:p>
      <w:pPr>
        <w:spacing w:after="120"/>
        <w:ind w:left="283"/>
      </w:pPr>
      <w:r>
        <w:rPr>
          <w:i/>
          <w:color w:val="666666"/>
          <w:sz w:val="20"/>
        </w:rPr>
        <w:t>Question évaluative 7 — Dans quelle mesure le PSIE intègre-t-il les stratégies du secteur de l'emploi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Objectif PNE 2017-2026</w:t>
            </w:r>
          </w:p>
        </w:tc>
        <w:tc>
          <w:tcPr>
            <w:tcW w:type="dxa" w:w="3041"/>
            <w:shd w:val="clear" w:color="auto" w:fill="1F3564"/>
          </w:tcPr>
          <w:p>
            <w:r>
              <w:rPr>
                <w:b/>
                <w:color w:val="FFFFFF"/>
                <w:sz w:val="20"/>
              </w:rPr>
              <w:t>Pris en compte par le PSIE</w:t>
            </w:r>
          </w:p>
        </w:tc>
        <w:tc>
          <w:tcPr>
            <w:tcW w:type="dxa" w:w="3041"/>
            <w:shd w:val="clear" w:color="auto" w:fill="1F3564"/>
          </w:tcPr>
          <w:p>
            <w:r>
              <w:rPr>
                <w:b/>
                <w:color w:val="FFFFFF"/>
                <w:sz w:val="20"/>
              </w:rPr>
              <w:t>Modalité</w:t>
            </w:r>
          </w:p>
        </w:tc>
      </w:tr>
      <w:tr>
        <w:tc>
          <w:tcPr>
            <w:tcW w:type="dxa" w:w="3041"/>
            <w:shd w:val="clear" w:color="auto" w:fill="E9F0F8"/>
          </w:tcPr>
          <w:p>
            <w:r/>
            <w:r>
              <w:rPr>
                <w:sz w:val="20"/>
              </w:rPr>
              <w:t>Améliorer l'employabilité des jeunes diplômés</w:t>
            </w:r>
          </w:p>
        </w:tc>
        <w:tc>
          <w:tcPr>
            <w:tcW w:type="dxa" w:w="3041"/>
            <w:shd w:val="clear" w:color="auto" w:fill="E9F0F8"/>
          </w:tcPr>
          <w:p>
            <w:r/>
            <w:r>
              <w:rPr>
                <w:sz w:val="20"/>
              </w:rPr>
              <w:t>✅ Oui</w:t>
            </w:r>
          </w:p>
        </w:tc>
        <w:tc>
          <w:tcPr>
            <w:tcW w:type="dxa" w:w="3041"/>
            <w:shd w:val="clear" w:color="auto" w:fill="E9F0F8"/>
          </w:tcPr>
          <w:p>
            <w:r/>
            <w:r>
              <w:rPr>
                <w:sz w:val="20"/>
              </w:rPr>
              <w:t>Accompagnement TRE, coaching, tutorat (OS1)</w:t>
            </w:r>
          </w:p>
        </w:tc>
      </w:tr>
      <w:tr>
        <w:tc>
          <w:tcPr>
            <w:tcW w:type="dxa" w:w="3041"/>
          </w:tcPr>
          <w:p>
            <w:r/>
            <w:r>
              <w:rPr>
                <w:sz w:val="20"/>
              </w:rPr>
              <w:t>Réduire les barrières à l'embauche dans les entreprises formelles</w:t>
            </w:r>
          </w:p>
        </w:tc>
        <w:tc>
          <w:tcPr>
            <w:tcW w:type="dxa" w:w="3041"/>
          </w:tcPr>
          <w:p>
            <w:r/>
            <w:r>
              <w:rPr>
                <w:sz w:val="20"/>
              </w:rPr>
              <w:t>✅ Oui</w:t>
            </w:r>
          </w:p>
        </w:tc>
        <w:tc>
          <w:tcPr>
            <w:tcW w:type="dxa" w:w="3041"/>
          </w:tcPr>
          <w:p>
            <w:r/>
            <w:r>
              <w:rPr>
                <w:sz w:val="20"/>
              </w:rPr>
              <w:t>Prise en charge salariale 100 % sur 24 mois (OS2)</w:t>
            </w:r>
          </w:p>
        </w:tc>
      </w:tr>
      <w:tr>
        <w:tc>
          <w:tcPr>
            <w:tcW w:type="dxa" w:w="3041"/>
            <w:shd w:val="clear" w:color="auto" w:fill="E9F0F8"/>
          </w:tcPr>
          <w:p>
            <w:r/>
            <w:r>
              <w:rPr>
                <w:sz w:val="20"/>
              </w:rPr>
              <w:t>Formaliser l'emploi et élargir la protection sociale</w:t>
            </w:r>
          </w:p>
        </w:tc>
        <w:tc>
          <w:tcPr>
            <w:tcW w:type="dxa" w:w="3041"/>
            <w:shd w:val="clear" w:color="auto" w:fill="E9F0F8"/>
          </w:tcPr>
          <w:p>
            <w:r/>
            <w:r>
              <w:rPr>
                <w:sz w:val="20"/>
              </w:rPr>
              <w:t>✅ Oui</w:t>
            </w:r>
          </w:p>
        </w:tc>
        <w:tc>
          <w:tcPr>
            <w:tcW w:type="dxa" w:w="3041"/>
            <w:shd w:val="clear" w:color="auto" w:fill="E9F0F8"/>
          </w:tcPr>
          <w:p>
            <w:r/>
            <w:r>
              <w:rPr>
                <w:sz w:val="20"/>
              </w:rPr>
              <w:t>Affiliation CNSS et IRPP pour tous les allocataires</w:t>
            </w:r>
          </w:p>
        </w:tc>
      </w:tr>
      <w:tr>
        <w:tc>
          <w:tcPr>
            <w:tcW w:type="dxa" w:w="3041"/>
          </w:tcPr>
          <w:p>
            <w:r/>
            <w:r>
              <w:rPr>
                <w:sz w:val="20"/>
              </w:rPr>
              <w:t>Déploiement territorial équitable</w:t>
            </w:r>
          </w:p>
        </w:tc>
        <w:tc>
          <w:tcPr>
            <w:tcW w:type="dxa" w:w="3041"/>
          </w:tcPr>
          <w:p>
            <w:r/>
            <w:r>
              <w:rPr>
                <w:sz w:val="20"/>
              </w:rPr>
              <w:t>⚠️ Partiel</w:t>
            </w:r>
          </w:p>
        </w:tc>
        <w:tc>
          <w:tcPr>
            <w:tcW w:type="dxa" w:w="3041"/>
          </w:tcPr>
          <w:p>
            <w:r/>
            <w:r>
              <w:rPr>
                <w:sz w:val="20"/>
              </w:rPr>
              <w:t>Couverture nationale via ANPE, mais 85,5 % dans 2 départements</w:t>
            </w:r>
          </w:p>
        </w:tc>
      </w:tr>
    </w:tbl>
    <w:p/>
    <w:p>
      <w:pPr>
        <w:spacing w:after="120"/>
      </w:pPr>
      <w:r>
        <w:rPr>
          <w:sz w:val="22"/>
        </w:rPr>
        <w:t xml:space="preserve">L'intégration des activités du PSIE dans le </w:t>
      </w:r>
      <w:r>
        <w:rPr>
          <w:b/>
          <w:sz w:val="22"/>
        </w:rPr>
        <w:t>Plan de Travail Annuel de l'ANPE</w:t>
      </w:r>
      <w:r>
        <w:rPr>
          <w:sz w:val="22"/>
        </w:rPr>
        <w:t xml:space="preserve"> — avec comptabilité et reporting dédiés — constitue un mécanisme de cohérence institutionnelle efficace évitant la création d'une structure parallèle coûteuse. La revue documentaire ne révèle pas de chevauchements significatifs avec d'autres programmes d'insertion active.</w:t>
      </w:r>
    </w:p>
    <w:p>
      <w:pPr>
        <w:pStyle w:val="Heading2"/>
      </w:pPr>
      <w:r>
        <w:rPr>
          <w:b/>
          <w:color w:val="1F7A8C"/>
        </w:rPr>
        <w:t>5.3 Synergies avec les priorités nationales et les engagements internationaux</w:t>
      </w:r>
    </w:p>
    <w:p>
      <w:pPr>
        <w:spacing w:after="120"/>
        <w:ind w:left="283"/>
      </w:pPr>
      <w:r>
        <w:rPr>
          <w:i/>
          <w:color w:val="666666"/>
          <w:sz w:val="20"/>
        </w:rPr>
        <w:t>Question évaluative 8 — Quelle synergie y a-t-il entre le PSIE, le PND, le PAG 2 et les ODD ?</w:t>
      </w:r>
    </w:p>
    <w:p>
      <w:pPr>
        <w:spacing w:after="120"/>
      </w:pPr>
      <w:r>
        <w:rPr>
          <w:sz w:val="22"/>
        </w:rPr>
        <w:t>Le PSIE opérationnalise l'engagement du PAG de traiter l'emploi « de manière systématique dans toutes ses interventions ». La prolongation par le Conseil des ministres du 19 février 2025 confirme qu'il reste une priorité du PAG 2. Il contribue directement à l'ODD 8 (travail décent), à l'Agenda 2063 (dividende démographique) et aux objectifs du PND sur l'emploi des jeunes.</w:t>
      </w:r>
    </w:p>
    <w:tbl>
      <w:tblPr>
        <w:tblStyle w:val="TableGrid"/>
        <w:tblW w:type="auto" w:w="0"/>
        <w:tblLook w:firstColumn="1" w:firstRow="1" w:lastColumn="0" w:lastRow="0" w:noHBand="0" w:noVBand="1" w:val="04A0"/>
      </w:tblPr>
      <w:tblGrid>
        <w:gridCol w:w="4561"/>
        <w:gridCol w:w="4561"/>
      </w:tblGrid>
      <w:tr>
        <w:tc>
          <w:tcPr>
            <w:tcW w:type="dxa" w:w="4561"/>
            <w:shd w:val="clear" w:color="auto" w:fill="1F3564"/>
          </w:tcPr>
          <w:p>
            <w:r>
              <w:rPr>
                <w:b/>
                <w:color w:val="FFFFFF"/>
                <w:sz w:val="20"/>
              </w:rPr>
              <w:t>Cadre international</w:t>
            </w:r>
          </w:p>
        </w:tc>
        <w:tc>
          <w:tcPr>
            <w:tcW w:type="dxa" w:w="4561"/>
            <w:shd w:val="clear" w:color="auto" w:fill="1F3564"/>
          </w:tcPr>
          <w:p>
            <w:r>
              <w:rPr>
                <w:b/>
                <w:color w:val="FFFFFF"/>
                <w:sz w:val="20"/>
              </w:rPr>
              <w:t>Cohérence avec le PSIE</w:t>
            </w:r>
          </w:p>
        </w:tc>
      </w:tr>
      <w:tr>
        <w:tc>
          <w:tcPr>
            <w:tcW w:type="dxa" w:w="4561"/>
            <w:shd w:val="clear" w:color="auto" w:fill="E9F0F8"/>
          </w:tcPr>
          <w:p>
            <w:r/>
            <w:r>
              <w:rPr>
                <w:sz w:val="20"/>
              </w:rPr>
              <w:t>ODD 8 — Travail décent et croissance économique</w:t>
            </w:r>
          </w:p>
        </w:tc>
        <w:tc>
          <w:tcPr>
            <w:tcW w:type="dxa" w:w="4561"/>
            <w:shd w:val="clear" w:color="auto" w:fill="E9F0F8"/>
          </w:tcPr>
          <w:p>
            <w:r/>
            <w:r>
              <w:rPr>
                <w:sz w:val="20"/>
              </w:rPr>
              <w:t>Forte — Insertion en emploi décent (contrats CDD formels, CNSS, IRPP)</w:t>
            </w:r>
          </w:p>
        </w:tc>
      </w:tr>
      <w:tr>
        <w:tc>
          <w:tcPr>
            <w:tcW w:type="dxa" w:w="4561"/>
          </w:tcPr>
          <w:p>
            <w:r/>
            <w:r>
              <w:rPr>
                <w:sz w:val="20"/>
              </w:rPr>
              <w:t>Agenda 2063 de l'Union Africaine</w:t>
            </w:r>
          </w:p>
        </w:tc>
        <w:tc>
          <w:tcPr>
            <w:tcW w:type="dxa" w:w="4561"/>
          </w:tcPr>
          <w:p>
            <w:r/>
            <w:r>
              <w:rPr>
                <w:sz w:val="20"/>
              </w:rPr>
              <w:t>Forte — Valorisation du dividende démographique africain</w:t>
            </w:r>
          </w:p>
        </w:tc>
      </w:tr>
      <w:tr>
        <w:tc>
          <w:tcPr>
            <w:tcW w:type="dxa" w:w="4561"/>
            <w:shd w:val="clear" w:color="auto" w:fill="E9F0F8"/>
          </w:tcPr>
          <w:p>
            <w:r/>
            <w:r>
              <w:rPr>
                <w:sz w:val="20"/>
              </w:rPr>
              <w:t>ODD 10 — Réduction des inégalités</w:t>
            </w:r>
          </w:p>
        </w:tc>
        <w:tc>
          <w:tcPr>
            <w:tcW w:type="dxa" w:w="4561"/>
            <w:shd w:val="clear" w:color="auto" w:fill="E9F0F8"/>
          </w:tcPr>
          <w:p>
            <w:r/>
            <w:r>
              <w:rPr>
                <w:sz w:val="20"/>
              </w:rPr>
              <w:t>Partielle — Concentration dans 2 départements limite la portée équitable</w:t>
            </w:r>
          </w:p>
        </w:tc>
      </w:tr>
      <w:tr>
        <w:tc>
          <w:tcPr>
            <w:tcW w:type="dxa" w:w="4561"/>
          </w:tcPr>
          <w:p>
            <w:r/>
            <w:r>
              <w:rPr>
                <w:sz w:val="20"/>
              </w:rPr>
              <w:t>Conventions OIT sur l'emploi</w:t>
            </w:r>
          </w:p>
        </w:tc>
        <w:tc>
          <w:tcPr>
            <w:tcW w:type="dxa" w:w="4561"/>
          </w:tcPr>
          <w:p>
            <w:r/>
            <w:r>
              <w:rPr>
                <w:sz w:val="20"/>
              </w:rPr>
              <w:t>Cohérent — Respect du Code du Travail béninois</w:t>
            </w:r>
          </w:p>
        </w:tc>
      </w:tr>
    </w:tbl>
    <w:p/>
    <w:p>
      <w:pPr>
        <w:spacing w:after="120"/>
      </w:pPr>
      <w:r>
        <w:rPr>
          <w:b/>
          <w:sz w:val="22"/>
        </w:rPr>
        <w:t>Articulation émergente avec la GDIZ :</w:t>
      </w:r>
      <w:r>
        <w:rPr>
          <w:sz w:val="22"/>
        </w:rPr>
        <w:t xml:space="preserve"> La demande croissante des entreprises de la Zone Industrielle de Glo-Djigbé constitue une opportunité de renforcement de la cohérence avec la stratégie d'industrialisation nationale.</w:t>
      </w:r>
    </w:p>
    <w:p>
      <w:pPr>
        <w:pStyle w:val="Heading2"/>
      </w:pPr>
      <w:r>
        <w:rPr>
          <w:b/>
          <w:color w:val="1F7A8C"/>
        </w:rPr>
        <w:t>5.4 Jugement global — Cohérence</w:t>
      </w:r>
    </w:p>
    <w:p>
      <w:pPr>
        <w:spacing w:after="120"/>
      </w:pPr>
      <w:r>
        <w:rPr>
          <w:sz w:val="22"/>
        </w:rPr>
        <w:t xml:space="preserve">L'analyse documentaire conduit au constat que </w:t>
      </w:r>
      <w:r>
        <w:rPr>
          <w:b/>
          <w:sz w:val="22"/>
        </w:rPr>
        <w:t>le PSIE présente une cohérence globalement élevée</w:t>
      </w:r>
      <w:r>
        <w:rPr>
          <w:sz w:val="22"/>
        </w:rPr>
        <w:t>. Sa logique interne est bien construite, ses hypothèses critiques sont explicitées, son intégration institutionnelle est forte. La principale insuffisance est l'absence de mise à jour formelle du cadre logique suite à la révision salariale et à la prolongation en 2025.</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Dimension analysée</w:t>
            </w:r>
          </w:p>
        </w:tc>
        <w:tc>
          <w:tcPr>
            <w:tcW w:type="dxa" w:w="3041"/>
            <w:shd w:val="clear" w:color="auto" w:fill="1F3564"/>
          </w:tcPr>
          <w:p>
            <w:r>
              <w:rPr>
                <w:b/>
                <w:color w:val="FFFFFF"/>
                <w:sz w:val="20"/>
              </w:rPr>
              <w:t>Jugement</w:t>
            </w:r>
          </w:p>
        </w:tc>
        <w:tc>
          <w:tcPr>
            <w:tcW w:type="dxa" w:w="3041"/>
            <w:shd w:val="clear" w:color="auto" w:fill="1F3564"/>
          </w:tcPr>
          <w:p>
            <w:r>
              <w:rPr>
                <w:b/>
                <w:color w:val="FFFFFF"/>
                <w:sz w:val="20"/>
              </w:rPr>
              <w:t>Justification principale</w:t>
            </w:r>
          </w:p>
        </w:tc>
      </w:tr>
      <w:tr>
        <w:tc>
          <w:tcPr>
            <w:tcW w:type="dxa" w:w="3041"/>
            <w:shd w:val="clear" w:color="auto" w:fill="E9F0F8"/>
          </w:tcPr>
          <w:p>
            <w:r/>
            <w:r>
              <w:rPr>
                <w:sz w:val="20"/>
              </w:rPr>
              <w:t>Cohérence interne — chaîne de résultats (QE6)</w:t>
            </w:r>
          </w:p>
        </w:tc>
        <w:tc>
          <w:tcPr>
            <w:tcW w:type="dxa" w:w="3041"/>
            <w:shd w:val="clear" w:color="auto" w:fill="E9F0F8"/>
          </w:tcPr>
          <w:p>
            <w:r/>
            <w:r>
              <w:rPr>
                <w:b/>
                <w:sz w:val="20"/>
              </w:rPr>
              <w:t>ÉLEVÉ</w:t>
            </w:r>
          </w:p>
        </w:tc>
        <w:tc>
          <w:tcPr>
            <w:tcW w:type="dxa" w:w="3041"/>
            <w:shd w:val="clear" w:color="auto" w:fill="E9F0F8"/>
          </w:tcPr>
          <w:p>
            <w:r/>
            <w:r>
              <w:rPr>
                <w:sz w:val="20"/>
              </w:rPr>
              <w:t>Chaîne OS→R→A logique ; hypothèses explicitées ; 100 % des interventions couvertes</w:t>
            </w:r>
          </w:p>
        </w:tc>
      </w:tr>
      <w:tr>
        <w:tc>
          <w:tcPr>
            <w:tcW w:type="dxa" w:w="3041"/>
          </w:tcPr>
          <w:p>
            <w:r/>
            <w:r>
              <w:rPr>
                <w:sz w:val="20"/>
              </w:rPr>
              <w:t>Cohérence avec les stratégies sectorielles (QE7)</w:t>
            </w:r>
          </w:p>
        </w:tc>
        <w:tc>
          <w:tcPr>
            <w:tcW w:type="dxa" w:w="3041"/>
          </w:tcPr>
          <w:p>
            <w:r/>
            <w:r>
              <w:rPr>
                <w:b/>
                <w:sz w:val="20"/>
              </w:rPr>
              <w:t>ÉLEVÉ</w:t>
            </w:r>
          </w:p>
        </w:tc>
        <w:tc>
          <w:tcPr>
            <w:tcW w:type="dxa" w:w="3041"/>
          </w:tcPr>
          <w:p>
            <w:r/>
            <w:r>
              <w:rPr>
                <w:sz w:val="20"/>
              </w:rPr>
              <w:t>Alignement PNE documenté, intégration ANPE, absence de doublons</w:t>
            </w:r>
          </w:p>
        </w:tc>
      </w:tr>
      <w:tr>
        <w:tc>
          <w:tcPr>
            <w:tcW w:type="dxa" w:w="3041"/>
            <w:shd w:val="clear" w:color="auto" w:fill="E9F0F8"/>
          </w:tcPr>
          <w:p>
            <w:r/>
            <w:r>
              <w:rPr>
                <w:sz w:val="20"/>
              </w:rPr>
              <w:t>Synergies avec PND, PAG2 et ODD (QE8)</w:t>
            </w:r>
          </w:p>
        </w:tc>
        <w:tc>
          <w:tcPr>
            <w:tcW w:type="dxa" w:w="3041"/>
            <w:shd w:val="clear" w:color="auto" w:fill="E9F0F8"/>
          </w:tcPr>
          <w:p>
            <w:r/>
            <w:r>
              <w:rPr>
                <w:b/>
                <w:sz w:val="20"/>
              </w:rPr>
              <w:t>ÉLEVÉ</w:t>
            </w:r>
          </w:p>
        </w:tc>
        <w:tc>
          <w:tcPr>
            <w:tcW w:type="dxa" w:w="3041"/>
            <w:shd w:val="clear" w:color="auto" w:fill="E9F0F8"/>
          </w:tcPr>
          <w:p>
            <w:r/>
            <w:r>
              <w:rPr>
                <w:sz w:val="20"/>
              </w:rPr>
              <w:t>Opérationnalisation du PAG, contribution ODD 8, articulation GDIZ émergente</w:t>
            </w:r>
          </w:p>
        </w:tc>
      </w:tr>
      <w:tr>
        <w:tc>
          <w:tcPr>
            <w:tcW w:type="dxa" w:w="3041"/>
          </w:tcPr>
          <w:p>
            <w:r/>
            <w:r>
              <w:rPr>
                <w:b/>
                <w:sz w:val="20"/>
              </w:rPr>
              <w:t>JUGEMENT GLOBAL</w:t>
            </w:r>
          </w:p>
        </w:tc>
        <w:tc>
          <w:tcPr>
            <w:tcW w:type="dxa" w:w="3041"/>
          </w:tcPr>
          <w:p>
            <w:r/>
            <w:r>
              <w:rPr>
                <w:b/>
                <w:sz w:val="20"/>
              </w:rPr>
              <w:t>ÉLEVÉ</w:t>
            </w:r>
          </w:p>
        </w:tc>
        <w:tc>
          <w:tcPr>
            <w:tcW w:type="dxa" w:w="3041"/>
          </w:tcPr>
          <w:p>
            <w:r/>
            <w:r>
              <w:rPr>
                <w:sz w:val="20"/>
              </w:rPr>
              <w:t>Le PSIE est un programme bien intégré dans le paysage institutionnel et politique béninois</w:t>
            </w:r>
          </w:p>
        </w:tc>
      </w:tr>
    </w:tbl>
    <w:p/>
    <w:p>
      <w:r>
        <w:br w:type="page"/>
      </w:r>
    </w:p>
    <w:p>
      <w:pPr>
        <w:pStyle w:val="Heading1"/>
      </w:pPr>
      <w:r>
        <w:rPr>
          <w:b/>
          <w:color w:val="1F3564"/>
        </w:rPr>
        <w:t>6. CRITÈRE 3 — EFFICACITÉ</w:t>
      </w:r>
    </w:p>
    <w:p>
      <w:pPr>
        <w:spacing w:after="120"/>
        <w:ind w:left="283"/>
      </w:pPr>
      <w:r>
        <w:rPr>
          <w:i/>
          <w:color w:val="666666"/>
          <w:sz w:val="20"/>
        </w:rPr>
        <w:t>Définition OCDE/CAD : L'efficacité est la mesure dans laquelle une intervention a atteint ses objectifs et ses résultats, y compris les résultats différenciés selon les groupes de population.</w:t>
      </w:r>
    </w:p>
    <w:p>
      <w:pPr>
        <w:spacing w:after="120"/>
      </w:pPr>
      <w:r>
        <w:rPr>
          <w:sz w:val="22"/>
        </w:rPr>
        <w:t>L'évaluation de l'efficacité vise à mesurer le degré d'atteinte des résultats et extrants du programme sur juillet 2020 – septembre 2025. Elle ne porte pas sur les effets à moyen et long terme, qui seront appréciés en Phase 2.</w:t>
      </w:r>
    </w:p>
    <w:p>
      <w:pPr>
        <w:pStyle w:val="Heading2"/>
      </w:pPr>
      <w:r>
        <w:rPr>
          <w:b/>
          <w:color w:val="1F7A8C"/>
        </w:rPr>
        <w:t>6.1 Mise en place des actions d'immersion et d'encadrement</w:t>
      </w:r>
    </w:p>
    <w:p>
      <w:pPr>
        <w:spacing w:after="120"/>
        <w:ind w:left="283"/>
      </w:pPr>
      <w:r>
        <w:rPr>
          <w:i/>
          <w:color w:val="666666"/>
          <w:sz w:val="20"/>
        </w:rPr>
        <w:t>Question évaluative 9 — Dans quelle mesure le PSIE a-t-il contribué à la mise en place des actions d'immersion et d'encadrement des candidats ?</w:t>
      </w:r>
    </w:p>
    <w:p>
      <w:pPr>
        <w:spacing w:after="120"/>
      </w:pPr>
      <w:r>
        <w:rPr>
          <w:sz w:val="22"/>
        </w:rPr>
        <w:t xml:space="preserve">Sur cinq ans, le programme a réalisé </w:t>
      </w:r>
      <w:r>
        <w:rPr>
          <w:b/>
          <w:sz w:val="22"/>
        </w:rPr>
        <w:t>9 263 insertions</w:t>
      </w:r>
      <w:r>
        <w:rPr>
          <w:sz w:val="22"/>
        </w:rPr>
        <w:t>, dépassant la cible initiale de 8 000 (+15,8 %). La montée en charge a été progressive et régulière, passant de 44 insertions en 2020 à 3 246 en 2024.</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Année</w:t>
            </w:r>
          </w:p>
        </w:tc>
        <w:tc>
          <w:tcPr>
            <w:tcW w:type="dxa" w:w="3041"/>
            <w:shd w:val="clear" w:color="auto" w:fill="1F3564"/>
          </w:tcPr>
          <w:p>
            <w:r>
              <w:rPr>
                <w:b/>
                <w:color w:val="FFFFFF"/>
                <w:sz w:val="20"/>
              </w:rPr>
              <w:t>Insertions réalisées</w:t>
            </w:r>
          </w:p>
        </w:tc>
        <w:tc>
          <w:tcPr>
            <w:tcW w:type="dxa" w:w="3041"/>
            <w:shd w:val="clear" w:color="auto" w:fill="1F3564"/>
          </w:tcPr>
          <w:p>
            <w:r>
              <w:rPr>
                <w:b/>
                <w:color w:val="FFFFFF"/>
                <w:sz w:val="20"/>
              </w:rPr>
              <w:t>Observation</w:t>
            </w:r>
          </w:p>
        </w:tc>
      </w:tr>
      <w:tr>
        <w:tc>
          <w:tcPr>
            <w:tcW w:type="dxa" w:w="3041"/>
            <w:shd w:val="clear" w:color="auto" w:fill="E9F0F8"/>
          </w:tcPr>
          <w:p>
            <w:r/>
            <w:r>
              <w:rPr>
                <w:sz w:val="20"/>
              </w:rPr>
              <w:t>2020 (juil.–déc.)</w:t>
            </w:r>
          </w:p>
        </w:tc>
        <w:tc>
          <w:tcPr>
            <w:tcW w:type="dxa" w:w="3041"/>
            <w:shd w:val="clear" w:color="auto" w:fill="E9F0F8"/>
          </w:tcPr>
          <w:p>
            <w:r/>
            <w:r>
              <w:rPr>
                <w:sz w:val="20"/>
              </w:rPr>
              <w:t>44</w:t>
            </w:r>
          </w:p>
        </w:tc>
        <w:tc>
          <w:tcPr>
            <w:tcW w:type="dxa" w:w="3041"/>
            <w:shd w:val="clear" w:color="auto" w:fill="E9F0F8"/>
          </w:tcPr>
          <w:p>
            <w:r/>
            <w:r>
              <w:rPr>
                <w:sz w:val="20"/>
              </w:rPr>
              <w:t>Phase de démarrage</w:t>
            </w:r>
          </w:p>
        </w:tc>
      </w:tr>
      <w:tr>
        <w:tc>
          <w:tcPr>
            <w:tcW w:type="dxa" w:w="3041"/>
          </w:tcPr>
          <w:p>
            <w:r/>
            <w:r>
              <w:rPr>
                <w:sz w:val="20"/>
              </w:rPr>
              <w:t>2021</w:t>
            </w:r>
          </w:p>
        </w:tc>
        <w:tc>
          <w:tcPr>
            <w:tcW w:type="dxa" w:w="3041"/>
          </w:tcPr>
          <w:p>
            <w:r/>
            <w:r>
              <w:rPr>
                <w:sz w:val="20"/>
              </w:rPr>
              <w:t>718</w:t>
            </w:r>
          </w:p>
        </w:tc>
        <w:tc>
          <w:tcPr>
            <w:tcW w:type="dxa" w:w="3041"/>
          </w:tcPr>
          <w:p>
            <w:r/>
            <w:r>
              <w:rPr>
                <w:sz w:val="20"/>
              </w:rPr>
              <w:t>Montée en charge</w:t>
            </w:r>
          </w:p>
        </w:tc>
      </w:tr>
      <w:tr>
        <w:tc>
          <w:tcPr>
            <w:tcW w:type="dxa" w:w="3041"/>
            <w:shd w:val="clear" w:color="auto" w:fill="E9F0F8"/>
          </w:tcPr>
          <w:p>
            <w:r/>
            <w:r>
              <w:rPr>
                <w:sz w:val="20"/>
              </w:rPr>
              <w:t>2022</w:t>
            </w:r>
          </w:p>
        </w:tc>
        <w:tc>
          <w:tcPr>
            <w:tcW w:type="dxa" w:w="3041"/>
            <w:shd w:val="clear" w:color="auto" w:fill="E9F0F8"/>
          </w:tcPr>
          <w:p>
            <w:r/>
            <w:r>
              <w:rPr>
                <w:sz w:val="20"/>
              </w:rPr>
              <w:t>1 567</w:t>
            </w:r>
          </w:p>
        </w:tc>
        <w:tc>
          <w:tcPr>
            <w:tcW w:type="dxa" w:w="3041"/>
            <w:shd w:val="clear" w:color="auto" w:fill="E9F0F8"/>
          </w:tcPr>
          <w:p>
            <w:r/>
            <w:r>
              <w:rPr>
                <w:sz w:val="20"/>
              </w:rPr>
              <w:t>Accélération</w:t>
            </w:r>
          </w:p>
        </w:tc>
      </w:tr>
      <w:tr>
        <w:tc>
          <w:tcPr>
            <w:tcW w:type="dxa" w:w="3041"/>
          </w:tcPr>
          <w:p>
            <w:r/>
            <w:r>
              <w:rPr>
                <w:sz w:val="20"/>
              </w:rPr>
              <w:t>2023</w:t>
            </w:r>
          </w:p>
        </w:tc>
        <w:tc>
          <w:tcPr>
            <w:tcW w:type="dxa" w:w="3041"/>
          </w:tcPr>
          <w:p>
            <w:r/>
            <w:r>
              <w:rPr>
                <w:sz w:val="20"/>
              </w:rPr>
              <w:t>2 445</w:t>
            </w:r>
          </w:p>
        </w:tc>
        <w:tc>
          <w:tcPr>
            <w:tcW w:type="dxa" w:w="3041"/>
          </w:tcPr>
          <w:p>
            <w:r/>
            <w:r>
              <w:rPr>
                <w:sz w:val="20"/>
              </w:rPr>
              <w:t>Régime de croisière</w:t>
            </w:r>
          </w:p>
        </w:tc>
      </w:tr>
      <w:tr>
        <w:tc>
          <w:tcPr>
            <w:tcW w:type="dxa" w:w="3041"/>
            <w:shd w:val="clear" w:color="auto" w:fill="E9F0F8"/>
          </w:tcPr>
          <w:p>
            <w:r/>
            <w:r>
              <w:rPr>
                <w:sz w:val="20"/>
              </w:rPr>
              <w:t>2024</w:t>
            </w:r>
          </w:p>
        </w:tc>
        <w:tc>
          <w:tcPr>
            <w:tcW w:type="dxa" w:w="3041"/>
            <w:shd w:val="clear" w:color="auto" w:fill="E9F0F8"/>
          </w:tcPr>
          <w:p>
            <w:r/>
            <w:r>
              <w:rPr>
                <w:sz w:val="20"/>
              </w:rPr>
              <w:t>3 246</w:t>
            </w:r>
          </w:p>
        </w:tc>
        <w:tc>
          <w:tcPr>
            <w:tcW w:type="dxa" w:w="3041"/>
            <w:shd w:val="clear" w:color="auto" w:fill="E9F0F8"/>
          </w:tcPr>
          <w:p>
            <w:r/>
            <w:r>
              <w:rPr>
                <w:sz w:val="20"/>
              </w:rPr>
              <w:t>Pic d'insertions</w:t>
            </w:r>
          </w:p>
        </w:tc>
      </w:tr>
      <w:tr>
        <w:tc>
          <w:tcPr>
            <w:tcW w:type="dxa" w:w="3041"/>
          </w:tcPr>
          <w:p>
            <w:r/>
            <w:r>
              <w:rPr>
                <w:sz w:val="20"/>
              </w:rPr>
              <w:t>2025 (jan.–sept.)</w:t>
            </w:r>
          </w:p>
        </w:tc>
        <w:tc>
          <w:tcPr>
            <w:tcW w:type="dxa" w:w="3041"/>
          </w:tcPr>
          <w:p>
            <w:r/>
            <w:r>
              <w:rPr>
                <w:sz w:val="20"/>
              </w:rPr>
              <w:t>1 243</w:t>
            </w:r>
          </w:p>
        </w:tc>
        <w:tc>
          <w:tcPr>
            <w:tcW w:type="dxa" w:w="3041"/>
          </w:tcPr>
          <w:p>
            <w:r/>
            <w:r>
              <w:rPr>
                <w:sz w:val="20"/>
              </w:rPr>
              <w:t>En cours</w:t>
            </w:r>
          </w:p>
        </w:tc>
      </w:tr>
      <w:tr>
        <w:tc>
          <w:tcPr>
            <w:tcW w:type="dxa" w:w="3041"/>
            <w:shd w:val="clear" w:color="auto" w:fill="E9F0F8"/>
          </w:tcPr>
          <w:p>
            <w:r/>
            <w:r>
              <w:rPr>
                <w:b/>
                <w:sz w:val="20"/>
              </w:rPr>
              <w:t>Total cumulé</w:t>
            </w:r>
          </w:p>
        </w:tc>
        <w:tc>
          <w:tcPr>
            <w:tcW w:type="dxa" w:w="3041"/>
            <w:shd w:val="clear" w:color="auto" w:fill="E9F0F8"/>
          </w:tcPr>
          <w:p>
            <w:r/>
            <w:r>
              <w:rPr>
                <w:b/>
                <w:sz w:val="20"/>
              </w:rPr>
              <w:t>9 263</w:t>
            </w:r>
          </w:p>
        </w:tc>
        <w:tc>
          <w:tcPr>
            <w:tcW w:type="dxa" w:w="3041"/>
            <w:shd w:val="clear" w:color="auto" w:fill="E9F0F8"/>
          </w:tcPr>
          <w:p>
            <w:r/>
            <w:r>
              <w:rPr>
                <w:b/>
                <w:sz w:val="20"/>
              </w:rPr>
              <w:t>Cible : 8 000 — Dépassement : +15,8 %</w:t>
            </w:r>
          </w:p>
        </w:tc>
      </w:tr>
    </w:tbl>
    <w:p/>
    <w:p>
      <w:pPr>
        <w:pStyle w:val="Heading2"/>
      </w:pPr>
      <w:r>
        <w:rPr>
          <w:b/>
          <w:color w:val="1F7A8C"/>
        </w:rPr>
        <w:t>6.2 Soutien financier à la prise en charge des salaires</w:t>
      </w:r>
    </w:p>
    <w:p>
      <w:pPr>
        <w:spacing w:after="120"/>
        <w:ind w:left="283"/>
      </w:pPr>
      <w:r>
        <w:rPr>
          <w:i/>
          <w:color w:val="666666"/>
          <w:sz w:val="20"/>
        </w:rPr>
        <w:t>Question évaluative 10 — Dans quelle mesure le PSIE a-t-il contribué à soutenir financièrement la prise en charge des salaires ?</w:t>
      </w:r>
    </w:p>
    <w:p>
      <w:pPr>
        <w:spacing w:after="120"/>
      </w:pPr>
      <w:r>
        <w:rPr>
          <w:sz w:val="22"/>
        </w:rPr>
        <w:t xml:space="preserve">Au total, </w:t>
      </w:r>
      <w:r>
        <w:rPr>
          <w:b/>
          <w:sz w:val="22"/>
        </w:rPr>
        <w:t>18,3 milliards FCFA</w:t>
      </w:r>
      <w:r>
        <w:rPr>
          <w:sz w:val="22"/>
        </w:rPr>
        <w:t xml:space="preserve"> ont été versés en salaires sur 5 ans, sur un budget global de 46,6 milliards FCFA (taux d'exécution financière cumulée : </w:t>
      </w:r>
      <w:r>
        <w:rPr>
          <w:b/>
          <w:sz w:val="22"/>
        </w:rPr>
        <w:t>79,6 %</w:t>
      </w:r>
      <w:r>
        <w:rPr>
          <w:sz w:val="22"/>
        </w:rPr>
        <w:t>). Le taux de prise en charge est de 100 %, avec affiliation CNSS pour tous les allocataires.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Niveau de qualification</w:t>
            </w:r>
          </w:p>
        </w:tc>
        <w:tc>
          <w:tcPr>
            <w:tcW w:type="dxa" w:w="3041"/>
            <w:shd w:val="clear" w:color="auto" w:fill="1F3564"/>
          </w:tcPr>
          <w:p>
            <w:r>
              <w:rPr>
                <w:b/>
                <w:color w:val="FFFFFF"/>
                <w:sz w:val="20"/>
              </w:rPr>
              <w:t>Salaire net versé (2025)</w:t>
            </w:r>
          </w:p>
        </w:tc>
        <w:tc>
          <w:tcPr>
            <w:tcW w:type="dxa" w:w="3041"/>
            <w:shd w:val="clear" w:color="auto" w:fill="1F3564"/>
          </w:tcPr>
          <w:p>
            <w:r>
              <w:rPr>
                <w:b/>
                <w:color w:val="FFFFFF"/>
                <w:sz w:val="20"/>
              </w:rPr>
              <w:t>CNSS patronale</w:t>
            </w:r>
          </w:p>
        </w:tc>
      </w:tr>
      <w:tr>
        <w:tc>
          <w:tcPr>
            <w:tcW w:type="dxa" w:w="3041"/>
            <w:shd w:val="clear" w:color="auto" w:fill="E9F0F8"/>
          </w:tcPr>
          <w:p>
            <w:r/>
            <w:r>
              <w:rPr>
                <w:sz w:val="20"/>
              </w:rPr>
              <w:t>BAC professionnel</w:t>
            </w:r>
          </w:p>
        </w:tc>
        <w:tc>
          <w:tcPr>
            <w:tcW w:type="dxa" w:w="3041"/>
            <w:shd w:val="clear" w:color="auto" w:fill="E9F0F8"/>
          </w:tcPr>
          <w:p>
            <w:r/>
            <w:r>
              <w:rPr>
                <w:sz w:val="20"/>
              </w:rPr>
              <w:t>100 000 FCFA/mois</w:t>
            </w:r>
          </w:p>
        </w:tc>
        <w:tc>
          <w:tcPr>
            <w:tcW w:type="dxa" w:w="3041"/>
            <w:shd w:val="clear" w:color="auto" w:fill="E9F0F8"/>
          </w:tcPr>
          <w:p>
            <w:r/>
            <w:r>
              <w:rPr>
                <w:sz w:val="20"/>
              </w:rPr>
              <w:t>Incluse</w:t>
            </w:r>
          </w:p>
        </w:tc>
      </w:tr>
      <w:tr>
        <w:tc>
          <w:tcPr>
            <w:tcW w:type="dxa" w:w="3041"/>
          </w:tcPr>
          <w:p>
            <w:r/>
            <w:r>
              <w:rPr>
                <w:sz w:val="20"/>
              </w:rPr>
              <w:t>BTS / DUT (BAC+2)</w:t>
            </w:r>
          </w:p>
        </w:tc>
        <w:tc>
          <w:tcPr>
            <w:tcW w:type="dxa" w:w="3041"/>
          </w:tcPr>
          <w:p>
            <w:r/>
            <w:r>
              <w:rPr>
                <w:sz w:val="20"/>
              </w:rPr>
              <w:t>150 000 FCFA/mois</w:t>
            </w:r>
          </w:p>
        </w:tc>
        <w:tc>
          <w:tcPr>
            <w:tcW w:type="dxa" w:w="3041"/>
          </w:tcPr>
          <w:p>
            <w:r/>
            <w:r>
              <w:rPr>
                <w:sz w:val="20"/>
              </w:rPr>
              <w:t>Incluse</w:t>
            </w:r>
          </w:p>
        </w:tc>
      </w:tr>
      <w:tr>
        <w:tc>
          <w:tcPr>
            <w:tcW w:type="dxa" w:w="3041"/>
            <w:shd w:val="clear" w:color="auto" w:fill="E9F0F8"/>
          </w:tcPr>
          <w:p>
            <w:r/>
            <w:r>
              <w:rPr>
                <w:sz w:val="20"/>
              </w:rPr>
              <w:t>DTS / Licence (BAC+3)</w:t>
            </w:r>
          </w:p>
        </w:tc>
        <w:tc>
          <w:tcPr>
            <w:tcW w:type="dxa" w:w="3041"/>
            <w:shd w:val="clear" w:color="auto" w:fill="E9F0F8"/>
          </w:tcPr>
          <w:p>
            <w:r/>
            <w:r>
              <w:rPr>
                <w:sz w:val="20"/>
              </w:rPr>
              <w:t>175 000 FCFA/mois</w:t>
            </w:r>
          </w:p>
        </w:tc>
        <w:tc>
          <w:tcPr>
            <w:tcW w:type="dxa" w:w="3041"/>
            <w:shd w:val="clear" w:color="auto" w:fill="E9F0F8"/>
          </w:tcPr>
          <w:p>
            <w:r/>
            <w:r>
              <w:rPr>
                <w:sz w:val="20"/>
              </w:rPr>
              <w:t>Incluse</w:t>
            </w:r>
          </w:p>
        </w:tc>
      </w:tr>
      <w:tr>
        <w:tc>
          <w:tcPr>
            <w:tcW w:type="dxa" w:w="3041"/>
          </w:tcPr>
          <w:p>
            <w:r/>
            <w:r>
              <w:rPr>
                <w:sz w:val="20"/>
              </w:rPr>
              <w:t>Master / Ingénieur (BAC+5)</w:t>
            </w:r>
          </w:p>
        </w:tc>
        <w:tc>
          <w:tcPr>
            <w:tcW w:type="dxa" w:w="3041"/>
          </w:tcPr>
          <w:p>
            <w:r/>
            <w:r>
              <w:rPr>
                <w:sz w:val="20"/>
              </w:rPr>
              <w:t>250 000 FCFA/mois</w:t>
            </w:r>
          </w:p>
        </w:tc>
        <w:tc>
          <w:tcPr>
            <w:tcW w:type="dxa" w:w="3041"/>
          </w:tcPr>
          <w:p>
            <w:r/>
            <w:r>
              <w:rPr>
                <w:sz w:val="20"/>
              </w:rPr>
              <w:t>Incluse</w:t>
            </w:r>
          </w:p>
        </w:tc>
      </w:tr>
    </w:tbl>
    <w:p/>
    <w:p>
      <w:pPr>
        <w:pStyle w:val="Heading2"/>
      </w:pPr>
      <w:r>
        <w:rPr>
          <w:b/>
          <w:color w:val="1F7A8C"/>
        </w:rPr>
        <w:t>6.3 Mesures d'accompagnement à l'employabilité</w:t>
      </w:r>
    </w:p>
    <w:p>
      <w:pPr>
        <w:spacing w:after="120"/>
        <w:ind w:left="283"/>
      </w:pPr>
      <w:r>
        <w:rPr>
          <w:i/>
          <w:color w:val="666666"/>
          <w:sz w:val="20"/>
        </w:rPr>
        <w:t>Question évaluative 11 — Dans quelle mesure le PSIE a-t-il mis en place des mesures d'accompagnement à l'employabilité des jeunes ?</w:t>
      </w:r>
    </w:p>
    <w:p>
      <w:pPr>
        <w:spacing w:after="120"/>
      </w:pPr>
      <w:r>
        <w:rPr>
          <w:sz w:val="22"/>
        </w:rPr>
        <w:t xml:space="preserve">Le programme a déployé : (i) ateliers TRE avant déploiement ; (ii) coaching individuel par les conseillers ANPE ; (iii) tutorat en entreprise par un référent désigné ; (iv) suivi régulier par les antennes ANPE des 12 départements. Cependant, </w:t>
      </w:r>
      <w:r>
        <w:rPr>
          <w:b/>
          <w:sz w:val="22"/>
        </w:rPr>
        <w:t>aucune donnée quantitative sur le nombre de bénéficiaires de chaque mesure</w:t>
      </w:r>
      <w:r>
        <w:rPr>
          <w:sz w:val="22"/>
        </w:rPr>
        <w:t xml:space="preserve"> n'est disponible — à documenter en Phase 2.</w:t>
      </w:r>
    </w:p>
    <w:p>
      <w:pPr>
        <w:pStyle w:val="Heading2"/>
      </w:pPr>
      <w:r>
        <w:rPr>
          <w:b/>
          <w:color w:val="1F7A8C"/>
        </w:rPr>
        <w:t>6.4 Portée et couverture des bénéficiaires</w:t>
      </w:r>
    </w:p>
    <w:p>
      <w:pPr>
        <w:spacing w:after="120"/>
        <w:ind w:left="283"/>
      </w:pPr>
      <w:r>
        <w:rPr>
          <w:i/>
          <w:color w:val="666666"/>
          <w:sz w:val="20"/>
        </w:rPr>
        <w:t>Questions évaluatives 12 et 13 — Combien de bénéficiaires reçoivent les services du PSIE ? Les services sont-ils conformes aux prévisions ?</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F3564"/>
          </w:tcPr>
          <w:p>
            <w:r>
              <w:rPr>
                <w:b/>
                <w:color w:val="FFFFFF"/>
                <w:sz w:val="20"/>
              </w:rPr>
              <w:t>Extrant</w:t>
            </w:r>
          </w:p>
        </w:tc>
        <w:tc>
          <w:tcPr>
            <w:tcW w:type="dxa" w:w="2280"/>
            <w:shd w:val="clear" w:color="auto" w:fill="1F3564"/>
          </w:tcPr>
          <w:p>
            <w:r>
              <w:rPr>
                <w:b/>
                <w:color w:val="FFFFFF"/>
                <w:sz w:val="20"/>
              </w:rPr>
              <w:t>Cible 2025</w:t>
            </w:r>
          </w:p>
        </w:tc>
        <w:tc>
          <w:tcPr>
            <w:tcW w:type="dxa" w:w="2280"/>
            <w:shd w:val="clear" w:color="auto" w:fill="1F3564"/>
          </w:tcPr>
          <w:p>
            <w:r>
              <w:rPr>
                <w:b/>
                <w:color w:val="FFFFFF"/>
                <w:sz w:val="20"/>
              </w:rPr>
              <w:t>Réalisation jan.–sept. 2025</w:t>
            </w:r>
          </w:p>
        </w:tc>
        <w:tc>
          <w:tcPr>
            <w:tcW w:type="dxa" w:w="2280"/>
            <w:shd w:val="clear" w:color="auto" w:fill="1F3564"/>
          </w:tcPr>
          <w:p>
            <w:r>
              <w:rPr>
                <w:b/>
                <w:color w:val="FFFFFF"/>
                <w:sz w:val="20"/>
              </w:rPr>
              <w:t>Taux d'exécution</w:t>
            </w:r>
          </w:p>
        </w:tc>
      </w:tr>
      <w:tr>
        <w:tc>
          <w:tcPr>
            <w:tcW w:type="dxa" w:w="2280"/>
            <w:shd w:val="clear" w:color="auto" w:fill="E9F0F8"/>
          </w:tcPr>
          <w:p>
            <w:r/>
            <w:r>
              <w:rPr>
                <w:sz w:val="20"/>
              </w:rPr>
              <w:t>Entreprises ayant déposé des offres</w:t>
            </w:r>
          </w:p>
        </w:tc>
        <w:tc>
          <w:tcPr>
            <w:tcW w:type="dxa" w:w="2280"/>
            <w:shd w:val="clear" w:color="auto" w:fill="E9F0F8"/>
          </w:tcPr>
          <w:p>
            <w:r/>
            <w:r>
              <w:rPr>
                <w:sz w:val="20"/>
              </w:rPr>
              <w:t>340</w:t>
            </w:r>
          </w:p>
        </w:tc>
        <w:tc>
          <w:tcPr>
            <w:tcW w:type="dxa" w:w="2280"/>
            <w:shd w:val="clear" w:color="auto" w:fill="E9F0F8"/>
          </w:tcPr>
          <w:p>
            <w:r/>
            <w:r>
              <w:rPr>
                <w:sz w:val="20"/>
              </w:rPr>
              <w:t>380</w:t>
            </w:r>
          </w:p>
        </w:tc>
        <w:tc>
          <w:tcPr>
            <w:tcW w:type="dxa" w:w="2280"/>
            <w:shd w:val="clear" w:color="auto" w:fill="E9F0F8"/>
          </w:tcPr>
          <w:p>
            <w:r/>
            <w:r>
              <w:rPr>
                <w:b/>
                <w:sz w:val="20"/>
              </w:rPr>
              <w:t>111,8 %</w:t>
            </w:r>
          </w:p>
        </w:tc>
      </w:tr>
      <w:tr>
        <w:tc>
          <w:tcPr>
            <w:tcW w:type="dxa" w:w="2280"/>
          </w:tcPr>
          <w:p>
            <w:r/>
            <w:r>
              <w:rPr>
                <w:sz w:val="20"/>
              </w:rPr>
              <w:t>Postes publiés sur la plateforme</w:t>
            </w:r>
          </w:p>
        </w:tc>
        <w:tc>
          <w:tcPr>
            <w:tcW w:type="dxa" w:w="2280"/>
          </w:tcPr>
          <w:p>
            <w:r/>
            <w:r>
              <w:rPr>
                <w:sz w:val="20"/>
              </w:rPr>
              <w:t>5 740</w:t>
            </w:r>
          </w:p>
        </w:tc>
        <w:tc>
          <w:tcPr>
            <w:tcW w:type="dxa" w:w="2280"/>
          </w:tcPr>
          <w:p>
            <w:r/>
            <w:r>
              <w:rPr>
                <w:sz w:val="20"/>
              </w:rPr>
              <w:t>5 025</w:t>
            </w:r>
          </w:p>
        </w:tc>
        <w:tc>
          <w:tcPr>
            <w:tcW w:type="dxa" w:w="2280"/>
          </w:tcPr>
          <w:p>
            <w:r/>
            <w:r>
              <w:rPr>
                <w:b/>
                <w:sz w:val="20"/>
              </w:rPr>
              <w:t>87,5 %</w:t>
            </w:r>
          </w:p>
        </w:tc>
      </w:tr>
      <w:tr>
        <w:tc>
          <w:tcPr>
            <w:tcW w:type="dxa" w:w="2280"/>
            <w:shd w:val="clear" w:color="auto" w:fill="E9F0F8"/>
          </w:tcPr>
          <w:p>
            <w:r/>
            <w:r>
              <w:rPr>
                <w:sz w:val="20"/>
              </w:rPr>
              <w:t>Allocataires mis en stage</w:t>
            </w:r>
          </w:p>
        </w:tc>
        <w:tc>
          <w:tcPr>
            <w:tcW w:type="dxa" w:w="2280"/>
            <w:shd w:val="clear" w:color="auto" w:fill="E9F0F8"/>
          </w:tcPr>
          <w:p>
            <w:r/>
            <w:r>
              <w:rPr>
                <w:sz w:val="20"/>
              </w:rPr>
              <w:t>2 000</w:t>
            </w:r>
          </w:p>
        </w:tc>
        <w:tc>
          <w:tcPr>
            <w:tcW w:type="dxa" w:w="2280"/>
            <w:shd w:val="clear" w:color="auto" w:fill="E9F0F8"/>
          </w:tcPr>
          <w:p>
            <w:r/>
            <w:r>
              <w:rPr>
                <w:sz w:val="20"/>
              </w:rPr>
              <w:t>1 243 (9 mois)</w:t>
            </w:r>
          </w:p>
        </w:tc>
        <w:tc>
          <w:tcPr>
            <w:tcW w:type="dxa" w:w="2280"/>
            <w:shd w:val="clear" w:color="auto" w:fill="E9F0F8"/>
          </w:tcPr>
          <w:p>
            <w:r/>
            <w:r>
              <w:rPr>
                <w:b/>
                <w:sz w:val="20"/>
              </w:rPr>
              <w:t>62,2 %</w:t>
            </w:r>
          </w:p>
        </w:tc>
      </w:tr>
      <w:tr>
        <w:tc>
          <w:tcPr>
            <w:tcW w:type="dxa" w:w="2280"/>
          </w:tcPr>
          <w:p>
            <w:r/>
            <w:r>
              <w:rPr>
                <w:sz w:val="20"/>
              </w:rPr>
              <w:t>Allocataires en cours d'immersion</w:t>
            </w:r>
          </w:p>
        </w:tc>
        <w:tc>
          <w:tcPr>
            <w:tcW w:type="dxa" w:w="2280"/>
          </w:tcPr>
          <w:p>
            <w:r/>
            <w:r>
              <w:rPr>
                <w:sz w:val="20"/>
              </w:rPr>
              <w:t>—</w:t>
            </w:r>
          </w:p>
        </w:tc>
        <w:tc>
          <w:tcPr>
            <w:tcW w:type="dxa" w:w="2280"/>
          </w:tcPr>
          <w:p>
            <w:r/>
            <w:r>
              <w:rPr>
                <w:sz w:val="20"/>
              </w:rPr>
              <w:t>4 273</w:t>
            </w:r>
          </w:p>
        </w:tc>
        <w:tc>
          <w:tcPr>
            <w:tcW w:type="dxa" w:w="2280"/>
          </w:tcPr>
          <w:p>
            <w:r/>
            <w:r>
              <w:rPr>
                <w:sz w:val="20"/>
              </w:rPr>
              <w:t>—</w:t>
            </w:r>
          </w:p>
        </w:tc>
      </w:tr>
    </w:tbl>
    <w:p/>
    <w:p>
      <w:pPr>
        <w:spacing w:after="120"/>
      </w:pPr>
      <w:r>
        <w:rPr>
          <w:b/>
          <w:sz w:val="22"/>
        </w:rPr>
        <w:t>Concentration géographique :</w:t>
      </w:r>
      <w:r>
        <w:rPr>
          <w:sz w:val="22"/>
        </w:rPr>
        <w:t xml:space="preserve"> 64 % des insertions dans le Littoral (Cotonou), 21,5 % dans l'Atlantique, 14,5 % dans les 10 autres départements — soit 85,5 % dans 2 départements sur 12.</w:t>
      </w:r>
    </w:p>
    <w:p>
      <w:pPr>
        <w:pStyle w:val="Heading2"/>
      </w:pPr>
      <w:r>
        <w:rPr>
          <w:b/>
          <w:color w:val="1F7A8C"/>
        </w:rPr>
        <w:t>6.5 Actions non prévues réalisées</w:t>
      </w:r>
    </w:p>
    <w:p>
      <w:pPr>
        <w:spacing w:after="120"/>
        <w:ind w:left="283"/>
      </w:pPr>
      <w:r>
        <w:rPr>
          <w:i/>
          <w:color w:val="666666"/>
          <w:sz w:val="20"/>
        </w:rPr>
        <w:t>Question évaluative 14 — Quelles sont les actions non prévues mais réalisées ?</w:t>
      </w:r>
    </w:p>
    <w:p>
      <w:pPr>
        <w:spacing w:after="120"/>
      </w:pPr>
      <w:r>
        <w:rPr>
          <w:sz w:val="22"/>
        </w:rPr>
        <w:t xml:space="preserve">(1) </w:t>
      </w:r>
      <w:r>
        <w:rPr>
          <w:b/>
          <w:sz w:val="22"/>
        </w:rPr>
        <w:t>Utilisation des réseaux sociaux</w:t>
      </w:r>
      <w:r>
        <w:rPr>
          <w:sz w:val="22"/>
        </w:rPr>
        <w:t xml:space="preserve"> (Facebook, WhatsApp) comme canal de diffusion des offres — non prévu dans le Prodoc, désirable et cohérent. (2) </w:t>
      </w:r>
      <w:r>
        <w:rPr>
          <w:b/>
          <w:sz w:val="22"/>
        </w:rPr>
        <w:t>Articulation avec la GDIZ</w:t>
      </w:r>
      <w:r>
        <w:rPr>
          <w:sz w:val="22"/>
        </w:rPr>
        <w:t xml:space="preserve"> — demande émergente des entreprises de Glo-Djigbé, opportunité stratégique non anticipée.</w:t>
      </w:r>
    </w:p>
    <w:p>
      <w:pPr>
        <w:pStyle w:val="Heading2"/>
      </w:pPr>
      <w:r>
        <w:rPr>
          <w:b/>
          <w:color w:val="1F7A8C"/>
        </w:rPr>
        <w:t>6.6 Qualité des services</w:t>
      </w:r>
    </w:p>
    <w:p>
      <w:pPr>
        <w:spacing w:after="120"/>
        <w:ind w:left="283"/>
      </w:pPr>
      <w:r>
        <w:rPr>
          <w:i/>
          <w:color w:val="666666"/>
          <w:sz w:val="20"/>
        </w:rPr>
        <w:t>Question évaluative 15 — Qu'en est-il de la qualité des services délivrés par le PSIE ?</w:t>
      </w:r>
    </w:p>
    <w:p>
      <w:pPr>
        <w:spacing w:after="120"/>
      </w:pPr>
      <w:r>
        <w:rPr>
          <w:sz w:val="22"/>
        </w:rPr>
        <w:t>La qualité ne peut être appréciée rigoureusement à ce stade (données de satisfaction prévues en Phase 2). Les éléments disponibles indiquent : régularité des paiements satisfaisante ✅, plateforme numérique fonctionnelle ✅, cas d'abandons d'allocataires documentés ⚠️.</w:t>
      </w:r>
    </w:p>
    <w:p>
      <w:pPr>
        <w:pStyle w:val="Heading2"/>
      </w:pPr>
      <w:r>
        <w:rPr>
          <w:b/>
          <w:color w:val="1F7A8C"/>
        </w:rPr>
        <w:t>6.7 Groupes cibles non atteints</w:t>
      </w:r>
    </w:p>
    <w:p>
      <w:pPr>
        <w:spacing w:after="120"/>
        <w:ind w:left="283"/>
      </w:pPr>
      <w:r>
        <w:rPr>
          <w:i/>
          <w:color w:val="666666"/>
          <w:sz w:val="20"/>
        </w:rPr>
        <w:t>Question évaluative 16 — Y a-t-il des groupes cibles qui n'ont pas reçu les services du PSIE ?</w:t>
      </w:r>
    </w:p>
    <w:tbl>
      <w:tblPr>
        <w:tblStyle w:val="TableGrid"/>
        <w:tblW w:type="auto" w:w="0"/>
        <w:tblLook w:firstColumn="1" w:firstRow="1" w:lastColumn="0" w:lastRow="0" w:noHBand="0" w:noVBand="1" w:val="04A0"/>
      </w:tblPr>
      <w:tblGrid>
        <w:gridCol w:w="4561"/>
        <w:gridCol w:w="4561"/>
      </w:tblGrid>
      <w:tr>
        <w:tc>
          <w:tcPr>
            <w:tcW w:type="dxa" w:w="4561"/>
            <w:shd w:val="clear" w:color="auto" w:fill="1F3564"/>
          </w:tcPr>
          <w:p>
            <w:r>
              <w:rPr>
                <w:b/>
                <w:color w:val="FFFFFF"/>
                <w:sz w:val="20"/>
              </w:rPr>
              <w:t>Groupe sous-représenté</w:t>
            </w:r>
          </w:p>
        </w:tc>
        <w:tc>
          <w:tcPr>
            <w:tcW w:type="dxa" w:w="4561"/>
            <w:shd w:val="clear" w:color="auto" w:fill="1F3564"/>
          </w:tcPr>
          <w:p>
            <w:r>
              <w:rPr>
                <w:b/>
                <w:color w:val="FFFFFF"/>
                <w:sz w:val="20"/>
              </w:rPr>
              <w:t>Cause documentée</w:t>
            </w:r>
          </w:p>
        </w:tc>
      </w:tr>
      <w:tr>
        <w:tc>
          <w:tcPr>
            <w:tcW w:type="dxa" w:w="4561"/>
            <w:shd w:val="clear" w:color="auto" w:fill="E9F0F8"/>
          </w:tcPr>
          <w:p>
            <w:r/>
            <w:r>
              <w:rPr>
                <w:sz w:val="20"/>
              </w:rPr>
              <w:t>Jeunes des 10 départements non côtiers</w:t>
            </w:r>
          </w:p>
        </w:tc>
        <w:tc>
          <w:tcPr>
            <w:tcW w:type="dxa" w:w="4561"/>
            <w:shd w:val="clear" w:color="auto" w:fill="E9F0F8"/>
          </w:tcPr>
          <w:p>
            <w:r/>
            <w:r>
              <w:rPr>
                <w:sz w:val="20"/>
              </w:rPr>
              <w:t>Concentration des entreprises formelles dans le Littoral/Atlantique</w:t>
            </w:r>
          </w:p>
        </w:tc>
      </w:tr>
      <w:tr>
        <w:tc>
          <w:tcPr>
            <w:tcW w:type="dxa" w:w="4561"/>
          </w:tcPr>
          <w:p>
            <w:r/>
            <w:r>
              <w:rPr>
                <w:sz w:val="20"/>
              </w:rPr>
              <w:t>Jeunes de niveau BAC professionnel</w:t>
            </w:r>
          </w:p>
        </w:tc>
        <w:tc>
          <w:tcPr>
            <w:tcW w:type="dxa" w:w="4561"/>
          </w:tcPr>
          <w:p>
            <w:r/>
            <w:r>
              <w:rPr>
                <w:sz w:val="20"/>
              </w:rPr>
              <w:t>Préférence des entreprises pour les niveaux BAC+2 et supérieurs</w:t>
            </w:r>
          </w:p>
        </w:tc>
      </w:tr>
      <w:tr>
        <w:tc>
          <w:tcPr>
            <w:tcW w:type="dxa" w:w="4561"/>
            <w:shd w:val="clear" w:color="auto" w:fill="E9F0F8"/>
          </w:tcPr>
          <w:p>
            <w:r/>
            <w:r>
              <w:rPr>
                <w:sz w:val="20"/>
              </w:rPr>
              <w:t>Jeunes femmes</w:t>
            </w:r>
          </w:p>
        </w:tc>
        <w:tc>
          <w:tcPr>
            <w:tcW w:type="dxa" w:w="4561"/>
            <w:shd w:val="clear" w:color="auto" w:fill="E9F0F8"/>
          </w:tcPr>
          <w:p>
            <w:r/>
            <w:r>
              <w:rPr>
                <w:sz w:val="20"/>
              </w:rPr>
              <w:t>Données de genre non disponibles — à évaluer en Phase 2</w:t>
            </w:r>
          </w:p>
        </w:tc>
      </w:tr>
      <w:tr>
        <w:tc>
          <w:tcPr>
            <w:tcW w:type="dxa" w:w="4561"/>
          </w:tcPr>
          <w:p>
            <w:r/>
            <w:r>
              <w:rPr>
                <w:sz w:val="20"/>
              </w:rPr>
              <w:t>Jeunes hors base de données ANPE</w:t>
            </w:r>
          </w:p>
        </w:tc>
        <w:tc>
          <w:tcPr>
            <w:tcW w:type="dxa" w:w="4561"/>
          </w:tcPr>
          <w:p>
            <w:r/>
            <w:r>
              <w:rPr>
                <w:sz w:val="20"/>
              </w:rPr>
              <w:t>Méconnaissance de la plateforme dans les zones rurales</w:t>
            </w:r>
          </w:p>
        </w:tc>
      </w:tr>
    </w:tbl>
    <w:p/>
    <w:p>
      <w:pPr>
        <w:pStyle w:val="Heading2"/>
      </w:pPr>
      <w:r>
        <w:rPr>
          <w:b/>
          <w:color w:val="1F7A8C"/>
        </w:rPr>
        <w:t>6.8 Jugement global — Efficacité</w:t>
      </w:r>
    </w:p>
    <w:p>
      <w:pPr>
        <w:spacing w:after="120"/>
      </w:pPr>
      <w:r>
        <w:rPr>
          <w:sz w:val="22"/>
        </w:rPr>
        <w:t xml:space="preserve">Le PSIE présente une </w:t>
      </w:r>
      <w:r>
        <w:rPr>
          <w:b/>
          <w:sz w:val="22"/>
        </w:rPr>
        <w:t>efficacité moyenne à élevée</w:t>
      </w:r>
      <w:r>
        <w:rPr>
          <w:sz w:val="22"/>
        </w:rPr>
        <w:t xml:space="preserve"> : forte performance en insertions (dépassement de la cible), mécanisme financier fiable, dispositif d'accompagnement déployé. Limites : données de qualité et couverture de l'accompagnement non quantifiées, concentration géographique persistante.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Dimension analysée</w:t>
            </w:r>
          </w:p>
        </w:tc>
        <w:tc>
          <w:tcPr>
            <w:tcW w:type="dxa" w:w="3041"/>
            <w:shd w:val="clear" w:color="auto" w:fill="1F3564"/>
          </w:tcPr>
          <w:p>
            <w:r>
              <w:rPr>
                <w:b/>
                <w:color w:val="FFFFFF"/>
                <w:sz w:val="20"/>
              </w:rPr>
              <w:t>Jugement</w:t>
            </w:r>
          </w:p>
        </w:tc>
        <w:tc>
          <w:tcPr>
            <w:tcW w:type="dxa" w:w="3041"/>
            <w:shd w:val="clear" w:color="auto" w:fill="1F3564"/>
          </w:tcPr>
          <w:p>
            <w:r>
              <w:rPr>
                <w:b/>
                <w:color w:val="FFFFFF"/>
                <w:sz w:val="20"/>
              </w:rPr>
              <w:t>Justification principale</w:t>
            </w:r>
          </w:p>
        </w:tc>
      </w:tr>
      <w:tr>
        <w:tc>
          <w:tcPr>
            <w:tcW w:type="dxa" w:w="3041"/>
            <w:shd w:val="clear" w:color="auto" w:fill="E9F0F8"/>
          </w:tcPr>
          <w:p>
            <w:r/>
            <w:r>
              <w:rPr>
                <w:sz w:val="20"/>
              </w:rPr>
              <w:t>Actions d'immersion et d'encadrement (QE9)</w:t>
            </w:r>
          </w:p>
        </w:tc>
        <w:tc>
          <w:tcPr>
            <w:tcW w:type="dxa" w:w="3041"/>
            <w:shd w:val="clear" w:color="auto" w:fill="E9F0F8"/>
          </w:tcPr>
          <w:p>
            <w:r/>
            <w:r>
              <w:rPr>
                <w:b/>
                <w:sz w:val="20"/>
              </w:rPr>
              <w:t>ÉLEVÉ</w:t>
            </w:r>
          </w:p>
        </w:tc>
        <w:tc>
          <w:tcPr>
            <w:tcW w:type="dxa" w:w="3041"/>
            <w:shd w:val="clear" w:color="auto" w:fill="E9F0F8"/>
          </w:tcPr>
          <w:p>
            <w:r/>
            <w:r>
              <w:rPr>
                <w:sz w:val="20"/>
              </w:rPr>
              <w:t>9 263 insertions, dépassement de +15,8 % de la cible initiale</w:t>
            </w:r>
          </w:p>
        </w:tc>
      </w:tr>
      <w:tr>
        <w:tc>
          <w:tcPr>
            <w:tcW w:type="dxa" w:w="3041"/>
          </w:tcPr>
          <w:p>
            <w:r/>
            <w:r>
              <w:rPr>
                <w:sz w:val="20"/>
              </w:rPr>
              <w:t>Soutien financier à la prise en charge (QE10)</w:t>
            </w:r>
          </w:p>
        </w:tc>
        <w:tc>
          <w:tcPr>
            <w:tcW w:type="dxa" w:w="3041"/>
          </w:tcPr>
          <w:p>
            <w:r/>
            <w:r>
              <w:rPr>
                <w:b/>
                <w:sz w:val="20"/>
              </w:rPr>
              <w:t>ÉLEVÉ</w:t>
            </w:r>
          </w:p>
        </w:tc>
        <w:tc>
          <w:tcPr>
            <w:tcW w:type="dxa" w:w="3041"/>
          </w:tcPr>
          <w:p>
            <w:r/>
            <w:r>
              <w:rPr>
                <w:sz w:val="20"/>
              </w:rPr>
              <w:t>18,3 Mds FCFA versés, prise en charge 100 %, paiements réguliers</w:t>
            </w:r>
          </w:p>
        </w:tc>
      </w:tr>
      <w:tr>
        <w:tc>
          <w:tcPr>
            <w:tcW w:type="dxa" w:w="3041"/>
            <w:shd w:val="clear" w:color="auto" w:fill="E9F0F8"/>
          </w:tcPr>
          <w:p>
            <w:r/>
            <w:r>
              <w:rPr>
                <w:sz w:val="20"/>
              </w:rPr>
              <w:t>Accompagnement à l'employabilité (QE11)</w:t>
            </w:r>
          </w:p>
        </w:tc>
        <w:tc>
          <w:tcPr>
            <w:tcW w:type="dxa" w:w="3041"/>
            <w:shd w:val="clear" w:color="auto" w:fill="E9F0F8"/>
          </w:tcPr>
          <w:p>
            <w:r/>
            <w:r>
              <w:rPr>
                <w:b/>
                <w:sz w:val="20"/>
              </w:rPr>
              <w:t>MOYEN</w:t>
            </w:r>
          </w:p>
        </w:tc>
        <w:tc>
          <w:tcPr>
            <w:tcW w:type="dxa" w:w="3041"/>
            <w:shd w:val="clear" w:color="auto" w:fill="E9F0F8"/>
          </w:tcPr>
          <w:p>
            <w:r/>
            <w:r>
              <w:rPr>
                <w:sz w:val="20"/>
              </w:rPr>
              <w:t>Dispositif en place, couverture quantitative non documentée</w:t>
            </w:r>
          </w:p>
        </w:tc>
      </w:tr>
      <w:tr>
        <w:tc>
          <w:tcPr>
            <w:tcW w:type="dxa" w:w="3041"/>
          </w:tcPr>
          <w:p>
            <w:r/>
            <w:r>
              <w:rPr>
                <w:sz w:val="20"/>
              </w:rPr>
              <w:t>Portée et conformité aux prévisions (QE12+13)</w:t>
            </w:r>
          </w:p>
        </w:tc>
        <w:tc>
          <w:tcPr>
            <w:tcW w:type="dxa" w:w="3041"/>
          </w:tcPr>
          <w:p>
            <w:r/>
            <w:r>
              <w:rPr>
                <w:b/>
                <w:sz w:val="20"/>
              </w:rPr>
              <w:t>MOYEN À ÉLEVÉ</w:t>
            </w:r>
          </w:p>
        </w:tc>
        <w:tc>
          <w:tcPr>
            <w:tcW w:type="dxa" w:w="3041"/>
          </w:tcPr>
          <w:p>
            <w:r/>
            <w:r>
              <w:rPr>
                <w:sz w:val="20"/>
              </w:rPr>
              <w:t>Dépassement insertions cumulées ; concentration géographique documentée</w:t>
            </w:r>
          </w:p>
        </w:tc>
      </w:tr>
      <w:tr>
        <w:tc>
          <w:tcPr>
            <w:tcW w:type="dxa" w:w="3041"/>
            <w:shd w:val="clear" w:color="auto" w:fill="E9F0F8"/>
          </w:tcPr>
          <w:p>
            <w:r/>
            <w:r>
              <w:rPr>
                <w:sz w:val="20"/>
              </w:rPr>
              <w:t>Actions non prévues (QE14)</w:t>
            </w:r>
          </w:p>
        </w:tc>
        <w:tc>
          <w:tcPr>
            <w:tcW w:type="dxa" w:w="3041"/>
            <w:shd w:val="clear" w:color="auto" w:fill="E9F0F8"/>
          </w:tcPr>
          <w:p>
            <w:r/>
            <w:r>
              <w:rPr>
                <w:b/>
                <w:sz w:val="20"/>
              </w:rPr>
              <w:t>POSITIF</w:t>
            </w:r>
          </w:p>
        </w:tc>
        <w:tc>
          <w:tcPr>
            <w:tcW w:type="dxa" w:w="3041"/>
            <w:shd w:val="clear" w:color="auto" w:fill="E9F0F8"/>
          </w:tcPr>
          <w:p>
            <w:r/>
            <w:r>
              <w:rPr>
                <w:sz w:val="20"/>
              </w:rPr>
              <w:t>Réseaux sociaux + GDIZ : évolutions désirables et cohérentes</w:t>
            </w:r>
          </w:p>
        </w:tc>
      </w:tr>
      <w:tr>
        <w:tc>
          <w:tcPr>
            <w:tcW w:type="dxa" w:w="3041"/>
          </w:tcPr>
          <w:p>
            <w:r/>
            <w:r>
              <w:rPr>
                <w:sz w:val="20"/>
              </w:rPr>
              <w:t>Qualité des services (QE15)</w:t>
            </w:r>
          </w:p>
        </w:tc>
        <w:tc>
          <w:tcPr>
            <w:tcW w:type="dxa" w:w="3041"/>
          </w:tcPr>
          <w:p>
            <w:r/>
            <w:r>
              <w:rPr>
                <w:b/>
                <w:sz w:val="20"/>
              </w:rPr>
              <w:t>NON MESURABLE (Phase 2)</w:t>
            </w:r>
          </w:p>
        </w:tc>
        <w:tc>
          <w:tcPr>
            <w:tcW w:type="dxa" w:w="3041"/>
          </w:tcPr>
          <w:p>
            <w:r/>
            <w:r>
              <w:rPr>
                <w:sz w:val="20"/>
              </w:rPr>
              <w:t>Absence de données de satisfaction quantifiées</w:t>
            </w:r>
          </w:p>
        </w:tc>
      </w:tr>
      <w:tr>
        <w:tc>
          <w:tcPr>
            <w:tcW w:type="dxa" w:w="3041"/>
            <w:shd w:val="clear" w:color="auto" w:fill="E9F0F8"/>
          </w:tcPr>
          <w:p>
            <w:r/>
            <w:r>
              <w:rPr>
                <w:sz w:val="20"/>
              </w:rPr>
              <w:t>Groupes non atteints (QE16)</w:t>
            </w:r>
          </w:p>
        </w:tc>
        <w:tc>
          <w:tcPr>
            <w:tcW w:type="dxa" w:w="3041"/>
            <w:shd w:val="clear" w:color="auto" w:fill="E9F0F8"/>
          </w:tcPr>
          <w:p>
            <w:r/>
            <w:r>
              <w:rPr>
                <w:b/>
                <w:sz w:val="20"/>
              </w:rPr>
              <w:t>À APPROFONDIR (Phase 2)</w:t>
            </w:r>
          </w:p>
        </w:tc>
        <w:tc>
          <w:tcPr>
            <w:tcW w:type="dxa" w:w="3041"/>
            <w:shd w:val="clear" w:color="auto" w:fill="E9F0F8"/>
          </w:tcPr>
          <w:p>
            <w:r/>
            <w:r>
              <w:rPr>
                <w:sz w:val="20"/>
              </w:rPr>
              <w:t>Sous-représentation documentée des zones rurales et BAC pro</w:t>
            </w:r>
          </w:p>
        </w:tc>
      </w:tr>
      <w:tr>
        <w:tc>
          <w:tcPr>
            <w:tcW w:type="dxa" w:w="3041"/>
          </w:tcPr>
          <w:p>
            <w:r/>
            <w:r>
              <w:rPr>
                <w:b/>
                <w:sz w:val="20"/>
              </w:rPr>
              <w:t>JUGEMENT GLOBAL</w:t>
            </w:r>
          </w:p>
        </w:tc>
        <w:tc>
          <w:tcPr>
            <w:tcW w:type="dxa" w:w="3041"/>
          </w:tcPr>
          <w:p>
            <w:r/>
            <w:r>
              <w:rPr>
                <w:b/>
                <w:sz w:val="20"/>
              </w:rPr>
              <w:t>MOYEN À ÉLEVÉ</w:t>
            </w:r>
          </w:p>
        </w:tc>
        <w:tc>
          <w:tcPr>
            <w:tcW w:type="dxa" w:w="3041"/>
          </w:tcPr>
          <w:p>
            <w:r/>
            <w:r>
              <w:rPr>
                <w:sz w:val="20"/>
              </w:rPr>
              <w:t>Forte performance en insertions ; limites sur équité territoriale et qualité</w:t>
            </w:r>
          </w:p>
        </w:tc>
      </w:tr>
    </w:tbl>
    <w:p/>
    <w:p>
      <w:r>
        <w:br w:type="page"/>
      </w:r>
    </w:p>
    <w:p>
      <w:pPr>
        <w:pStyle w:val="Heading1"/>
      </w:pPr>
      <w:r>
        <w:rPr>
          <w:b/>
          <w:color w:val="1F3564"/>
        </w:rPr>
        <w:t>7. CONCLUSIONS PRÉLIMINAIRES ET RECOMMANDATIONS</w:t>
      </w:r>
    </w:p>
    <w:p>
      <w:pPr>
        <w:pStyle w:val="Heading2"/>
      </w:pPr>
      <w:r>
        <w:rPr>
          <w:b/>
          <w:color w:val="1F7A8C"/>
        </w:rPr>
        <w:t>7.1 Tableau de synthèse des jugements évaluatifs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Critère</w:t>
            </w:r>
          </w:p>
        </w:tc>
        <w:tc>
          <w:tcPr>
            <w:tcW w:type="dxa" w:w="3041"/>
            <w:shd w:val="clear" w:color="auto" w:fill="1F3564"/>
          </w:tcPr>
          <w:p>
            <w:r>
              <w:rPr>
                <w:b/>
                <w:color w:val="FFFFFF"/>
                <w:sz w:val="20"/>
              </w:rPr>
              <w:t>Jugement</w:t>
            </w:r>
          </w:p>
        </w:tc>
        <w:tc>
          <w:tcPr>
            <w:tcW w:type="dxa" w:w="3041"/>
            <w:shd w:val="clear" w:color="auto" w:fill="1F3564"/>
          </w:tcPr>
          <w:p>
            <w:r>
              <w:rPr>
                <w:b/>
                <w:color w:val="FFFFFF"/>
                <w:sz w:val="20"/>
              </w:rPr>
              <w:t>Éléments de preuve principaux</w:t>
            </w:r>
          </w:p>
        </w:tc>
      </w:tr>
      <w:tr>
        <w:tc>
          <w:tcPr>
            <w:tcW w:type="dxa" w:w="3041"/>
            <w:shd w:val="clear" w:color="auto" w:fill="E9F0F8"/>
          </w:tcPr>
          <w:p>
            <w:r/>
            <w:r>
              <w:rPr>
                <w:sz w:val="20"/>
              </w:rPr>
              <w:t>Pertinence</w:t>
            </w:r>
          </w:p>
        </w:tc>
        <w:tc>
          <w:tcPr>
            <w:tcW w:type="dxa" w:w="3041"/>
            <w:shd w:val="clear" w:color="auto" w:fill="E9F0F8"/>
          </w:tcPr>
          <w:p>
            <w:r/>
            <w:r>
              <w:rPr>
                <w:b/>
                <w:sz w:val="20"/>
              </w:rPr>
              <w:t>ÉLEVÉ</w:t>
            </w:r>
          </w:p>
        </w:tc>
        <w:tc>
          <w:tcPr>
            <w:tcW w:type="dxa" w:w="3041"/>
            <w:shd w:val="clear" w:color="auto" w:fill="E9F0F8"/>
          </w:tcPr>
          <w:p>
            <w:r/>
            <w:r>
              <w:rPr>
                <w:sz w:val="20"/>
              </w:rPr>
              <w:t>Taux de sous-emploi 72 %, triple défaillance documentée, 2 067 entreprises participantes, prolongation 2025</w:t>
            </w:r>
          </w:p>
        </w:tc>
      </w:tr>
      <w:tr>
        <w:tc>
          <w:tcPr>
            <w:tcW w:type="dxa" w:w="3041"/>
          </w:tcPr>
          <w:p>
            <w:r/>
            <w:r>
              <w:rPr>
                <w:sz w:val="20"/>
              </w:rPr>
              <w:t>Cohérence</w:t>
            </w:r>
          </w:p>
        </w:tc>
        <w:tc>
          <w:tcPr>
            <w:tcW w:type="dxa" w:w="3041"/>
          </w:tcPr>
          <w:p>
            <w:r/>
            <w:r>
              <w:rPr>
                <w:b/>
                <w:sz w:val="20"/>
              </w:rPr>
              <w:t>ÉLEVÉ</w:t>
            </w:r>
          </w:p>
        </w:tc>
        <w:tc>
          <w:tcPr>
            <w:tcW w:type="dxa" w:w="3041"/>
          </w:tcPr>
          <w:p>
            <w:r/>
            <w:r>
              <w:rPr>
                <w:sz w:val="20"/>
              </w:rPr>
              <w:t>Chaîne de résultats solide, intégration ANPE, alignement PNE/PAG2/ODD, absence de doublons</w:t>
            </w:r>
          </w:p>
        </w:tc>
      </w:tr>
      <w:tr>
        <w:tc>
          <w:tcPr>
            <w:tcW w:type="dxa" w:w="3041"/>
            <w:shd w:val="clear" w:color="auto" w:fill="E9F0F8"/>
          </w:tcPr>
          <w:p>
            <w:r/>
            <w:r>
              <w:rPr>
                <w:sz w:val="20"/>
              </w:rPr>
              <w:t>Efficacité</w:t>
            </w:r>
          </w:p>
        </w:tc>
        <w:tc>
          <w:tcPr>
            <w:tcW w:type="dxa" w:w="3041"/>
            <w:shd w:val="clear" w:color="auto" w:fill="E9F0F8"/>
          </w:tcPr>
          <w:p>
            <w:r/>
            <w:r>
              <w:rPr>
                <w:b/>
                <w:sz w:val="20"/>
              </w:rPr>
              <w:t>MOYEN À ÉLEVÉ</w:t>
            </w:r>
          </w:p>
        </w:tc>
        <w:tc>
          <w:tcPr>
            <w:tcW w:type="dxa" w:w="3041"/>
            <w:shd w:val="clear" w:color="auto" w:fill="E9F0F8"/>
          </w:tcPr>
          <w:p>
            <w:r/>
            <w:r>
              <w:rPr>
                <w:sz w:val="20"/>
              </w:rPr>
              <w:t>9 263 insertions (+15,8 % cible), 18,3 Mds FCFA versés, concentration géographique 85,5 %</w:t>
            </w:r>
          </w:p>
        </w:tc>
      </w:tr>
    </w:tbl>
    <w:p/>
    <w:p>
      <w:pPr>
        <w:pStyle w:val="Heading2"/>
      </w:pPr>
      <w:r>
        <w:rPr>
          <w:b/>
          <w:color w:val="1F7A8C"/>
        </w:rPr>
        <w:t>7.2 Recommandations prioritaires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F3564"/>
          </w:tcPr>
          <w:p>
            <w:r>
              <w:rPr>
                <w:b/>
                <w:color w:val="FFFFFF"/>
                <w:sz w:val="20"/>
              </w:rPr>
              <w:t>N°</w:t>
            </w:r>
          </w:p>
        </w:tc>
        <w:tc>
          <w:tcPr>
            <w:tcW w:type="dxa" w:w="1824"/>
            <w:shd w:val="clear" w:color="auto" w:fill="1F3564"/>
          </w:tcPr>
          <w:p>
            <w:r>
              <w:rPr>
                <w:b/>
                <w:color w:val="FFFFFF"/>
                <w:sz w:val="20"/>
              </w:rPr>
              <w:t>Recommandation</w:t>
            </w:r>
          </w:p>
        </w:tc>
        <w:tc>
          <w:tcPr>
            <w:tcW w:type="dxa" w:w="1824"/>
            <w:shd w:val="clear" w:color="auto" w:fill="1F3564"/>
          </w:tcPr>
          <w:p>
            <w:r>
              <w:rPr>
                <w:b/>
                <w:color w:val="FFFFFF"/>
                <w:sz w:val="20"/>
              </w:rPr>
              <w:t>Critère</w:t>
            </w:r>
          </w:p>
        </w:tc>
        <w:tc>
          <w:tcPr>
            <w:tcW w:type="dxa" w:w="1824"/>
            <w:shd w:val="clear" w:color="auto" w:fill="1F3564"/>
          </w:tcPr>
          <w:p>
            <w:r>
              <w:rPr>
                <w:b/>
                <w:color w:val="FFFFFF"/>
                <w:sz w:val="20"/>
              </w:rPr>
              <w:t>Priorité</w:t>
            </w:r>
          </w:p>
        </w:tc>
        <w:tc>
          <w:tcPr>
            <w:tcW w:type="dxa" w:w="1824"/>
            <w:shd w:val="clear" w:color="auto" w:fill="1F3564"/>
          </w:tcPr>
          <w:p>
            <w:r>
              <w:rPr>
                <w:b/>
                <w:color w:val="FFFFFF"/>
                <w:sz w:val="20"/>
              </w:rPr>
              <w:t>Acteur responsable</w:t>
            </w:r>
          </w:p>
        </w:tc>
      </w:tr>
      <w:tr>
        <w:tc>
          <w:tcPr>
            <w:tcW w:type="dxa" w:w="1824"/>
            <w:shd w:val="clear" w:color="auto" w:fill="E9F0F8"/>
          </w:tcPr>
          <w:p>
            <w:r/>
            <w:r>
              <w:rPr>
                <w:sz w:val="20"/>
              </w:rPr>
              <w:t>R1</w:t>
            </w:r>
          </w:p>
        </w:tc>
        <w:tc>
          <w:tcPr>
            <w:tcW w:type="dxa" w:w="1824"/>
            <w:shd w:val="clear" w:color="auto" w:fill="E9F0F8"/>
          </w:tcPr>
          <w:p>
            <w:r/>
            <w:r>
              <w:rPr>
                <w:sz w:val="20"/>
              </w:rPr>
              <w:t>Réaliser une évaluation à mi-parcours lors du prochain cycle du PSIE pour combler l'absence de données d'effets capitalisés</w:t>
            </w:r>
          </w:p>
        </w:tc>
        <w:tc>
          <w:tcPr>
            <w:tcW w:type="dxa" w:w="1824"/>
            <w:shd w:val="clear" w:color="auto" w:fill="E9F0F8"/>
          </w:tcPr>
          <w:p>
            <w:r/>
            <w:r>
              <w:rPr>
                <w:sz w:val="20"/>
              </w:rPr>
              <w:t>Pertinence</w:t>
            </w:r>
          </w:p>
        </w:tc>
        <w:tc>
          <w:tcPr>
            <w:tcW w:type="dxa" w:w="1824"/>
            <w:shd w:val="clear" w:color="auto" w:fill="E9F0F8"/>
          </w:tcPr>
          <w:p>
            <w:r/>
            <w:r>
              <w:rPr>
                <w:sz w:val="20"/>
              </w:rPr>
              <w:t>Haute</w:t>
            </w:r>
          </w:p>
        </w:tc>
        <w:tc>
          <w:tcPr>
            <w:tcW w:type="dxa" w:w="1824"/>
            <w:shd w:val="clear" w:color="auto" w:fill="E9F0F8"/>
          </w:tcPr>
          <w:p>
            <w:r/>
            <w:r>
              <w:rPr>
                <w:sz w:val="20"/>
              </w:rPr>
              <w:t>ANPE / DGPD</w:t>
            </w:r>
          </w:p>
        </w:tc>
      </w:tr>
      <w:tr>
        <w:tc>
          <w:tcPr>
            <w:tcW w:type="dxa" w:w="1824"/>
          </w:tcPr>
          <w:p>
            <w:r/>
            <w:r>
              <w:rPr>
                <w:sz w:val="20"/>
              </w:rPr>
              <w:t>R2</w:t>
            </w:r>
          </w:p>
        </w:tc>
        <w:tc>
          <w:tcPr>
            <w:tcW w:type="dxa" w:w="1824"/>
          </w:tcPr>
          <w:p>
            <w:r/>
            <w:r>
              <w:rPr>
                <w:sz w:val="20"/>
              </w:rPr>
              <w:t>Formaliser dans un avenant au cadre logique la révision de la grille salariale et la prolongation 2025</w:t>
            </w:r>
          </w:p>
        </w:tc>
        <w:tc>
          <w:tcPr>
            <w:tcW w:type="dxa" w:w="1824"/>
          </w:tcPr>
          <w:p>
            <w:r/>
            <w:r>
              <w:rPr>
                <w:sz w:val="20"/>
              </w:rPr>
              <w:t>Cohérence</w:t>
            </w:r>
          </w:p>
        </w:tc>
        <w:tc>
          <w:tcPr>
            <w:tcW w:type="dxa" w:w="1824"/>
          </w:tcPr>
          <w:p>
            <w:r/>
            <w:r>
              <w:rPr>
                <w:sz w:val="20"/>
              </w:rPr>
              <w:t>Haute</w:t>
            </w:r>
          </w:p>
        </w:tc>
        <w:tc>
          <w:tcPr>
            <w:tcW w:type="dxa" w:w="1824"/>
          </w:tcPr>
          <w:p>
            <w:r/>
            <w:r>
              <w:rPr>
                <w:sz w:val="20"/>
              </w:rPr>
              <w:t>UGP PSIE / ANPE</w:t>
            </w:r>
          </w:p>
        </w:tc>
      </w:tr>
      <w:tr>
        <w:tc>
          <w:tcPr>
            <w:tcW w:type="dxa" w:w="1824"/>
            <w:shd w:val="clear" w:color="auto" w:fill="E9F0F8"/>
          </w:tcPr>
          <w:p>
            <w:r/>
            <w:r>
              <w:rPr>
                <w:sz w:val="20"/>
              </w:rPr>
              <w:t>R3</w:t>
            </w:r>
          </w:p>
        </w:tc>
        <w:tc>
          <w:tcPr>
            <w:tcW w:type="dxa" w:w="1824"/>
            <w:shd w:val="clear" w:color="auto" w:fill="E9F0F8"/>
          </w:tcPr>
          <w:p>
            <w:r/>
            <w:r>
              <w:rPr>
                <w:sz w:val="20"/>
              </w:rPr>
              <w:t>Développer une stratégie de déploiement dans les 10 départements sous-représentés (cible : 30 % hors Littoral/Atlantique d'ici 2027)</w:t>
            </w:r>
          </w:p>
        </w:tc>
        <w:tc>
          <w:tcPr>
            <w:tcW w:type="dxa" w:w="1824"/>
            <w:shd w:val="clear" w:color="auto" w:fill="E9F0F8"/>
          </w:tcPr>
          <w:p>
            <w:r/>
            <w:r>
              <w:rPr>
                <w:sz w:val="20"/>
              </w:rPr>
              <w:t>Efficacité/Cohérence</w:t>
            </w:r>
          </w:p>
        </w:tc>
        <w:tc>
          <w:tcPr>
            <w:tcW w:type="dxa" w:w="1824"/>
            <w:shd w:val="clear" w:color="auto" w:fill="E9F0F8"/>
          </w:tcPr>
          <w:p>
            <w:r/>
            <w:r>
              <w:rPr>
                <w:sz w:val="20"/>
              </w:rPr>
              <w:t>Haute</w:t>
            </w:r>
          </w:p>
        </w:tc>
        <w:tc>
          <w:tcPr>
            <w:tcW w:type="dxa" w:w="1824"/>
            <w:shd w:val="clear" w:color="auto" w:fill="E9F0F8"/>
          </w:tcPr>
          <w:p>
            <w:r/>
            <w:r>
              <w:rPr>
                <w:sz w:val="20"/>
              </w:rPr>
              <w:t>ANPE / MEF</w:t>
            </w:r>
          </w:p>
        </w:tc>
      </w:tr>
      <w:tr>
        <w:tc>
          <w:tcPr>
            <w:tcW w:type="dxa" w:w="1824"/>
          </w:tcPr>
          <w:p>
            <w:r/>
            <w:r>
              <w:rPr>
                <w:sz w:val="20"/>
              </w:rPr>
              <w:t>R4</w:t>
            </w:r>
          </w:p>
        </w:tc>
        <w:tc>
          <w:tcPr>
            <w:tcW w:type="dxa" w:w="1824"/>
          </w:tcPr>
          <w:p>
            <w:r/>
            <w:r>
              <w:rPr>
                <w:sz w:val="20"/>
              </w:rPr>
              <w:t>Mettre en place un mécanisme formel d'articulation avec la GDIZ pour canaliser la demande industrielle vers le PSIE</w:t>
            </w:r>
          </w:p>
        </w:tc>
        <w:tc>
          <w:tcPr>
            <w:tcW w:type="dxa" w:w="1824"/>
          </w:tcPr>
          <w:p>
            <w:r/>
            <w:r>
              <w:rPr>
                <w:sz w:val="20"/>
              </w:rPr>
              <w:t>Cohérence/Efficacité</w:t>
            </w:r>
          </w:p>
        </w:tc>
        <w:tc>
          <w:tcPr>
            <w:tcW w:type="dxa" w:w="1824"/>
          </w:tcPr>
          <w:p>
            <w:r/>
            <w:r>
              <w:rPr>
                <w:sz w:val="20"/>
              </w:rPr>
              <w:t>Moyenne</w:t>
            </w:r>
          </w:p>
        </w:tc>
        <w:tc>
          <w:tcPr>
            <w:tcW w:type="dxa" w:w="1824"/>
          </w:tcPr>
          <w:p>
            <w:r/>
            <w:r>
              <w:rPr>
                <w:sz w:val="20"/>
              </w:rPr>
              <w:t>ANPE / MDI</w:t>
            </w:r>
          </w:p>
        </w:tc>
      </w:tr>
      <w:tr>
        <w:tc>
          <w:tcPr>
            <w:tcW w:type="dxa" w:w="1824"/>
            <w:shd w:val="clear" w:color="auto" w:fill="E9F0F8"/>
          </w:tcPr>
          <w:p>
            <w:r/>
            <w:r>
              <w:rPr>
                <w:sz w:val="20"/>
              </w:rPr>
              <w:t>R5</w:t>
            </w:r>
          </w:p>
        </w:tc>
        <w:tc>
          <w:tcPr>
            <w:tcW w:type="dxa" w:w="1824"/>
            <w:shd w:val="clear" w:color="auto" w:fill="E9F0F8"/>
          </w:tcPr>
          <w:p>
            <w:r/>
            <w:r>
              <w:rPr>
                <w:sz w:val="20"/>
              </w:rPr>
              <w:t>Documenter quantitativement les mesures d'accompagnement à l'employabilité (taux de couverture, nombre de jeunes formés par mesure)</w:t>
            </w:r>
          </w:p>
        </w:tc>
        <w:tc>
          <w:tcPr>
            <w:tcW w:type="dxa" w:w="1824"/>
            <w:shd w:val="clear" w:color="auto" w:fill="E9F0F8"/>
          </w:tcPr>
          <w:p>
            <w:r/>
            <w:r>
              <w:rPr>
                <w:sz w:val="20"/>
              </w:rPr>
              <w:t>Efficacité</w:t>
            </w:r>
          </w:p>
        </w:tc>
        <w:tc>
          <w:tcPr>
            <w:tcW w:type="dxa" w:w="1824"/>
            <w:shd w:val="clear" w:color="auto" w:fill="E9F0F8"/>
          </w:tcPr>
          <w:p>
            <w:r/>
            <w:r>
              <w:rPr>
                <w:sz w:val="20"/>
              </w:rPr>
              <w:t>Moyenne</w:t>
            </w:r>
          </w:p>
        </w:tc>
        <w:tc>
          <w:tcPr>
            <w:tcW w:type="dxa" w:w="1824"/>
            <w:shd w:val="clear" w:color="auto" w:fill="E9F0F8"/>
          </w:tcPr>
          <w:p>
            <w:r/>
            <w:r>
              <w:rPr>
                <w:sz w:val="20"/>
              </w:rPr>
              <w:t>UGP PSIE</w:t>
            </w:r>
          </w:p>
        </w:tc>
      </w:tr>
    </w:tbl>
    <w:p/>
    <w:p>
      <w:pPr>
        <w:pStyle w:val="Heading1"/>
      </w:pPr>
      <w:r>
        <w:rPr>
          <w:b/>
          <w:color w:val="1F3564"/>
        </w:rPr>
        <w:t>8. LIMITES DE L'ÉVALUATION — PHASE 1</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Limite</w:t>
            </w:r>
          </w:p>
        </w:tc>
        <w:tc>
          <w:tcPr>
            <w:tcW w:type="dxa" w:w="3041"/>
            <w:shd w:val="clear" w:color="auto" w:fill="1F3564"/>
          </w:tcPr>
          <w:p>
            <w:r>
              <w:rPr>
                <w:b/>
                <w:color w:val="FFFFFF"/>
                <w:sz w:val="20"/>
              </w:rPr>
              <w:t>Nature</w:t>
            </w:r>
          </w:p>
        </w:tc>
        <w:tc>
          <w:tcPr>
            <w:tcW w:type="dxa" w:w="3041"/>
            <w:shd w:val="clear" w:color="auto" w:fill="1F3564"/>
          </w:tcPr>
          <w:p>
            <w:r>
              <w:rPr>
                <w:b/>
                <w:color w:val="FFFFFF"/>
                <w:sz w:val="20"/>
              </w:rPr>
              <w:t>Implication pour l'évaluation</w:t>
            </w:r>
          </w:p>
        </w:tc>
      </w:tr>
      <w:tr>
        <w:tc>
          <w:tcPr>
            <w:tcW w:type="dxa" w:w="3041"/>
            <w:shd w:val="clear" w:color="auto" w:fill="E9F0F8"/>
          </w:tcPr>
          <w:p>
            <w:r/>
            <w:r>
              <w:rPr>
                <w:sz w:val="20"/>
              </w:rPr>
              <w:t>Absence d'évaluation à mi-parcours du PSIE</w:t>
            </w:r>
          </w:p>
        </w:tc>
        <w:tc>
          <w:tcPr>
            <w:tcW w:type="dxa" w:w="3041"/>
            <w:shd w:val="clear" w:color="auto" w:fill="E9F0F8"/>
          </w:tcPr>
          <w:p>
            <w:r/>
            <w:r>
              <w:rPr>
                <w:sz w:val="20"/>
              </w:rPr>
              <w:t>Lacune documentaire</w:t>
            </w:r>
          </w:p>
        </w:tc>
        <w:tc>
          <w:tcPr>
            <w:tcW w:type="dxa" w:w="3041"/>
            <w:shd w:val="clear" w:color="auto" w:fill="E9F0F8"/>
          </w:tcPr>
          <w:p>
            <w:r/>
            <w:r>
              <w:rPr>
                <w:sz w:val="20"/>
              </w:rPr>
              <w:t>Pas de données sur l'évolution des effets au fil du temps</w:t>
            </w:r>
          </w:p>
        </w:tc>
      </w:tr>
      <w:tr>
        <w:tc>
          <w:tcPr>
            <w:tcW w:type="dxa" w:w="3041"/>
          </w:tcPr>
          <w:p>
            <w:r/>
            <w:r>
              <w:rPr>
                <w:sz w:val="20"/>
              </w:rPr>
              <w:t>Pas de données de satisfaction des bénéficiaires</w:t>
            </w:r>
          </w:p>
        </w:tc>
        <w:tc>
          <w:tcPr>
            <w:tcW w:type="dxa" w:w="3041"/>
          </w:tcPr>
          <w:p>
            <w:r/>
            <w:r>
              <w:rPr>
                <w:sz w:val="20"/>
              </w:rPr>
              <w:t>Lacune documentaire</w:t>
            </w:r>
          </w:p>
        </w:tc>
        <w:tc>
          <w:tcPr>
            <w:tcW w:type="dxa" w:w="3041"/>
          </w:tcPr>
          <w:p>
            <w:r/>
            <w:r>
              <w:rPr>
                <w:sz w:val="20"/>
              </w:rPr>
              <w:t>Qualité des services non mesurable en Phase 1</w:t>
            </w:r>
          </w:p>
        </w:tc>
      </w:tr>
      <w:tr>
        <w:tc>
          <w:tcPr>
            <w:tcW w:type="dxa" w:w="3041"/>
            <w:shd w:val="clear" w:color="auto" w:fill="E9F0F8"/>
          </w:tcPr>
          <w:p>
            <w:r/>
            <w:r>
              <w:rPr>
                <w:sz w:val="20"/>
              </w:rPr>
              <w:t>Absence de données désagrégées par sexe</w:t>
            </w:r>
          </w:p>
        </w:tc>
        <w:tc>
          <w:tcPr>
            <w:tcW w:type="dxa" w:w="3041"/>
            <w:shd w:val="clear" w:color="auto" w:fill="E9F0F8"/>
          </w:tcPr>
          <w:p>
            <w:r/>
            <w:r>
              <w:rPr>
                <w:sz w:val="20"/>
              </w:rPr>
              <w:t>Lacune statistique</w:t>
            </w:r>
          </w:p>
        </w:tc>
        <w:tc>
          <w:tcPr>
            <w:tcW w:type="dxa" w:w="3041"/>
            <w:shd w:val="clear" w:color="auto" w:fill="E9F0F8"/>
          </w:tcPr>
          <w:p>
            <w:r/>
            <w:r>
              <w:rPr>
                <w:sz w:val="20"/>
              </w:rPr>
              <w:t>Dimension genre non évaluable en Phase 1</w:t>
            </w:r>
          </w:p>
        </w:tc>
      </w:tr>
      <w:tr>
        <w:tc>
          <w:tcPr>
            <w:tcW w:type="dxa" w:w="3041"/>
          </w:tcPr>
          <w:p>
            <w:r/>
            <w:r>
              <w:rPr>
                <w:sz w:val="20"/>
              </w:rPr>
              <w:t>Grille salariale révisée sans avenant formalisé</w:t>
            </w:r>
          </w:p>
        </w:tc>
        <w:tc>
          <w:tcPr>
            <w:tcW w:type="dxa" w:w="3041"/>
          </w:tcPr>
          <w:p>
            <w:r/>
            <w:r>
              <w:rPr>
                <w:sz w:val="20"/>
              </w:rPr>
              <w:t>Incohérence documentaire</w:t>
            </w:r>
          </w:p>
        </w:tc>
        <w:tc>
          <w:tcPr>
            <w:tcW w:type="dxa" w:w="3041"/>
          </w:tcPr>
          <w:p>
            <w:r/>
            <w:r>
              <w:rPr>
                <w:sz w:val="20"/>
              </w:rPr>
              <w:t>Écart non tracé entre budget initial et exécution réelle</w:t>
            </w:r>
          </w:p>
        </w:tc>
      </w:tr>
      <w:tr>
        <w:tc>
          <w:tcPr>
            <w:tcW w:type="dxa" w:w="3041"/>
            <w:shd w:val="clear" w:color="auto" w:fill="E9F0F8"/>
          </w:tcPr>
          <w:p>
            <w:r/>
            <w:r>
              <w:rPr>
                <w:sz w:val="20"/>
              </w:rPr>
              <w:t>Pas de données de notoriété du programme</w:t>
            </w:r>
          </w:p>
        </w:tc>
        <w:tc>
          <w:tcPr>
            <w:tcW w:type="dxa" w:w="3041"/>
            <w:shd w:val="clear" w:color="auto" w:fill="E9F0F8"/>
          </w:tcPr>
          <w:p>
            <w:r/>
            <w:r>
              <w:rPr>
                <w:sz w:val="20"/>
              </w:rPr>
              <w:t>Lacune statistique</w:t>
            </w:r>
          </w:p>
        </w:tc>
        <w:tc>
          <w:tcPr>
            <w:tcW w:type="dxa" w:w="3041"/>
            <w:shd w:val="clear" w:color="auto" w:fill="E9F0F8"/>
          </w:tcPr>
          <w:p>
            <w:r/>
            <w:r>
              <w:rPr>
                <w:sz w:val="20"/>
              </w:rPr>
              <w:t>Groupes non atteints partiellement documentés</w:t>
            </w:r>
          </w:p>
        </w:tc>
      </w:tr>
    </w:tbl>
    <w:p/>
    <w:p>
      <w:pPr>
        <w:pStyle w:val="Heading1"/>
      </w:pPr>
      <w:r>
        <w:rPr>
          <w:b/>
          <w:color w:val="1F3564"/>
        </w:rPr>
        <w:t>ANNEXES</w:t>
      </w:r>
    </w:p>
    <w:p>
      <w:pPr>
        <w:pStyle w:val="Heading2"/>
      </w:pPr>
      <w:r>
        <w:rPr>
          <w:b/>
          <w:color w:val="1F7A8C"/>
        </w:rPr>
        <w:t>Annexe 1 — Matrice d'évaluation synthétique (Phase 1)</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F3564"/>
          </w:tcPr>
          <w:p>
            <w:r>
              <w:rPr>
                <w:b/>
                <w:color w:val="FFFFFF"/>
                <w:sz w:val="20"/>
              </w:rPr>
              <w:t>Critère</w:t>
            </w:r>
          </w:p>
        </w:tc>
        <w:tc>
          <w:tcPr>
            <w:tcW w:type="dxa" w:w="2280"/>
            <w:shd w:val="clear" w:color="auto" w:fill="1F3564"/>
          </w:tcPr>
          <w:p>
            <w:r>
              <w:rPr>
                <w:b/>
                <w:color w:val="FFFFFF"/>
                <w:sz w:val="20"/>
              </w:rPr>
              <w:t>Question évaluative</w:t>
            </w:r>
          </w:p>
        </w:tc>
        <w:tc>
          <w:tcPr>
            <w:tcW w:type="dxa" w:w="2280"/>
            <w:shd w:val="clear" w:color="auto" w:fill="1F3564"/>
          </w:tcPr>
          <w:p>
            <w:r>
              <w:rPr>
                <w:b/>
                <w:color w:val="FFFFFF"/>
                <w:sz w:val="20"/>
              </w:rPr>
              <w:t>Source documentaire</w:t>
            </w:r>
          </w:p>
        </w:tc>
        <w:tc>
          <w:tcPr>
            <w:tcW w:type="dxa" w:w="2280"/>
            <w:shd w:val="clear" w:color="auto" w:fill="1F3564"/>
          </w:tcPr>
          <w:p>
            <w:r>
              <w:rPr>
                <w:b/>
                <w:color w:val="FFFFFF"/>
                <w:sz w:val="20"/>
              </w:rPr>
              <w:t>Jugement</w:t>
            </w:r>
          </w:p>
        </w:tc>
      </w:tr>
      <w:tr>
        <w:tc>
          <w:tcPr>
            <w:tcW w:type="dxa" w:w="2280"/>
            <w:shd w:val="clear" w:color="auto" w:fill="E9F0F8"/>
          </w:tcPr>
          <w:p>
            <w:r/>
            <w:r>
              <w:rPr>
                <w:sz w:val="20"/>
              </w:rPr>
              <w:t>Pertinence</w:t>
            </w:r>
          </w:p>
        </w:tc>
        <w:tc>
          <w:tcPr>
            <w:tcW w:type="dxa" w:w="2280"/>
            <w:shd w:val="clear" w:color="auto" w:fill="E9F0F8"/>
          </w:tcPr>
          <w:p>
            <w:r/>
            <w:r>
              <w:rPr>
                <w:sz w:val="20"/>
              </w:rPr>
              <w:t>QE1+QE2 : Problème à l'origine et ampleur documentée</w:t>
            </w:r>
          </w:p>
        </w:tc>
        <w:tc>
          <w:tcPr>
            <w:tcW w:type="dxa" w:w="2280"/>
            <w:shd w:val="clear" w:color="auto" w:fill="E9F0F8"/>
          </w:tcPr>
          <w:p>
            <w:r/>
            <w:r>
              <w:rPr>
                <w:sz w:val="20"/>
              </w:rPr>
              <w:t>Prodoc §2 ; INSAE 2017</w:t>
            </w:r>
          </w:p>
        </w:tc>
        <w:tc>
          <w:tcPr>
            <w:tcW w:type="dxa" w:w="2280"/>
            <w:shd w:val="clear" w:color="auto" w:fill="E9F0F8"/>
          </w:tcPr>
          <w:p>
            <w:r/>
            <w:r>
              <w:rPr>
                <w:sz w:val="20"/>
              </w:rPr>
              <w:t>ÉLEVÉ</w:t>
            </w:r>
          </w:p>
        </w:tc>
      </w:tr>
      <w:tr>
        <w:tc>
          <w:tcPr>
            <w:tcW w:type="dxa" w:w="2280"/>
          </w:tcPr>
          <w:p>
            <w:r/>
            <w:r>
              <w:rPr>
                <w:sz w:val="20"/>
              </w:rPr>
              <w:t>Pertinence</w:t>
            </w:r>
          </w:p>
        </w:tc>
        <w:tc>
          <w:tcPr>
            <w:tcW w:type="dxa" w:w="2280"/>
          </w:tcPr>
          <w:p>
            <w:r/>
            <w:r>
              <w:rPr>
                <w:sz w:val="20"/>
              </w:rPr>
              <w:t>QE3 : Bénéficiaires directs et indirects identifiés</w:t>
            </w:r>
          </w:p>
        </w:tc>
        <w:tc>
          <w:tcPr>
            <w:tcW w:type="dxa" w:w="2280"/>
          </w:tcPr>
          <w:p>
            <w:r/>
            <w:r>
              <w:rPr>
                <w:sz w:val="20"/>
              </w:rPr>
              <w:t>Prodoc §3</w:t>
            </w:r>
          </w:p>
        </w:tc>
        <w:tc>
          <w:tcPr>
            <w:tcW w:type="dxa" w:w="2280"/>
          </w:tcPr>
          <w:p>
            <w:r/>
            <w:r>
              <w:rPr>
                <w:sz w:val="20"/>
              </w:rPr>
              <w:t>ÉLEVÉ</w:t>
            </w:r>
          </w:p>
        </w:tc>
      </w:tr>
      <w:tr>
        <w:tc>
          <w:tcPr>
            <w:tcW w:type="dxa" w:w="2280"/>
            <w:shd w:val="clear" w:color="auto" w:fill="E9F0F8"/>
          </w:tcPr>
          <w:p>
            <w:r/>
            <w:r>
              <w:rPr>
                <w:sz w:val="20"/>
              </w:rPr>
              <w:t>Pertinence</w:t>
            </w:r>
          </w:p>
        </w:tc>
        <w:tc>
          <w:tcPr>
            <w:tcW w:type="dxa" w:w="2280"/>
            <w:shd w:val="clear" w:color="auto" w:fill="E9F0F8"/>
          </w:tcPr>
          <w:p>
            <w:r/>
            <w:r>
              <w:rPr>
                <w:sz w:val="20"/>
              </w:rPr>
              <w:t>QE4 : Capitalisation des approches similaires</w:t>
            </w:r>
          </w:p>
        </w:tc>
        <w:tc>
          <w:tcPr>
            <w:tcW w:type="dxa" w:w="2280"/>
            <w:shd w:val="clear" w:color="auto" w:fill="E9F0F8"/>
          </w:tcPr>
          <w:p>
            <w:r/>
            <w:r>
              <w:rPr>
                <w:sz w:val="20"/>
              </w:rPr>
              <w:t>Prodoc §1 ; PAES 2009</w:t>
            </w:r>
          </w:p>
        </w:tc>
        <w:tc>
          <w:tcPr>
            <w:tcW w:type="dxa" w:w="2280"/>
            <w:shd w:val="clear" w:color="auto" w:fill="E9F0F8"/>
          </w:tcPr>
          <w:p>
            <w:r/>
            <w:r>
              <w:rPr>
                <w:sz w:val="20"/>
              </w:rPr>
              <w:t>ÉLEVÉ</w:t>
            </w:r>
          </w:p>
        </w:tc>
      </w:tr>
      <w:tr>
        <w:tc>
          <w:tcPr>
            <w:tcW w:type="dxa" w:w="2280"/>
          </w:tcPr>
          <w:p>
            <w:r/>
            <w:r>
              <w:rPr>
                <w:sz w:val="20"/>
              </w:rPr>
              <w:t>Pertinence</w:t>
            </w:r>
          </w:p>
        </w:tc>
        <w:tc>
          <w:tcPr>
            <w:tcW w:type="dxa" w:w="2280"/>
          </w:tcPr>
          <w:p>
            <w:r/>
            <w:r>
              <w:rPr>
                <w:sz w:val="20"/>
              </w:rPr>
              <w:t>QE5 : Rationnel d'intervention et logique causale</w:t>
            </w:r>
          </w:p>
        </w:tc>
        <w:tc>
          <w:tcPr>
            <w:tcW w:type="dxa" w:w="2280"/>
          </w:tcPr>
          <w:p>
            <w:r/>
            <w:r>
              <w:rPr>
                <w:sz w:val="20"/>
              </w:rPr>
              <w:t>Prodoc §4 ; Cadre Logique</w:t>
            </w:r>
          </w:p>
        </w:tc>
        <w:tc>
          <w:tcPr>
            <w:tcW w:type="dxa" w:w="2280"/>
          </w:tcPr>
          <w:p>
            <w:r/>
            <w:r>
              <w:rPr>
                <w:sz w:val="20"/>
              </w:rPr>
              <w:t>ÉLEVÉ</w:t>
            </w:r>
          </w:p>
        </w:tc>
      </w:tr>
      <w:tr>
        <w:tc>
          <w:tcPr>
            <w:tcW w:type="dxa" w:w="2280"/>
            <w:shd w:val="clear" w:color="auto" w:fill="E9F0F8"/>
          </w:tcPr>
          <w:p>
            <w:r/>
            <w:r>
              <w:rPr>
                <w:sz w:val="20"/>
              </w:rPr>
              <w:t>Cohérence</w:t>
            </w:r>
          </w:p>
        </w:tc>
        <w:tc>
          <w:tcPr>
            <w:tcW w:type="dxa" w:w="2280"/>
            <w:shd w:val="clear" w:color="auto" w:fill="E9F0F8"/>
          </w:tcPr>
          <w:p>
            <w:r/>
            <w:r>
              <w:rPr>
                <w:sz w:val="20"/>
              </w:rPr>
              <w:t>QE6 : Cohérence interne — chaîne de résultats</w:t>
            </w:r>
          </w:p>
        </w:tc>
        <w:tc>
          <w:tcPr>
            <w:tcW w:type="dxa" w:w="2280"/>
            <w:shd w:val="clear" w:color="auto" w:fill="E9F0F8"/>
          </w:tcPr>
          <w:p>
            <w:r/>
            <w:r>
              <w:rPr>
                <w:sz w:val="20"/>
              </w:rPr>
              <w:t>Cadre Logique ; Prodoc §9</w:t>
            </w:r>
          </w:p>
        </w:tc>
        <w:tc>
          <w:tcPr>
            <w:tcW w:type="dxa" w:w="2280"/>
            <w:shd w:val="clear" w:color="auto" w:fill="E9F0F8"/>
          </w:tcPr>
          <w:p>
            <w:r/>
            <w:r>
              <w:rPr>
                <w:sz w:val="20"/>
              </w:rPr>
              <w:t>ÉLEVÉ</w:t>
            </w:r>
          </w:p>
        </w:tc>
      </w:tr>
      <w:tr>
        <w:tc>
          <w:tcPr>
            <w:tcW w:type="dxa" w:w="2280"/>
          </w:tcPr>
          <w:p>
            <w:r/>
            <w:r>
              <w:rPr>
                <w:sz w:val="20"/>
              </w:rPr>
              <w:t>Cohérence</w:t>
            </w:r>
          </w:p>
        </w:tc>
        <w:tc>
          <w:tcPr>
            <w:tcW w:type="dxa" w:w="2280"/>
          </w:tcPr>
          <w:p>
            <w:r/>
            <w:r>
              <w:rPr>
                <w:sz w:val="20"/>
              </w:rPr>
              <w:t>QE7 : Cohérence avec stratégies sectorielles emploi</w:t>
            </w:r>
          </w:p>
        </w:tc>
        <w:tc>
          <w:tcPr>
            <w:tcW w:type="dxa" w:w="2280"/>
          </w:tcPr>
          <w:p>
            <w:r/>
            <w:r>
              <w:rPr>
                <w:sz w:val="20"/>
              </w:rPr>
              <w:t>PNE 2017-2026 ; Prodoc §1</w:t>
            </w:r>
          </w:p>
        </w:tc>
        <w:tc>
          <w:tcPr>
            <w:tcW w:type="dxa" w:w="2280"/>
          </w:tcPr>
          <w:p>
            <w:r/>
            <w:r>
              <w:rPr>
                <w:sz w:val="20"/>
              </w:rPr>
              <w:t>ÉLEVÉ</w:t>
            </w:r>
          </w:p>
        </w:tc>
      </w:tr>
      <w:tr>
        <w:tc>
          <w:tcPr>
            <w:tcW w:type="dxa" w:w="2280"/>
            <w:shd w:val="clear" w:color="auto" w:fill="E9F0F8"/>
          </w:tcPr>
          <w:p>
            <w:r/>
            <w:r>
              <w:rPr>
                <w:sz w:val="20"/>
              </w:rPr>
              <w:t>Cohérence</w:t>
            </w:r>
          </w:p>
        </w:tc>
        <w:tc>
          <w:tcPr>
            <w:tcW w:type="dxa" w:w="2280"/>
            <w:shd w:val="clear" w:color="auto" w:fill="E9F0F8"/>
          </w:tcPr>
          <w:p>
            <w:r/>
            <w:r>
              <w:rPr>
                <w:sz w:val="20"/>
              </w:rPr>
              <w:t>QE8 : Synergies PND, PAG2, ODD</w:t>
            </w:r>
          </w:p>
        </w:tc>
        <w:tc>
          <w:tcPr>
            <w:tcW w:type="dxa" w:w="2280"/>
            <w:shd w:val="clear" w:color="auto" w:fill="E9F0F8"/>
          </w:tcPr>
          <w:p>
            <w:r/>
            <w:r>
              <w:rPr>
                <w:sz w:val="20"/>
              </w:rPr>
              <w:t>Prodoc §1 ; Rapport MO</w:t>
            </w:r>
          </w:p>
        </w:tc>
        <w:tc>
          <w:tcPr>
            <w:tcW w:type="dxa" w:w="2280"/>
            <w:shd w:val="clear" w:color="auto" w:fill="E9F0F8"/>
          </w:tcPr>
          <w:p>
            <w:r/>
            <w:r>
              <w:rPr>
                <w:sz w:val="20"/>
              </w:rPr>
              <w:t>ÉLEVÉ</w:t>
            </w:r>
          </w:p>
        </w:tc>
      </w:tr>
      <w:tr>
        <w:tc>
          <w:tcPr>
            <w:tcW w:type="dxa" w:w="2280"/>
          </w:tcPr>
          <w:p>
            <w:r/>
            <w:r>
              <w:rPr>
                <w:sz w:val="20"/>
              </w:rPr>
              <w:t>Efficacité</w:t>
            </w:r>
          </w:p>
        </w:tc>
        <w:tc>
          <w:tcPr>
            <w:tcW w:type="dxa" w:w="2280"/>
          </w:tcPr>
          <w:p>
            <w:r/>
            <w:r>
              <w:rPr>
                <w:sz w:val="20"/>
              </w:rPr>
              <w:t>QE9 : Actions d'immersion et d'encadrement</w:t>
            </w:r>
          </w:p>
        </w:tc>
        <w:tc>
          <w:tcPr>
            <w:tcW w:type="dxa" w:w="2280"/>
          </w:tcPr>
          <w:p>
            <w:r/>
            <w:r>
              <w:rPr>
                <w:sz w:val="20"/>
              </w:rPr>
              <w:t>Rapport MO Tableau 2</w:t>
            </w:r>
          </w:p>
        </w:tc>
        <w:tc>
          <w:tcPr>
            <w:tcW w:type="dxa" w:w="2280"/>
          </w:tcPr>
          <w:p>
            <w:r/>
            <w:r>
              <w:rPr>
                <w:sz w:val="20"/>
              </w:rPr>
              <w:t>ÉLEVÉ</w:t>
            </w:r>
          </w:p>
        </w:tc>
      </w:tr>
      <w:tr>
        <w:tc>
          <w:tcPr>
            <w:tcW w:type="dxa" w:w="2280"/>
            <w:shd w:val="clear" w:color="auto" w:fill="E9F0F8"/>
          </w:tcPr>
          <w:p>
            <w:r/>
            <w:r>
              <w:rPr>
                <w:sz w:val="20"/>
              </w:rPr>
              <w:t>Efficacité</w:t>
            </w:r>
          </w:p>
        </w:tc>
        <w:tc>
          <w:tcPr>
            <w:tcW w:type="dxa" w:w="2280"/>
            <w:shd w:val="clear" w:color="auto" w:fill="E9F0F8"/>
          </w:tcPr>
          <w:p>
            <w:r/>
            <w:r>
              <w:rPr>
                <w:sz w:val="20"/>
              </w:rPr>
              <w:t>QE10 : Soutien financier à la prise en charge salariale</w:t>
            </w:r>
          </w:p>
        </w:tc>
        <w:tc>
          <w:tcPr>
            <w:tcW w:type="dxa" w:w="2280"/>
            <w:shd w:val="clear" w:color="auto" w:fill="E9F0F8"/>
          </w:tcPr>
          <w:p>
            <w:r/>
            <w:r>
              <w:rPr>
                <w:sz w:val="20"/>
              </w:rPr>
              <w:t>Rapport MO Tableau financier</w:t>
            </w:r>
          </w:p>
        </w:tc>
        <w:tc>
          <w:tcPr>
            <w:tcW w:type="dxa" w:w="2280"/>
            <w:shd w:val="clear" w:color="auto" w:fill="E9F0F8"/>
          </w:tcPr>
          <w:p>
            <w:r/>
            <w:r>
              <w:rPr>
                <w:sz w:val="20"/>
              </w:rPr>
              <w:t>ÉLEVÉ</w:t>
            </w:r>
          </w:p>
        </w:tc>
      </w:tr>
      <w:tr>
        <w:tc>
          <w:tcPr>
            <w:tcW w:type="dxa" w:w="2280"/>
          </w:tcPr>
          <w:p>
            <w:r/>
            <w:r>
              <w:rPr>
                <w:sz w:val="20"/>
              </w:rPr>
              <w:t>Efficacité</w:t>
            </w:r>
          </w:p>
        </w:tc>
        <w:tc>
          <w:tcPr>
            <w:tcW w:type="dxa" w:w="2280"/>
          </w:tcPr>
          <w:p>
            <w:r/>
            <w:r>
              <w:rPr>
                <w:sz w:val="20"/>
              </w:rPr>
              <w:t>QE11 : Accompagnement à l'employabilité</w:t>
            </w:r>
          </w:p>
        </w:tc>
        <w:tc>
          <w:tcPr>
            <w:tcW w:type="dxa" w:w="2280"/>
          </w:tcPr>
          <w:p>
            <w:r/>
            <w:r>
              <w:rPr>
                <w:sz w:val="20"/>
              </w:rPr>
              <w:t>Rapport MO §activités</w:t>
            </w:r>
          </w:p>
        </w:tc>
        <w:tc>
          <w:tcPr>
            <w:tcW w:type="dxa" w:w="2280"/>
          </w:tcPr>
          <w:p>
            <w:r/>
            <w:r>
              <w:rPr>
                <w:sz w:val="20"/>
              </w:rPr>
              <w:t>MOYEN</w:t>
            </w:r>
          </w:p>
        </w:tc>
      </w:tr>
      <w:tr>
        <w:tc>
          <w:tcPr>
            <w:tcW w:type="dxa" w:w="2280"/>
            <w:shd w:val="clear" w:color="auto" w:fill="E9F0F8"/>
          </w:tcPr>
          <w:p>
            <w:r/>
            <w:r>
              <w:rPr>
                <w:sz w:val="20"/>
              </w:rPr>
              <w:t>Efficacité</w:t>
            </w:r>
          </w:p>
        </w:tc>
        <w:tc>
          <w:tcPr>
            <w:tcW w:type="dxa" w:w="2280"/>
            <w:shd w:val="clear" w:color="auto" w:fill="E9F0F8"/>
          </w:tcPr>
          <w:p>
            <w:r/>
            <w:r>
              <w:rPr>
                <w:sz w:val="20"/>
              </w:rPr>
              <w:t>QE12+QE13 : Portée et conformité aux prévisions</w:t>
            </w:r>
          </w:p>
        </w:tc>
        <w:tc>
          <w:tcPr>
            <w:tcW w:type="dxa" w:w="2280"/>
            <w:shd w:val="clear" w:color="auto" w:fill="E9F0F8"/>
          </w:tcPr>
          <w:p>
            <w:r/>
            <w:r>
              <w:rPr>
                <w:sz w:val="20"/>
              </w:rPr>
              <w:t>Rapport MO Tableau 1</w:t>
            </w:r>
          </w:p>
        </w:tc>
        <w:tc>
          <w:tcPr>
            <w:tcW w:type="dxa" w:w="2280"/>
            <w:shd w:val="clear" w:color="auto" w:fill="E9F0F8"/>
          </w:tcPr>
          <w:p>
            <w:r/>
            <w:r>
              <w:rPr>
                <w:sz w:val="20"/>
              </w:rPr>
              <w:t>MOYEN À ÉLEVÉ</w:t>
            </w:r>
          </w:p>
        </w:tc>
      </w:tr>
      <w:tr>
        <w:tc>
          <w:tcPr>
            <w:tcW w:type="dxa" w:w="2280"/>
          </w:tcPr>
          <w:p>
            <w:r/>
            <w:r>
              <w:rPr>
                <w:sz w:val="20"/>
              </w:rPr>
              <w:t>Efficacité</w:t>
            </w:r>
          </w:p>
        </w:tc>
        <w:tc>
          <w:tcPr>
            <w:tcW w:type="dxa" w:w="2280"/>
          </w:tcPr>
          <w:p>
            <w:r/>
            <w:r>
              <w:rPr>
                <w:sz w:val="20"/>
              </w:rPr>
              <w:t>QE14 : Actions non prévues réalisées</w:t>
            </w:r>
          </w:p>
        </w:tc>
        <w:tc>
          <w:tcPr>
            <w:tcW w:type="dxa" w:w="2280"/>
          </w:tcPr>
          <w:p>
            <w:r/>
            <w:r>
              <w:rPr>
                <w:sz w:val="20"/>
              </w:rPr>
              <w:t>Rapport MO §difficultés</w:t>
            </w:r>
          </w:p>
        </w:tc>
        <w:tc>
          <w:tcPr>
            <w:tcW w:type="dxa" w:w="2280"/>
          </w:tcPr>
          <w:p>
            <w:r/>
            <w:r>
              <w:rPr>
                <w:sz w:val="20"/>
              </w:rPr>
              <w:t>POSITIF</w:t>
            </w:r>
          </w:p>
        </w:tc>
      </w:tr>
      <w:tr>
        <w:tc>
          <w:tcPr>
            <w:tcW w:type="dxa" w:w="2280"/>
            <w:shd w:val="clear" w:color="auto" w:fill="E9F0F8"/>
          </w:tcPr>
          <w:p>
            <w:r/>
            <w:r>
              <w:rPr>
                <w:sz w:val="20"/>
              </w:rPr>
              <w:t>Efficacité</w:t>
            </w:r>
          </w:p>
        </w:tc>
        <w:tc>
          <w:tcPr>
            <w:tcW w:type="dxa" w:w="2280"/>
            <w:shd w:val="clear" w:color="auto" w:fill="E9F0F8"/>
          </w:tcPr>
          <w:p>
            <w:r/>
            <w:r>
              <w:rPr>
                <w:sz w:val="20"/>
              </w:rPr>
              <w:t>QE15 : Qualité des services</w:t>
            </w:r>
          </w:p>
        </w:tc>
        <w:tc>
          <w:tcPr>
            <w:tcW w:type="dxa" w:w="2280"/>
            <w:shd w:val="clear" w:color="auto" w:fill="E9F0F8"/>
          </w:tcPr>
          <w:p>
            <w:r/>
            <w:r>
              <w:rPr>
                <w:sz w:val="20"/>
              </w:rPr>
              <w:t>Non disponible</w:t>
            </w:r>
          </w:p>
        </w:tc>
        <w:tc>
          <w:tcPr>
            <w:tcW w:type="dxa" w:w="2280"/>
            <w:shd w:val="clear" w:color="auto" w:fill="E9F0F8"/>
          </w:tcPr>
          <w:p>
            <w:r/>
            <w:r>
              <w:rPr>
                <w:sz w:val="20"/>
              </w:rPr>
              <w:t>NON MESURABLE (Phase 2)</w:t>
            </w:r>
          </w:p>
        </w:tc>
      </w:tr>
      <w:tr>
        <w:tc>
          <w:tcPr>
            <w:tcW w:type="dxa" w:w="2280"/>
          </w:tcPr>
          <w:p>
            <w:r/>
            <w:r>
              <w:rPr>
                <w:sz w:val="20"/>
              </w:rPr>
              <w:t>Efficacité</w:t>
            </w:r>
          </w:p>
        </w:tc>
        <w:tc>
          <w:tcPr>
            <w:tcW w:type="dxa" w:w="2280"/>
          </w:tcPr>
          <w:p>
            <w:r/>
            <w:r>
              <w:rPr>
                <w:sz w:val="20"/>
              </w:rPr>
              <w:t>QE16 : Groupes cibles non atteints</w:t>
            </w:r>
          </w:p>
        </w:tc>
        <w:tc>
          <w:tcPr>
            <w:tcW w:type="dxa" w:w="2280"/>
          </w:tcPr>
          <w:p>
            <w:r/>
            <w:r>
              <w:rPr>
                <w:sz w:val="20"/>
              </w:rPr>
              <w:t>Rapport MO §concentration</w:t>
            </w:r>
          </w:p>
        </w:tc>
        <w:tc>
          <w:tcPr>
            <w:tcW w:type="dxa" w:w="2280"/>
          </w:tcPr>
          <w:p>
            <w:r/>
            <w:r>
              <w:rPr>
                <w:sz w:val="20"/>
              </w:rPr>
              <w:t>À APPROFONDIR (Phase 2)</w:t>
            </w:r>
          </w:p>
        </w:tc>
      </w:tr>
    </w:tbl>
    <w:p/>
    <w:p>
      <w:pPr>
        <w:pStyle w:val="Heading2"/>
      </w:pPr>
      <w:r>
        <w:rPr>
          <w:b/>
          <w:color w:val="1F7A8C"/>
        </w:rPr>
        <w:t>Annexe 2 — Sources documentaires analysées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564"/>
          </w:tcPr>
          <w:p>
            <w:r>
              <w:rPr>
                <w:b/>
                <w:color w:val="FFFFFF"/>
                <w:sz w:val="20"/>
              </w:rPr>
              <w:t>Réf.</w:t>
            </w:r>
          </w:p>
        </w:tc>
        <w:tc>
          <w:tcPr>
            <w:tcW w:type="dxa" w:w="3041"/>
            <w:shd w:val="clear" w:color="auto" w:fill="1F3564"/>
          </w:tcPr>
          <w:p>
            <w:r>
              <w:rPr>
                <w:b/>
                <w:color w:val="FFFFFF"/>
                <w:sz w:val="20"/>
              </w:rPr>
              <w:t>Document</w:t>
            </w:r>
          </w:p>
        </w:tc>
        <w:tc>
          <w:tcPr>
            <w:tcW w:type="dxa" w:w="3041"/>
            <w:shd w:val="clear" w:color="auto" w:fill="1F3564"/>
          </w:tcPr>
          <w:p>
            <w:r>
              <w:rPr>
                <w:b/>
                <w:color w:val="FFFFFF"/>
                <w:sz w:val="20"/>
              </w:rPr>
              <w:t>Localisation dans le dépôt</w:t>
            </w:r>
          </w:p>
        </w:tc>
      </w:tr>
      <w:tr>
        <w:tc>
          <w:tcPr>
            <w:tcW w:type="dxa" w:w="3041"/>
            <w:shd w:val="clear" w:color="auto" w:fill="E9F0F8"/>
          </w:tcPr>
          <w:p>
            <w:r/>
            <w:r>
              <w:rPr>
                <w:sz w:val="20"/>
              </w:rPr>
              <w:t>D1</w:t>
            </w:r>
          </w:p>
        </w:tc>
        <w:tc>
          <w:tcPr>
            <w:tcW w:type="dxa" w:w="3041"/>
            <w:shd w:val="clear" w:color="auto" w:fill="E9F0F8"/>
          </w:tcPr>
          <w:p>
            <w:r/>
            <w:r>
              <w:rPr>
                <w:sz w:val="20"/>
              </w:rPr>
              <w:t>Prodoc PSIE-BéninF (revu) 03.04.20.pdf</w:t>
            </w:r>
          </w:p>
        </w:tc>
        <w:tc>
          <w:tcPr>
            <w:tcW w:type="dxa" w:w="3041"/>
            <w:shd w:val="clear" w:color="auto" w:fill="E9F0F8"/>
          </w:tcPr>
          <w:p>
            <w:r/>
            <w:r>
              <w:rPr>
                <w:sz w:val="20"/>
              </w:rPr>
              <w:t>docs/psie/01_document_projet/</w:t>
            </w:r>
          </w:p>
        </w:tc>
      </w:tr>
      <w:tr>
        <w:tc>
          <w:tcPr>
            <w:tcW w:type="dxa" w:w="3041"/>
          </w:tcPr>
          <w:p>
            <w:r/>
            <w:r>
              <w:rPr>
                <w:sz w:val="20"/>
              </w:rPr>
              <w:t>D2</w:t>
            </w:r>
          </w:p>
        </w:tc>
        <w:tc>
          <w:tcPr>
            <w:tcW w:type="dxa" w:w="3041"/>
          </w:tcPr>
          <w:p>
            <w:r/>
            <w:r>
              <w:rPr>
                <w:sz w:val="20"/>
              </w:rPr>
              <w:t>Cadre Logique PSIE.pdf</w:t>
            </w:r>
          </w:p>
        </w:tc>
        <w:tc>
          <w:tcPr>
            <w:tcW w:type="dxa" w:w="3041"/>
          </w:tcPr>
          <w:p>
            <w:r/>
            <w:r>
              <w:rPr>
                <w:sz w:val="20"/>
              </w:rPr>
              <w:t>docs/psie/03_cadre_logique/</w:t>
            </w:r>
          </w:p>
        </w:tc>
      </w:tr>
      <w:tr>
        <w:tc>
          <w:tcPr>
            <w:tcW w:type="dxa" w:w="3041"/>
            <w:shd w:val="clear" w:color="auto" w:fill="E9F0F8"/>
          </w:tcPr>
          <w:p>
            <w:r/>
            <w:r>
              <w:rPr>
                <w:sz w:val="20"/>
              </w:rPr>
              <w:t>D3</w:t>
            </w:r>
          </w:p>
        </w:tc>
        <w:tc>
          <w:tcPr>
            <w:tcW w:type="dxa" w:w="3041"/>
            <w:shd w:val="clear" w:color="auto" w:fill="E9F0F8"/>
          </w:tcPr>
          <w:p>
            <w:r/>
            <w:r>
              <w:rPr>
                <w:sz w:val="20"/>
              </w:rPr>
              <w:t>Rapport actualisé MO PSIE juil. 2020 – sept. 2025.docx</w:t>
            </w:r>
          </w:p>
        </w:tc>
        <w:tc>
          <w:tcPr>
            <w:tcW w:type="dxa" w:w="3041"/>
            <w:shd w:val="clear" w:color="auto" w:fill="E9F0F8"/>
          </w:tcPr>
          <w:p>
            <w:r/>
            <w:r>
              <w:rPr>
                <w:sz w:val="20"/>
              </w:rPr>
              <w:t>docs/psie/02_rapport_mise_en_oeuvre/</w:t>
            </w:r>
          </w:p>
        </w:tc>
      </w:tr>
      <w:tr>
        <w:tc>
          <w:tcPr>
            <w:tcW w:type="dxa" w:w="3041"/>
          </w:tcPr>
          <w:p>
            <w:r/>
            <w:r>
              <w:rPr>
                <w:sz w:val="20"/>
              </w:rPr>
              <w:t>D4</w:t>
            </w:r>
          </w:p>
        </w:tc>
        <w:tc>
          <w:tcPr>
            <w:tcW w:type="dxa" w:w="3041"/>
          </w:tcPr>
          <w:p>
            <w:r/>
            <w:r>
              <w:rPr>
                <w:sz w:val="20"/>
              </w:rPr>
              <w:t>Référentiel_Evaluation finale_07 Janv 2026_katchon.docx</w:t>
            </w:r>
          </w:p>
        </w:tc>
        <w:tc>
          <w:tcPr>
            <w:tcW w:type="dxa" w:w="3041"/>
          </w:tcPr>
          <w:p>
            <w:r/>
            <w:r>
              <w:rPr>
                <w:sz w:val="20"/>
              </w:rPr>
              <w:t>Racine du dépôt</w:t>
            </w:r>
          </w:p>
        </w:tc>
      </w:tr>
      <w:tr>
        <w:tc>
          <w:tcPr>
            <w:tcW w:type="dxa" w:w="3041"/>
            <w:shd w:val="clear" w:color="auto" w:fill="E9F0F8"/>
          </w:tcPr>
          <w:p>
            <w:r/>
            <w:r>
              <w:rPr>
                <w:sz w:val="20"/>
              </w:rPr>
              <w:t>D5</w:t>
            </w:r>
          </w:p>
        </w:tc>
        <w:tc>
          <w:tcPr>
            <w:tcW w:type="dxa" w:w="3041"/>
            <w:shd w:val="clear" w:color="auto" w:fill="E9F0F8"/>
          </w:tcPr>
          <w:p>
            <w:r/>
            <w:r>
              <w:rPr>
                <w:sz w:val="20"/>
              </w:rPr>
              <w:t>Rapport provisoire Evaluation PND – 31 Janvier 2026.docx</w:t>
            </w:r>
          </w:p>
        </w:tc>
        <w:tc>
          <w:tcPr>
            <w:tcW w:type="dxa" w:w="3041"/>
            <w:shd w:val="clear" w:color="auto" w:fill="E9F0F8"/>
          </w:tcPr>
          <w:p>
            <w:r/>
            <w:r>
              <w:rPr>
                <w:sz w:val="20"/>
              </w:rPr>
              <w:t>Racine du dépôt</w:t>
            </w:r>
          </w:p>
        </w:tc>
      </w:tr>
    </w:tbl>
    <w:p/>
    <w:p>
      <w:pPr>
        <w:pStyle w:val="Heading2"/>
      </w:pPr>
      <w:r>
        <w:rPr>
          <w:b/>
          <w:color w:val="1F7A8C"/>
        </w:rPr>
        <w:t>Annexe 3 — Glossaire des critères OCDE/CAD</w:t>
      </w:r>
    </w:p>
    <w:tbl>
      <w:tblPr>
        <w:tblStyle w:val="TableGrid"/>
        <w:tblW w:type="auto" w:w="0"/>
        <w:tblLook w:firstColumn="1" w:firstRow="1" w:lastColumn="0" w:lastRow="0" w:noHBand="0" w:noVBand="1" w:val="04A0"/>
      </w:tblPr>
      <w:tblGrid>
        <w:gridCol w:w="4561"/>
        <w:gridCol w:w="4561"/>
      </w:tblGrid>
      <w:tr>
        <w:tc>
          <w:tcPr>
            <w:tcW w:type="dxa" w:w="4561"/>
            <w:shd w:val="clear" w:color="auto" w:fill="1F3564"/>
          </w:tcPr>
          <w:p>
            <w:r>
              <w:rPr>
                <w:b/>
                <w:color w:val="FFFFFF"/>
                <w:sz w:val="20"/>
              </w:rPr>
              <w:t>Critère</w:t>
            </w:r>
          </w:p>
        </w:tc>
        <w:tc>
          <w:tcPr>
            <w:tcW w:type="dxa" w:w="4561"/>
            <w:shd w:val="clear" w:color="auto" w:fill="1F3564"/>
          </w:tcPr>
          <w:p>
            <w:r>
              <w:rPr>
                <w:b/>
                <w:color w:val="FFFFFF"/>
                <w:sz w:val="20"/>
              </w:rPr>
              <w:t>Définition OCDE/CAD</w:t>
            </w:r>
          </w:p>
        </w:tc>
      </w:tr>
      <w:tr>
        <w:tc>
          <w:tcPr>
            <w:tcW w:type="dxa" w:w="4561"/>
            <w:shd w:val="clear" w:color="auto" w:fill="E9F0F8"/>
          </w:tcPr>
          <w:p>
            <w:r/>
            <w:r>
              <w:rPr>
                <w:sz w:val="20"/>
              </w:rPr>
              <w:t>Pertinence</w:t>
            </w:r>
          </w:p>
        </w:tc>
        <w:tc>
          <w:tcPr>
            <w:tcW w:type="dxa" w:w="4561"/>
            <w:shd w:val="clear" w:color="auto" w:fill="E9F0F8"/>
          </w:tcPr>
          <w:p>
            <w:r/>
            <w:r>
              <w:rPr>
                <w:sz w:val="20"/>
              </w:rPr>
              <w:t>Mesure dans laquelle les objectifs et la conception correspondent aux besoins, politiques et priorités</w:t>
            </w:r>
          </w:p>
        </w:tc>
      </w:tr>
      <w:tr>
        <w:tc>
          <w:tcPr>
            <w:tcW w:type="dxa" w:w="4561"/>
          </w:tcPr>
          <w:p>
            <w:r/>
            <w:r>
              <w:rPr>
                <w:sz w:val="20"/>
              </w:rPr>
              <w:t>Cohérence</w:t>
            </w:r>
          </w:p>
        </w:tc>
        <w:tc>
          <w:tcPr>
            <w:tcW w:type="dxa" w:w="4561"/>
          </w:tcPr>
          <w:p>
            <w:r/>
            <w:r>
              <w:rPr>
                <w:sz w:val="20"/>
              </w:rPr>
              <w:t>Compatibilité avec d'autres interventions (cohérence interne) et avec les politiques du pays (cohérence externe)</w:t>
            </w:r>
          </w:p>
        </w:tc>
      </w:tr>
      <w:tr>
        <w:tc>
          <w:tcPr>
            <w:tcW w:type="dxa" w:w="4561"/>
            <w:shd w:val="clear" w:color="auto" w:fill="E9F0F8"/>
          </w:tcPr>
          <w:p>
            <w:r/>
            <w:r>
              <w:rPr>
                <w:sz w:val="20"/>
              </w:rPr>
              <w:t>Efficacité</w:t>
            </w:r>
          </w:p>
        </w:tc>
        <w:tc>
          <w:tcPr>
            <w:tcW w:type="dxa" w:w="4561"/>
            <w:shd w:val="clear" w:color="auto" w:fill="E9F0F8"/>
          </w:tcPr>
          <w:p>
            <w:r/>
            <w:r>
              <w:rPr>
                <w:sz w:val="20"/>
              </w:rPr>
              <w:t>Mesure dans laquelle l'intervention a atteint ses objectifs et résultats</w:t>
            </w:r>
          </w:p>
        </w:tc>
      </w:tr>
      <w:tr>
        <w:tc>
          <w:tcPr>
            <w:tcW w:type="dxa" w:w="4561"/>
          </w:tcPr>
          <w:p>
            <w:r/>
            <w:r>
              <w:rPr>
                <w:sz w:val="20"/>
              </w:rPr>
              <w:t>Efficience</w:t>
            </w:r>
          </w:p>
        </w:tc>
        <w:tc>
          <w:tcPr>
            <w:tcW w:type="dxa" w:w="4561"/>
          </w:tcPr>
          <w:p>
            <w:r/>
            <w:r>
              <w:rPr>
                <w:sz w:val="20"/>
              </w:rPr>
              <w:t>Mesure dans laquelle les ressources ont été utilisées de façon optimale (Phase 2)</w:t>
            </w:r>
          </w:p>
        </w:tc>
      </w:tr>
      <w:tr>
        <w:tc>
          <w:tcPr>
            <w:tcW w:type="dxa" w:w="4561"/>
            <w:shd w:val="clear" w:color="auto" w:fill="E9F0F8"/>
          </w:tcPr>
          <w:p>
            <w:r/>
            <w:r>
              <w:rPr>
                <w:sz w:val="20"/>
              </w:rPr>
              <w:t>Effets/Impacts</w:t>
            </w:r>
          </w:p>
        </w:tc>
        <w:tc>
          <w:tcPr>
            <w:tcW w:type="dxa" w:w="4561"/>
            <w:shd w:val="clear" w:color="auto" w:fill="E9F0F8"/>
          </w:tcPr>
          <w:p>
            <w:r/>
            <w:r>
              <w:rPr>
                <w:sz w:val="20"/>
              </w:rPr>
              <w:t>Changements à moyen et long terme attribuables au programme (Phase 2)</w:t>
            </w:r>
          </w:p>
        </w:tc>
      </w:tr>
      <w:tr>
        <w:tc>
          <w:tcPr>
            <w:tcW w:type="dxa" w:w="4561"/>
          </w:tcPr>
          <w:p>
            <w:r/>
            <w:r>
              <w:rPr>
                <w:sz w:val="20"/>
              </w:rPr>
              <w:t>Durabilité</w:t>
            </w:r>
          </w:p>
        </w:tc>
        <w:tc>
          <w:tcPr>
            <w:tcW w:type="dxa" w:w="4561"/>
          </w:tcPr>
          <w:p>
            <w:r/>
            <w:r>
              <w:rPr>
                <w:sz w:val="20"/>
              </w:rPr>
              <w:t>Capacité des effets positifs à se maintenir après la fin du programme (Phase 2)</w:t>
            </w:r>
          </w:p>
        </w:tc>
      </w:tr>
      <w:tr>
        <w:tc>
          <w:tcPr>
            <w:tcW w:type="dxa" w:w="4561"/>
            <w:shd w:val="clear" w:color="auto" w:fill="E9F0F8"/>
          </w:tcPr>
          <w:p>
            <w:r/>
            <w:r>
              <w:rPr>
                <w:sz w:val="20"/>
              </w:rPr>
              <w:t>Genre</w:t>
            </w:r>
          </w:p>
        </w:tc>
        <w:tc>
          <w:tcPr>
            <w:tcW w:type="dxa" w:w="4561"/>
            <w:shd w:val="clear" w:color="auto" w:fill="E9F0F8"/>
          </w:tcPr>
          <w:p>
            <w:r/>
            <w:r>
              <w:rPr>
                <w:sz w:val="20"/>
              </w:rPr>
              <w:t>Prise en compte des différences et inégalités entre femmes et hommes dans l'intervention (Phase 2)</w:t>
            </w:r>
          </w:p>
        </w:tc>
      </w:tr>
    </w:tbl>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Rapport d'évaluation du PSIE — Phase 1 : Revue documentaire — Bénin,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