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8"/>
        </w:rPr>
        <w:t>REPUBLIQUE DU BENIN</w:t>
      </w:r>
    </w:p>
    <w:p/>
    <w:p>
      <w:pPr>
        <w:jc w:val="center"/>
      </w:pPr>
      <w:r>
        <w:rPr>
          <w:b/>
          <w:color w:val="1F3864"/>
          <w:sz w:val="40"/>
        </w:rPr>
        <w:t>EVALUATION DU PROGRAMME SPECIAL</w:t>
        <w:br/>
        <w:t>D'INSERTION DANS L'EMPLOI (PSIE)</w:t>
      </w:r>
    </w:p>
    <w:p/>
    <w:p>
      <w:pPr>
        <w:jc w:val="center"/>
      </w:pPr>
      <w:r>
        <w:rPr>
          <w:i/>
          <w:color w:val="2E74B5"/>
          <w:sz w:val="26"/>
        </w:rPr>
        <w:t>Rapport d'Evaluation - Criteres OCDE/CAD : Pertinence, Coherence et Efficacite</w:t>
      </w:r>
    </w:p>
    <w:p/>
    <w:tbl>
      <w:tblPr>
        <w:tblStyle w:val="TableGrid"/>
        <w:tblW w:type="auto" w:w="0"/>
        <w:jc w:val="center"/>
        <w:tblLook w:firstColumn="1" w:firstRow="1" w:lastColumn="0" w:lastRow="0" w:noHBand="0" w:noVBand="1" w:val="04A0"/>
      </w:tblPr>
      <w:tblGrid>
        <w:gridCol w:w="4618"/>
        <w:gridCol w:w="4618"/>
      </w:tblGrid>
      <w:tr>
        <w:tc>
          <w:tcPr>
            <w:tcW w:type="dxa" w:w="2835"/>
            <w:shd w:val="clear" w:color="auto" w:fill="DEEAF1"/>
          </w:tcPr>
          <w:p>
            <w:r>
              <w:rPr>
                <w:b/>
                <w:color w:val="1F3864"/>
              </w:rPr>
              <w:t>Programme</w:t>
            </w:r>
          </w:p>
        </w:tc>
        <w:tc>
          <w:tcPr>
            <w:tcW w:type="dxa" w:w="5669"/>
          </w:tcPr>
          <w:p>
            <w:r>
              <w:t>Programme Special d'Insertion dans l'Emploi (PSIE)</w:t>
            </w:r>
          </w:p>
        </w:tc>
      </w:tr>
      <w:tr>
        <w:tc>
          <w:tcPr>
            <w:tcW w:type="dxa" w:w="2835"/>
            <w:shd w:val="clear" w:color="auto" w:fill="DEEAF1"/>
          </w:tcPr>
          <w:p>
            <w:r>
              <w:rPr>
                <w:b/>
                <w:color w:val="1F3864"/>
              </w:rPr>
              <w:t>Pays</w:t>
            </w:r>
          </w:p>
        </w:tc>
        <w:tc>
          <w:tcPr>
            <w:tcW w:type="dxa" w:w="5669"/>
          </w:tcPr>
          <w:p>
            <w:r>
              <w:t>Republique du Benin</w:t>
            </w:r>
          </w:p>
        </w:tc>
      </w:tr>
      <w:tr>
        <w:tc>
          <w:tcPr>
            <w:tcW w:type="dxa" w:w="2835"/>
            <w:shd w:val="clear" w:color="auto" w:fill="DEEAF1"/>
          </w:tcPr>
          <w:p>
            <w:r>
              <w:rPr>
                <w:b/>
                <w:color w:val="1F3864"/>
              </w:rPr>
              <w:t>Secteur</w:t>
            </w:r>
          </w:p>
        </w:tc>
        <w:tc>
          <w:tcPr>
            <w:tcW w:type="dxa" w:w="5669"/>
          </w:tcPr>
          <w:p>
            <w:r>
              <w:t>Emploi et Formation Professionnelle</w:t>
            </w:r>
          </w:p>
        </w:tc>
      </w:tr>
      <w:tr>
        <w:tc>
          <w:tcPr>
            <w:tcW w:type="dxa" w:w="2835"/>
            <w:shd w:val="clear" w:color="auto" w:fill="DEEAF1"/>
          </w:tcPr>
          <w:p>
            <w:r>
              <w:rPr>
                <w:b/>
                <w:color w:val="1F3864"/>
              </w:rPr>
              <w:t>Criteres evalues</w:t>
            </w:r>
          </w:p>
        </w:tc>
        <w:tc>
          <w:tcPr>
            <w:tcW w:type="dxa" w:w="5669"/>
          </w:tcPr>
          <w:p>
            <w:r>
              <w:t>Pertinence / Coherence / Efficacite</w:t>
            </w:r>
          </w:p>
        </w:tc>
      </w:tr>
      <w:tr>
        <w:tc>
          <w:tcPr>
            <w:tcW w:type="dxa" w:w="2835"/>
            <w:shd w:val="clear" w:color="auto" w:fill="DEEAF1"/>
          </w:tcPr>
          <w:p>
            <w:r>
              <w:rPr>
                <w:b/>
                <w:color w:val="1F3864"/>
              </w:rPr>
              <w:t>Type d'evaluation</w:t>
            </w:r>
          </w:p>
        </w:tc>
        <w:tc>
          <w:tcPr>
            <w:tcW w:type="dxa" w:w="5669"/>
          </w:tcPr>
          <w:p>
            <w:r>
              <w:t>Evaluation de processus - Revue documentaire</w:t>
            </w:r>
          </w:p>
        </w:tc>
      </w:tr>
      <w:tr>
        <w:tc>
          <w:tcPr>
            <w:tcW w:type="dxa" w:w="2835"/>
            <w:shd w:val="clear" w:color="auto" w:fill="DEEAF1"/>
          </w:tcPr>
          <w:p>
            <w:r>
              <w:rPr>
                <w:b/>
                <w:color w:val="1F3864"/>
              </w:rPr>
              <w:t>Periode couverte</w:t>
            </w:r>
          </w:p>
        </w:tc>
        <w:tc>
          <w:tcPr>
            <w:tcW w:type="dxa" w:w="5669"/>
          </w:tcPr>
          <w:p>
            <w:r>
              <w:t>Juillet 2020 - Septembre 2025</w:t>
            </w:r>
          </w:p>
        </w:tc>
      </w:tr>
      <w:tr>
        <w:tc>
          <w:tcPr>
            <w:tcW w:type="dxa" w:w="2835"/>
            <w:shd w:val="clear" w:color="auto" w:fill="DEEAF1"/>
          </w:tcPr>
          <w:p>
            <w:r>
              <w:rPr>
                <w:b/>
                <w:color w:val="1F3864"/>
              </w:rPr>
              <w:t>Date du rapport</w:t>
            </w:r>
          </w:p>
        </w:tc>
        <w:tc>
          <w:tcPr>
            <w:tcW w:type="dxa" w:w="5669"/>
          </w:tcPr>
          <w:p>
            <w:r>
              <w:t>Fevrier 2026</w:t>
            </w:r>
          </w:p>
        </w:tc>
      </w:tr>
      <w:tr>
        <w:tc>
          <w:tcPr>
            <w:tcW w:type="dxa" w:w="2835"/>
            <w:shd w:val="clear" w:color="auto" w:fill="DEEAF1"/>
          </w:tcPr>
          <w:p>
            <w:r>
              <w:rPr>
                <w:b/>
                <w:color w:val="1F3864"/>
              </w:rPr>
              <w:t>Version</w:t>
            </w:r>
          </w:p>
        </w:tc>
        <w:tc>
          <w:tcPr>
            <w:tcW w:type="dxa" w:w="5669"/>
          </w:tcPr>
          <w:p>
            <w:r>
              <w:t>1.2 - Sections 1.3 et 1.4 completes</w:t>
            </w:r>
          </w:p>
        </w:tc>
      </w:tr>
    </w:tbl>
    <w:p/>
    <w:p>
      <w:pPr>
        <w:jc w:val="center"/>
      </w:pPr>
      <w:r>
        <w:rPr>
          <w:i/>
          <w:color w:val="606060"/>
          <w:sz w:val="18"/>
        </w:rPr>
        <w:t>Documents sources : Prodoc PSIE (mars 2020)  *  Cadre Logique PSIE  *  Rapport actualise mise en oeuvre (juil. 2020 - sept. 2025)</w:t>
      </w:r>
    </w:p>
    <w:p>
      <w:r>
        <w:br w:type="page"/>
      </w:r>
    </w:p>
    <w:p>
      <w:pPr>
        <w:pStyle w:val="Heading1"/>
      </w:pPr>
      <w:r>
        <w:rPr>
          <w:rFonts w:ascii="Calibri" w:hAnsi="Calibri"/>
          <w:color w:val="1F3864"/>
        </w:rPr>
        <w:t>RESUME EXECUTIF</w:t>
      </w:r>
    </w:p>
    <w:p>
      <w:r>
        <w:rPr>
          <w:b w:val="0"/>
          <w:i w:val="0"/>
          <w:sz w:val="21"/>
        </w:rPr>
        <w:t>Le Programme Special d'Insertion dans l'Emploi (PSIE) est une initiative presidentielle lancee au Benin en juillet 2020. Son objectif est de faciliter l'insertion professionnelle de 2 000 jeunes diplomes par an dans les entreprises, a travers la prise en charge totale de leurs salaires par l'Etat sur une periode de deux ans par cohorte.</w:t>
      </w:r>
    </w:p>
    <w:p/>
    <w:p>
      <w:r>
        <w:rPr>
          <w:b/>
          <w:i w:val="0"/>
          <w:sz w:val="21"/>
        </w:rPr>
        <w:t>L'evaluation Phase 1 (trois premiers criteres OCDE/CAD) aboutit aux constats suivants :</w:t>
      </w:r>
    </w:p>
    <w:p>
      <w:pPr>
        <w:pStyle w:val="ListBullet"/>
        <w:ind w:left="567"/>
      </w:pPr>
      <w:r>
        <w:rPr>
          <w:b/>
          <w:color w:val="1F3864"/>
        </w:rPr>
        <w:t xml:space="preserve">Pertinence - ELEVEE. </w:t>
      </w:r>
      <w:r>
        <w:t>Le PSIE repond a un besoin structure : sous-emploi des jeunes a 72 % (INSAE 2017). Ancrage explicite dans le PAG et la PNE. Modele novateur centre sur les entreprises.</w:t>
      </w:r>
    </w:p>
    <w:p>
      <w:pPr>
        <w:pStyle w:val="ListBullet"/>
        <w:ind w:left="567"/>
      </w:pPr>
      <w:r>
        <w:rPr>
          <w:b/>
          <w:color w:val="1F3864"/>
        </w:rPr>
        <w:t xml:space="preserve">Coherence - ELEVEE. </w:t>
      </w:r>
      <w:r>
        <w:t>Chaine de resultats logique ; hypotheses critiques explicitees ; infrastructure ANPE mutualisee. Forte coherence externe avec les politiques nationales d'emploi.</w:t>
      </w:r>
    </w:p>
    <w:p>
      <w:pPr>
        <w:pStyle w:val="ListBullet"/>
        <w:ind w:left="567"/>
      </w:pPr>
      <w:r>
        <w:rPr>
          <w:b/>
          <w:color w:val="1F3864"/>
        </w:rPr>
        <w:t xml:space="preserve">Efficacite - MOYENNE A ELEVEE. </w:t>
      </w:r>
      <w:r>
        <w:t>9 263 jeunes inseres en emploi (juillet 2020 - septembre 2025) ; 18,3 milliards FCFA verses. Cout moyen par allocataire divise par 7 en 5 ans. Defi persistant : 85,5 % des insertions concentrees dans le Littoral et l'Atlantique.</w:t>
      </w:r>
    </w:p>
    <w:p/>
    <w:p>
      <w:r>
        <w:rPr>
          <w:b/>
          <w:i w:val="0"/>
          <w:sz w:val="21"/>
        </w:rPr>
        <w:t>Synthese des jugements evaluatifs</w:t>
      </w:r>
    </w:p>
    <w:tbl>
      <w:tblPr>
        <w:tblStyle w:val="TableGrid"/>
        <w:tblW w:type="auto" w:w="0"/>
        <w:tblLook w:firstColumn="1" w:firstRow="1" w:lastColumn="0" w:lastRow="0" w:noHBand="0" w:noVBand="1" w:val="04A0"/>
      </w:tblPr>
      <w:tblGrid>
        <w:gridCol w:w="3079"/>
        <w:gridCol w:w="3079"/>
        <w:gridCol w:w="3079"/>
      </w:tblGrid>
      <w:tr>
        <w:tc>
          <w:tcPr>
            <w:tcW w:type="dxa" w:w="2835"/>
            <w:shd w:val="clear" w:color="auto" w:fill="1F3864"/>
          </w:tcPr>
          <w:p>
            <w:r>
              <w:rPr>
                <w:b/>
                <w:color w:val="FFFFFF"/>
                <w:sz w:val="19"/>
              </w:rPr>
              <w:t>Critere OCDE/CAD</w:t>
            </w:r>
          </w:p>
        </w:tc>
        <w:tc>
          <w:tcPr>
            <w:tcW w:type="dxa" w:w="2835"/>
            <w:shd w:val="clear" w:color="auto" w:fill="1F3864"/>
          </w:tcPr>
          <w:p>
            <w:r>
              <w:rPr>
                <w:b/>
                <w:color w:val="FFFFFF"/>
                <w:sz w:val="19"/>
              </w:rPr>
              <w:t>Jugement global</w:t>
            </w:r>
          </w:p>
        </w:tc>
        <w:tc>
          <w:tcPr>
            <w:tcW w:type="dxa" w:w="2835"/>
            <w:shd w:val="clear" w:color="auto" w:fill="1F3864"/>
          </w:tcPr>
          <w:p>
            <w:r>
              <w:rPr>
                <w:b/>
                <w:color w:val="FFFFFF"/>
                <w:sz w:val="19"/>
              </w:rPr>
              <w:t>Niveau de confiance</w:t>
            </w:r>
          </w:p>
        </w:tc>
      </w:tr>
      <w:tr>
        <w:tc>
          <w:tcPr>
            <w:tcW w:type="dxa" w:w="2835"/>
            <w:shd w:val="clear" w:color="auto" w:fill="F2F2F2"/>
          </w:tcPr>
          <w:p>
            <w:r>
              <w:rPr>
                <w:b/>
                <w:sz w:val="19"/>
              </w:rPr>
              <w:t>Pertinence</w:t>
            </w:r>
          </w:p>
        </w:tc>
        <w:tc>
          <w:tcPr>
            <w:tcW w:type="dxa" w:w="2835"/>
            <w:shd w:val="clear" w:color="auto" w:fill="F2F2F2"/>
          </w:tcPr>
          <w:p>
            <w:r>
              <w:rPr>
                <w:sz w:val="19"/>
              </w:rPr>
              <w:t>ELEVE</w:t>
            </w:r>
          </w:p>
        </w:tc>
        <w:tc>
          <w:tcPr>
            <w:tcW w:type="dxa" w:w="2835"/>
            <w:shd w:val="clear" w:color="auto" w:fill="F2F2F2"/>
          </w:tcPr>
          <w:p>
            <w:r>
              <w:rPr>
                <w:sz w:val="19"/>
              </w:rPr>
              <w:t>Eleve</w:t>
            </w:r>
          </w:p>
        </w:tc>
      </w:tr>
      <w:tr>
        <w:tc>
          <w:tcPr>
            <w:tcW w:type="dxa" w:w="2835"/>
            <w:shd w:val="clear" w:color="auto" w:fill="FFFFFF"/>
          </w:tcPr>
          <w:p>
            <w:r>
              <w:rPr>
                <w:b/>
                <w:sz w:val="19"/>
              </w:rPr>
              <w:t>Coherence</w:t>
            </w:r>
          </w:p>
        </w:tc>
        <w:tc>
          <w:tcPr>
            <w:tcW w:type="dxa" w:w="2835"/>
            <w:shd w:val="clear" w:color="auto" w:fill="FFFFFF"/>
          </w:tcPr>
          <w:p>
            <w:r>
              <w:rPr>
                <w:sz w:val="19"/>
              </w:rPr>
              <w:t>ELEVE</w:t>
            </w:r>
          </w:p>
        </w:tc>
        <w:tc>
          <w:tcPr>
            <w:tcW w:type="dxa" w:w="2835"/>
            <w:shd w:val="clear" w:color="auto" w:fill="FFFFFF"/>
          </w:tcPr>
          <w:p>
            <w:r>
              <w:rPr>
                <w:sz w:val="19"/>
              </w:rPr>
              <w:t>Moyen a eleve</w:t>
            </w:r>
          </w:p>
        </w:tc>
      </w:tr>
      <w:tr>
        <w:tc>
          <w:tcPr>
            <w:tcW w:type="dxa" w:w="2835"/>
            <w:shd w:val="clear" w:color="auto" w:fill="F2F2F2"/>
          </w:tcPr>
          <w:p>
            <w:r>
              <w:rPr>
                <w:b/>
                <w:sz w:val="19"/>
              </w:rPr>
              <w:t>Efficacite</w:t>
            </w:r>
          </w:p>
        </w:tc>
        <w:tc>
          <w:tcPr>
            <w:tcW w:type="dxa" w:w="2835"/>
            <w:shd w:val="clear" w:color="auto" w:fill="F2F2F2"/>
          </w:tcPr>
          <w:p>
            <w:r>
              <w:rPr>
                <w:sz w:val="19"/>
              </w:rPr>
              <w:t>MOYEN A ELEVE</w:t>
            </w:r>
          </w:p>
        </w:tc>
        <w:tc>
          <w:tcPr>
            <w:tcW w:type="dxa" w:w="2835"/>
            <w:shd w:val="clear" w:color="auto" w:fill="F2F2F2"/>
          </w:tcPr>
          <w:p>
            <w:r>
              <w:rPr>
                <w:sz w:val="19"/>
              </w:rPr>
              <w:t>Eleve</w:t>
            </w:r>
          </w:p>
        </w:tc>
      </w:tr>
    </w:tbl>
    <w:p/>
    <w:p>
      <w:r>
        <w:br w:type="page"/>
      </w:r>
    </w:p>
    <w:p>
      <w:pPr>
        <w:pStyle w:val="Heading1"/>
      </w:pPr>
      <w:r>
        <w:rPr>
          <w:rFonts w:ascii="Calibri" w:hAnsi="Calibri"/>
          <w:color w:val="1F3864"/>
        </w:rPr>
        <w:t>1. INTRODUCTION ET CONTEXTE DE L'EVALUATION</w:t>
      </w:r>
    </w:p>
    <w:p>
      <w:pPr>
        <w:pStyle w:val="Heading2"/>
      </w:pPr>
      <w:r>
        <w:rPr>
          <w:rFonts w:ascii="Calibri" w:hAnsi="Calibri"/>
          <w:color w:val="2E74B5"/>
        </w:rPr>
        <w:t>1.1 Contexte general</w:t>
      </w:r>
    </w:p>
    <w:p>
      <w:r>
        <w:rPr>
          <w:b w:val="0"/>
          <w:i w:val="0"/>
          <w:sz w:val="21"/>
        </w:rPr>
        <w:t>Le Benin est confronte a des defis structurels majeurs sur le marche du travail. La population beninoise de moins de 40 ans est estimee a 4,08 millions de personnes, soit 34 % de la population totale (EMICOV 2015). Ce potentiel demographique reste largement sous-exploite face a un marche du travail caracterise par un taux de sous-emploi des jeunes de 72 % (INSAE, aout 2017), une predominance de l'economie informelle, et une inadequation structurelle entre l'offre de formation et la demande des entreprises.</w:t>
      </w:r>
    </w:p>
    <w:p>
      <w:r>
        <w:rPr>
          <w:b w:val="0"/>
          <w:i w:val="0"/>
          <w:sz w:val="21"/>
        </w:rPr>
        <w:t>C'est dans ce contexte que le President de la Republique a annonce le 31 juillet 2019, lors du 59eme anniversaire de l'independance du Benin, l'institutionnalisation du Programme Special d'Insertion dans l'Emploi (PSIE). Le programme a ete valide par le Conseil des ministres le 10 juin 2020 et officiellement lance en juillet 2020.</w:t>
      </w:r>
    </w:p>
    <w:p>
      <w:pPr>
        <w:pStyle w:val="Heading2"/>
      </w:pPr>
      <w:r>
        <w:rPr>
          <w:rFonts w:ascii="Calibri" w:hAnsi="Calibri"/>
          <w:color w:val="2E74B5"/>
        </w:rPr>
        <w:t>1.2 Objet et objectifs de l'evaluation</w:t>
      </w:r>
    </w:p>
    <w:p>
      <w:r>
        <w:rPr>
          <w:b w:val="0"/>
          <w:i w:val="0"/>
          <w:sz w:val="21"/>
        </w:rPr>
        <w:t>La presente evaluation est une evaluation de processus et de mise en oeuvre, conduite sur la base d'une revue documentaire systematique des documents officiels du programme. Elle se concentre sur trois des sept criteres OCDE/CAD :</w:t>
      </w:r>
    </w:p>
    <w:p>
      <w:pPr>
        <w:pStyle w:val="ListBullet"/>
        <w:ind w:left="567"/>
      </w:pPr>
      <w:r>
        <w:t>La pertinence : Le programme repond-il aux besoins reels des beneficiaires et aux priorites nationales ?</w:t>
      </w:r>
    </w:p>
    <w:p>
      <w:pPr>
        <w:pStyle w:val="ListBullet"/>
        <w:ind w:left="567"/>
      </w:pPr>
      <w:r>
        <w:t>La coherence : Le programme est-il coherent en lui-meme et avec les autres politiques ?</w:t>
      </w:r>
    </w:p>
    <w:p>
      <w:pPr>
        <w:pStyle w:val="ListBullet"/>
        <w:ind w:left="567"/>
      </w:pPr>
      <w:r>
        <w:t>L'efficacite : Le programme atteint-il les objectifs qu'il s'est fixes ?</w:t>
      </w:r>
    </w:p>
    <w:p>
      <w:r>
        <w:rPr>
          <w:b w:val="0"/>
          <w:i/>
          <w:sz w:val="21"/>
        </w:rPr>
        <w:t>Les criteres d'efficience, d'effets/impacts, de durabilite et de genre feront l'objet d'une evaluation ulterieure (Phase 2), une fois les donnees primaires collectees.</w:t>
      </w:r>
    </w:p>
    <w:p>
      <w:pPr>
        <w:pStyle w:val="Heading2"/>
      </w:pPr>
      <w:r>
        <w:rPr>
          <w:rFonts w:ascii="Calibri" w:hAnsi="Calibri"/>
          <w:color w:val="2E74B5"/>
        </w:rPr>
        <w:t>1.3 Champ et portee de l'evaluation</w:t>
      </w:r>
    </w:p>
    <w:p>
      <w:pPr>
        <w:pStyle w:val="Heading3"/>
      </w:pPr>
      <w:r>
        <w:rPr>
          <w:rFonts w:ascii="Calibri" w:hAnsi="Calibri"/>
          <w:color w:val="1F558D"/>
        </w:rPr>
        <w:t>1.3.1 Objet de l'evaluation</w:t>
      </w:r>
    </w:p>
    <w:p>
      <w:r>
        <w:rPr>
          <w:b w:val="0"/>
          <w:i w:val="0"/>
          <w:sz w:val="21"/>
        </w:rPr>
        <w:t>La presente evaluation porte sur le Programme Special d'Insertion dans l'Emploi (PSIE), programme national mis en oeuvre par l'Agence Nationale Pour l'Emploi (ANPE) sous l'autorite de la Presidence de la Republique du Benin. Elle constitue la Phase 1 d'une evaluation en deux temps, deliberement limitee aux criteres evaluables par voie documentaire, dans l'attente de la collecte de donnees primaires.</w:t>
      </w:r>
    </w:p>
    <w:p>
      <w:r>
        <w:rPr>
          <w:b/>
          <w:i w:val="0"/>
          <w:sz w:val="21"/>
        </w:rPr>
        <w:t>L'objet de l'evaluation est triple :</w:t>
      </w:r>
    </w:p>
    <w:p>
      <w:pPr>
        <w:pStyle w:val="ListBullet"/>
        <w:ind w:left="567"/>
      </w:pPr>
      <w:r>
        <w:t>Apprecier le bien-fonde du programme au regard des besoins et des priorites nationales (critere de pertinence) ;</w:t>
      </w:r>
    </w:p>
    <w:p>
      <w:pPr>
        <w:pStyle w:val="ListBullet"/>
        <w:ind w:left="567"/>
      </w:pPr>
      <w:r>
        <w:t>Verifier la solidite de sa logique d'intervention et sa coherence avec le paysage politique et institutionnel beninois (critere de coherence) ;</w:t>
      </w:r>
    </w:p>
    <w:p>
      <w:pPr>
        <w:pStyle w:val="ListBullet"/>
        <w:ind w:left="567"/>
      </w:pPr>
      <w:r>
        <w:t>Mesurer l'atteinte des objectifs de mise en oeuvre sur la base des donnees de performance disponibles (critere d'efficacite).</w:t>
      </w:r>
    </w:p>
    <w:p>
      <w:pPr>
        <w:pStyle w:val="Heading3"/>
      </w:pPr>
      <w:r>
        <w:rPr>
          <w:rFonts w:ascii="Calibri" w:hAnsi="Calibri"/>
          <w:color w:val="1F558D"/>
        </w:rPr>
        <w:t>1.3.2 Periode couverte</w:t>
      </w:r>
    </w:p>
    <w:p>
      <w:r>
        <w:rPr>
          <w:b w:val="0"/>
          <w:i w:val="0"/>
          <w:sz w:val="21"/>
        </w:rPr>
        <w:t>L'evaluation couvre la periode de mise en oeuvre effective du PSIE, soit du 1er juillet 2020 (demarrage effectif des inscriptions sur la plateforme) au 30 septembre 2025 (derniere date de reference documentee dans les sources disponibles). Cette periode de cinq annees represente la quasi-totalite de la duree initiale du programme (2020-2024) et le debut de sa phase de prolongation (2025 et au-dela).</w:t>
      </w:r>
    </w:p>
    <w:p>
      <w:pPr>
        <w:pStyle w:val="Heading3"/>
      </w:pPr>
      <w:r>
        <w:rPr>
          <w:rFonts w:ascii="Calibri" w:hAnsi="Calibri"/>
          <w:color w:val="1F558D"/>
        </w:rPr>
        <w:t>1.3.3 Perimetre geographique</w:t>
      </w:r>
    </w:p>
    <w:p>
      <w:r>
        <w:rPr>
          <w:b w:val="0"/>
          <w:i w:val="0"/>
          <w:sz w:val="21"/>
        </w:rPr>
        <w:t>L'evaluation couvre l'ensemble du territoire national de la Republique du Benin, conformement a la vocation nationale du PSIE, deploye a travers le reseau des antennes departementales et locales de l'ANPE dans les douze (12) departements. Des disparites territoriales dans les resultats sont analysees comme facteur d'efficacite.</w:t>
      </w:r>
    </w:p>
    <w:p>
      <w:pPr>
        <w:pStyle w:val="Heading3"/>
      </w:pPr>
      <w:r>
        <w:rPr>
          <w:rFonts w:ascii="Calibri" w:hAnsi="Calibri"/>
          <w:color w:val="1F558D"/>
        </w:rPr>
        <w:t>1.3.4 Dimensions et niveaux d'analyse</w:t>
      </w:r>
    </w:p>
    <w:tbl>
      <w:tblPr>
        <w:tblStyle w:val="TableGrid"/>
        <w:tblW w:type="auto" w:w="0"/>
        <w:tblLook w:firstColumn="1" w:firstRow="1" w:lastColumn="0" w:lastRow="0" w:noHBand="0" w:noVBand="1" w:val="04A0"/>
      </w:tblPr>
      <w:tblGrid>
        <w:gridCol w:w="3079"/>
        <w:gridCol w:w="3079"/>
        <w:gridCol w:w="3079"/>
      </w:tblGrid>
      <w:tr>
        <w:tc>
          <w:tcPr>
            <w:tcW w:type="dxa" w:w="2268"/>
            <w:shd w:val="clear" w:color="auto" w:fill="1F3864"/>
          </w:tcPr>
          <w:p>
            <w:r>
              <w:rPr>
                <w:b/>
                <w:color w:val="FFFFFF"/>
                <w:sz w:val="19"/>
              </w:rPr>
              <w:t>Dimension</w:t>
            </w:r>
          </w:p>
        </w:tc>
        <w:tc>
          <w:tcPr>
            <w:tcW w:type="dxa" w:w="4535"/>
            <w:shd w:val="clear" w:color="auto" w:fill="1F3864"/>
          </w:tcPr>
          <w:p>
            <w:r>
              <w:rPr>
                <w:b/>
                <w:color w:val="FFFFFF"/>
                <w:sz w:val="19"/>
              </w:rPr>
              <w:t>Perimetre</w:t>
            </w:r>
          </w:p>
        </w:tc>
        <w:tc>
          <w:tcPr>
            <w:tcW w:type="dxa" w:w="2835"/>
            <w:shd w:val="clear" w:color="auto" w:fill="1F3864"/>
          </w:tcPr>
          <w:p>
            <w:r>
              <w:rPr>
                <w:b/>
                <w:color w:val="FFFFFF"/>
                <w:sz w:val="19"/>
              </w:rPr>
              <w:t>Niveaux analyses</w:t>
            </w:r>
          </w:p>
        </w:tc>
      </w:tr>
      <w:tr>
        <w:tc>
          <w:tcPr>
            <w:tcW w:type="dxa" w:w="2268"/>
            <w:shd w:val="clear" w:color="auto" w:fill="F2F2F2"/>
          </w:tcPr>
          <w:p>
            <w:r>
              <w:rPr>
                <w:b/>
                <w:sz w:val="19"/>
              </w:rPr>
              <w:t>Institutionnelle</w:t>
            </w:r>
          </w:p>
        </w:tc>
        <w:tc>
          <w:tcPr>
            <w:tcW w:type="dxa" w:w="4535"/>
            <w:shd w:val="clear" w:color="auto" w:fill="F2F2F2"/>
          </w:tcPr>
          <w:p>
            <w:r>
              <w:rPr>
                <w:sz w:val="19"/>
              </w:rPr>
              <w:t>Gouvernance, pilotage, articulation ANPE et partenaires</w:t>
            </w:r>
          </w:p>
        </w:tc>
        <w:tc>
          <w:tcPr>
            <w:tcW w:type="dxa" w:w="2835"/>
            <w:shd w:val="clear" w:color="auto" w:fill="F2F2F2"/>
          </w:tcPr>
          <w:p>
            <w:r>
              <w:rPr>
                <w:sz w:val="19"/>
              </w:rPr>
              <w:t>National</w:t>
            </w:r>
          </w:p>
        </w:tc>
      </w:tr>
      <w:tr>
        <w:tc>
          <w:tcPr>
            <w:tcW w:type="dxa" w:w="2268"/>
            <w:shd w:val="clear" w:color="auto" w:fill="FFFFFF"/>
          </w:tcPr>
          <w:p>
            <w:r>
              <w:rPr>
                <w:b/>
                <w:sz w:val="19"/>
              </w:rPr>
              <w:t>Operationnelle</w:t>
            </w:r>
          </w:p>
        </w:tc>
        <w:tc>
          <w:tcPr>
            <w:tcW w:type="dxa" w:w="4535"/>
            <w:shd w:val="clear" w:color="auto" w:fill="FFFFFF"/>
          </w:tcPr>
          <w:p>
            <w:r>
              <w:rPr>
                <w:sz w:val="19"/>
              </w:rPr>
              <w:t>Processus de mise en oeuvre (enregistrement -&gt; insertion -&gt; suivi)</w:t>
            </w:r>
          </w:p>
        </w:tc>
        <w:tc>
          <w:tcPr>
            <w:tcW w:type="dxa" w:w="2835"/>
            <w:shd w:val="clear" w:color="auto" w:fill="FFFFFF"/>
          </w:tcPr>
          <w:p>
            <w:r>
              <w:rPr>
                <w:sz w:val="19"/>
              </w:rPr>
              <w:t>National et departemental</w:t>
            </w:r>
          </w:p>
        </w:tc>
      </w:tr>
      <w:tr>
        <w:tc>
          <w:tcPr>
            <w:tcW w:type="dxa" w:w="2268"/>
            <w:shd w:val="clear" w:color="auto" w:fill="F2F2F2"/>
          </w:tcPr>
          <w:p>
            <w:r>
              <w:rPr>
                <w:b/>
                <w:sz w:val="19"/>
              </w:rPr>
              <w:t>Financiere</w:t>
            </w:r>
          </w:p>
        </w:tc>
        <w:tc>
          <w:tcPr>
            <w:tcW w:type="dxa" w:w="4535"/>
            <w:shd w:val="clear" w:color="auto" w:fill="F2F2F2"/>
          </w:tcPr>
          <w:p>
            <w:r>
              <w:rPr>
                <w:sz w:val="19"/>
              </w:rPr>
              <w:t>Execution budgetaire des salaires et du fonctionnement</w:t>
            </w:r>
          </w:p>
        </w:tc>
        <w:tc>
          <w:tcPr>
            <w:tcW w:type="dxa" w:w="2835"/>
            <w:shd w:val="clear" w:color="auto" w:fill="F2F2F2"/>
          </w:tcPr>
          <w:p>
            <w:r>
              <w:rPr>
                <w:sz w:val="19"/>
              </w:rPr>
              <w:t>National</w:t>
            </w:r>
          </w:p>
        </w:tc>
      </w:tr>
      <w:tr>
        <w:tc>
          <w:tcPr>
            <w:tcW w:type="dxa" w:w="2268"/>
            <w:shd w:val="clear" w:color="auto" w:fill="FFFFFF"/>
          </w:tcPr>
          <w:p>
            <w:r>
              <w:rPr>
                <w:b/>
                <w:sz w:val="19"/>
              </w:rPr>
              <w:t>Population cible</w:t>
            </w:r>
          </w:p>
        </w:tc>
        <w:tc>
          <w:tcPr>
            <w:tcW w:type="dxa" w:w="4535"/>
            <w:shd w:val="clear" w:color="auto" w:fill="FFFFFF"/>
          </w:tcPr>
          <w:p>
            <w:r>
              <w:rPr>
                <w:sz w:val="19"/>
              </w:rPr>
              <w:t>Jeunes diplomes (18-35 ans, BAC a Master) et entreprises</w:t>
            </w:r>
          </w:p>
        </w:tc>
        <w:tc>
          <w:tcPr>
            <w:tcW w:type="dxa" w:w="2835"/>
            <w:shd w:val="clear" w:color="auto" w:fill="FFFFFF"/>
          </w:tcPr>
          <w:p>
            <w:r>
              <w:rPr>
                <w:sz w:val="19"/>
              </w:rPr>
              <w:t>National et sectoriel</w:t>
            </w:r>
          </w:p>
        </w:tc>
      </w:tr>
    </w:tbl>
    <w:p/>
    <w:p>
      <w:pPr>
        <w:pStyle w:val="Heading3"/>
      </w:pPr>
      <w:r>
        <w:rPr>
          <w:rFonts w:ascii="Calibri" w:hAnsi="Calibri"/>
          <w:color w:val="1F558D"/>
        </w:rPr>
        <w:t>1.3.5 Criteres couverts et criteres differes</w:t>
      </w:r>
    </w:p>
    <w:tbl>
      <w:tblPr>
        <w:tblStyle w:val="TableGrid"/>
        <w:tblW w:type="auto" w:w="0"/>
        <w:tblLook w:firstColumn="1" w:firstRow="1" w:lastColumn="0" w:lastRow="0" w:noHBand="0" w:noVBand="1" w:val="04A0"/>
      </w:tblPr>
      <w:tblGrid>
        <w:gridCol w:w="3079"/>
        <w:gridCol w:w="3079"/>
        <w:gridCol w:w="3079"/>
      </w:tblGrid>
      <w:tr>
        <w:tc>
          <w:tcPr>
            <w:tcW w:type="dxa" w:w="1701"/>
            <w:shd w:val="clear" w:color="auto" w:fill="1F3864"/>
          </w:tcPr>
          <w:p>
            <w:r>
              <w:rPr>
                <w:b/>
                <w:color w:val="FFFFFF"/>
                <w:sz w:val="19"/>
              </w:rPr>
              <w:t>Critere</w:t>
            </w:r>
          </w:p>
        </w:tc>
        <w:tc>
          <w:tcPr>
            <w:tcW w:type="dxa" w:w="1701"/>
            <w:shd w:val="clear" w:color="auto" w:fill="1F3864"/>
          </w:tcPr>
          <w:p>
            <w:r>
              <w:rPr>
                <w:b/>
                <w:color w:val="FFFFFF"/>
                <w:sz w:val="19"/>
              </w:rPr>
              <w:t>Phase</w:t>
            </w:r>
          </w:p>
        </w:tc>
        <w:tc>
          <w:tcPr>
            <w:tcW w:type="dxa" w:w="6236"/>
            <w:shd w:val="clear" w:color="auto" w:fill="1F3864"/>
          </w:tcPr>
          <w:p>
            <w:r>
              <w:rPr>
                <w:b/>
                <w:color w:val="FFFFFF"/>
                <w:sz w:val="19"/>
              </w:rPr>
              <w:t>Justification</w:t>
            </w:r>
          </w:p>
        </w:tc>
      </w:tr>
      <w:tr>
        <w:tc>
          <w:tcPr>
            <w:tcW w:type="dxa" w:w="1701"/>
            <w:shd w:val="clear" w:color="auto" w:fill="F2F2F2"/>
          </w:tcPr>
          <w:p>
            <w:r>
              <w:rPr>
                <w:b/>
                <w:sz w:val="19"/>
              </w:rPr>
              <w:t>Pertinence</w:t>
            </w:r>
          </w:p>
        </w:tc>
        <w:tc>
          <w:tcPr>
            <w:tcW w:type="dxa" w:w="1701"/>
            <w:shd w:val="clear" w:color="auto" w:fill="F2F2F2"/>
          </w:tcPr>
          <w:p>
            <w:r>
              <w:rPr>
                <w:sz w:val="19"/>
              </w:rPr>
              <w:t>Phase 1 (presente)</w:t>
            </w:r>
          </w:p>
        </w:tc>
        <w:tc>
          <w:tcPr>
            <w:tcW w:type="dxa" w:w="6236"/>
            <w:shd w:val="clear" w:color="auto" w:fill="F2F2F2"/>
          </w:tcPr>
          <w:p>
            <w:r>
              <w:rPr>
                <w:sz w:val="19"/>
              </w:rPr>
              <w:t>Evaluable sur base documentaire et diagnostics sectoriels disponibles</w:t>
            </w:r>
          </w:p>
        </w:tc>
      </w:tr>
      <w:tr>
        <w:tc>
          <w:tcPr>
            <w:tcW w:type="dxa" w:w="1701"/>
            <w:shd w:val="clear" w:color="auto" w:fill="FFFFFF"/>
          </w:tcPr>
          <w:p>
            <w:r>
              <w:rPr>
                <w:b/>
                <w:sz w:val="19"/>
              </w:rPr>
              <w:t>Coherence</w:t>
            </w:r>
          </w:p>
        </w:tc>
        <w:tc>
          <w:tcPr>
            <w:tcW w:type="dxa" w:w="1701"/>
            <w:shd w:val="clear" w:color="auto" w:fill="FFFFFF"/>
          </w:tcPr>
          <w:p>
            <w:r>
              <w:rPr>
                <w:sz w:val="19"/>
              </w:rPr>
              <w:t>Phase 1 (presente)</w:t>
            </w:r>
          </w:p>
        </w:tc>
        <w:tc>
          <w:tcPr>
            <w:tcW w:type="dxa" w:w="6236"/>
            <w:shd w:val="clear" w:color="auto" w:fill="FFFFFF"/>
          </w:tcPr>
          <w:p>
            <w:r>
              <w:rPr>
                <w:sz w:val="19"/>
              </w:rPr>
              <w:t>Evaluable par analyse du cadre logique et du paysage institutionnel</w:t>
            </w:r>
          </w:p>
        </w:tc>
      </w:tr>
      <w:tr>
        <w:tc>
          <w:tcPr>
            <w:tcW w:type="dxa" w:w="1701"/>
            <w:shd w:val="clear" w:color="auto" w:fill="F2F2F2"/>
          </w:tcPr>
          <w:p>
            <w:r>
              <w:rPr>
                <w:b/>
                <w:sz w:val="19"/>
              </w:rPr>
              <w:t>Efficacite</w:t>
            </w:r>
          </w:p>
        </w:tc>
        <w:tc>
          <w:tcPr>
            <w:tcW w:type="dxa" w:w="1701"/>
            <w:shd w:val="clear" w:color="auto" w:fill="F2F2F2"/>
          </w:tcPr>
          <w:p>
            <w:r>
              <w:rPr>
                <w:sz w:val="19"/>
              </w:rPr>
              <w:t>Phase 1 (presente)</w:t>
            </w:r>
          </w:p>
        </w:tc>
        <w:tc>
          <w:tcPr>
            <w:tcW w:type="dxa" w:w="6236"/>
            <w:shd w:val="clear" w:color="auto" w:fill="F2F2F2"/>
          </w:tcPr>
          <w:p>
            <w:r>
              <w:rPr>
                <w:sz w:val="19"/>
              </w:rPr>
              <w:t>Evaluable sur la base des rapports de performance et des donnees PSIE</w:t>
            </w:r>
          </w:p>
        </w:tc>
      </w:tr>
      <w:tr>
        <w:tc>
          <w:tcPr>
            <w:tcW w:type="dxa" w:w="1701"/>
            <w:shd w:val="clear" w:color="auto" w:fill="FFFFFF"/>
          </w:tcPr>
          <w:p>
            <w:r>
              <w:rPr>
                <w:b/>
                <w:sz w:val="19"/>
              </w:rPr>
              <w:t>Efficience</w:t>
            </w:r>
          </w:p>
        </w:tc>
        <w:tc>
          <w:tcPr>
            <w:tcW w:type="dxa" w:w="1701"/>
            <w:shd w:val="clear" w:color="auto" w:fill="FFFFFF"/>
          </w:tcPr>
          <w:p>
            <w:r>
              <w:rPr>
                <w:sz w:val="19"/>
              </w:rPr>
              <w:t>Phase 2</w:t>
            </w:r>
          </w:p>
        </w:tc>
        <w:tc>
          <w:tcPr>
            <w:tcW w:type="dxa" w:w="6236"/>
            <w:shd w:val="clear" w:color="auto" w:fill="FFFFFF"/>
          </w:tcPr>
          <w:p>
            <w:r>
              <w:rPr>
                <w:sz w:val="19"/>
              </w:rPr>
              <w:t>Requiert une analyse cout-efficacite comparee avec des programmes similaires dans la sous-region</w:t>
            </w:r>
          </w:p>
        </w:tc>
      </w:tr>
      <w:tr>
        <w:tc>
          <w:tcPr>
            <w:tcW w:type="dxa" w:w="1701"/>
            <w:shd w:val="clear" w:color="auto" w:fill="F2F2F2"/>
          </w:tcPr>
          <w:p>
            <w:r>
              <w:rPr>
                <w:b/>
                <w:sz w:val="19"/>
              </w:rPr>
              <w:t>Effets/Impacts</w:t>
            </w:r>
          </w:p>
        </w:tc>
        <w:tc>
          <w:tcPr>
            <w:tcW w:type="dxa" w:w="1701"/>
            <w:shd w:val="clear" w:color="auto" w:fill="F2F2F2"/>
          </w:tcPr>
          <w:p>
            <w:r>
              <w:rPr>
                <w:sz w:val="19"/>
              </w:rPr>
              <w:t>Phase 2</w:t>
            </w:r>
          </w:p>
        </w:tc>
        <w:tc>
          <w:tcPr>
            <w:tcW w:type="dxa" w:w="6236"/>
            <w:shd w:val="clear" w:color="auto" w:fill="F2F2F2"/>
          </w:tcPr>
          <w:p>
            <w:r>
              <w:rPr>
                <w:sz w:val="19"/>
              </w:rPr>
              <w:t>Requiert une enquete aupres des beneficiaires (maintien en emploi post-programme, revenus)</w:t>
            </w:r>
          </w:p>
        </w:tc>
      </w:tr>
      <w:tr>
        <w:tc>
          <w:tcPr>
            <w:tcW w:type="dxa" w:w="1701"/>
            <w:shd w:val="clear" w:color="auto" w:fill="FFFFFF"/>
          </w:tcPr>
          <w:p>
            <w:r>
              <w:rPr>
                <w:b/>
                <w:sz w:val="19"/>
              </w:rPr>
              <w:t>Durabilite</w:t>
            </w:r>
          </w:p>
        </w:tc>
        <w:tc>
          <w:tcPr>
            <w:tcW w:type="dxa" w:w="1701"/>
            <w:shd w:val="clear" w:color="auto" w:fill="FFFFFF"/>
          </w:tcPr>
          <w:p>
            <w:r>
              <w:rPr>
                <w:sz w:val="19"/>
              </w:rPr>
              <w:t>Phase 2</w:t>
            </w:r>
          </w:p>
        </w:tc>
        <w:tc>
          <w:tcPr>
            <w:tcW w:type="dxa" w:w="6236"/>
            <w:shd w:val="clear" w:color="auto" w:fill="FFFFFF"/>
          </w:tcPr>
          <w:p>
            <w:r>
              <w:rPr>
                <w:sz w:val="19"/>
              </w:rPr>
              <w:t>Requiert un suivi longitudinal des cohortes d'alumni</w:t>
            </w:r>
          </w:p>
        </w:tc>
      </w:tr>
      <w:tr>
        <w:tc>
          <w:tcPr>
            <w:tcW w:type="dxa" w:w="1701"/>
            <w:shd w:val="clear" w:color="auto" w:fill="F2F2F2"/>
          </w:tcPr>
          <w:p>
            <w:r>
              <w:rPr>
                <w:b/>
                <w:sz w:val="19"/>
              </w:rPr>
              <w:t>Genre</w:t>
            </w:r>
          </w:p>
        </w:tc>
        <w:tc>
          <w:tcPr>
            <w:tcW w:type="dxa" w:w="1701"/>
            <w:shd w:val="clear" w:color="auto" w:fill="F2F2F2"/>
          </w:tcPr>
          <w:p>
            <w:r>
              <w:rPr>
                <w:sz w:val="19"/>
              </w:rPr>
              <w:t>Phase 2</w:t>
            </w:r>
          </w:p>
        </w:tc>
        <w:tc>
          <w:tcPr>
            <w:tcW w:type="dxa" w:w="6236"/>
            <w:shd w:val="clear" w:color="auto" w:fill="F2F2F2"/>
          </w:tcPr>
          <w:p>
            <w:r>
              <w:rPr>
                <w:sz w:val="19"/>
              </w:rPr>
              <w:t>Donnees desagregees par sexe non disponibles dans les sources actuelles</w:t>
            </w:r>
          </w:p>
        </w:tc>
      </w:tr>
    </w:tbl>
    <w:p/>
    <w:p>
      <w:pPr>
        <w:pStyle w:val="Heading3"/>
      </w:pPr>
      <w:r>
        <w:rPr>
          <w:rFonts w:ascii="Calibri" w:hAnsi="Calibri"/>
          <w:color w:val="1F558D"/>
        </w:rPr>
        <w:t>1.3.6 Perimetre exclu de la Phase 1</w:t>
      </w:r>
    </w:p>
    <w:p>
      <w:r>
        <w:rPr>
          <w:b w:val="0"/>
          <w:i w:val="0"/>
          <w:sz w:val="21"/>
        </w:rPr>
        <w:t>Par souci de rigueur methodologique, les aspects suivants sont explicitement hors champ :</w:t>
      </w:r>
    </w:p>
    <w:p>
      <w:pPr>
        <w:pStyle w:val="ListBullet"/>
        <w:ind w:left="567"/>
      </w:pPr>
      <w:r>
        <w:t>La perception des beneficiaires (jeunes et entreprises) n'est pas collectee directement ;</w:t>
      </w:r>
    </w:p>
    <w:p>
      <w:pPr>
        <w:pStyle w:val="ListBullet"/>
        <w:ind w:left="567"/>
      </w:pPr>
      <w:r>
        <w:t>Le taux de retention des allocataires en emploi a l'issue de la periode de 24 mois n'est pas documente dans les sources et ne peut etre evalue ;</w:t>
      </w:r>
    </w:p>
    <w:p>
      <w:pPr>
        <w:pStyle w:val="ListBullet"/>
        <w:ind w:left="567"/>
      </w:pPr>
      <w:r>
        <w:t>Les effets sur la pauvrete des menages, la productivite des entreprises ou l'economie macro sont exclus du champ de la Phase 1 ;</w:t>
      </w:r>
    </w:p>
    <w:p>
      <w:pPr>
        <w:pStyle w:val="ListBullet"/>
        <w:ind w:left="567"/>
      </w:pPr>
      <w:r>
        <w:t>Les aspects de gestion interne (audit, controle interne) relevent d'un audit de performance distinct.</w:t>
      </w:r>
    </w:p>
    <w:p>
      <w:pPr>
        <w:pStyle w:val="Heading3"/>
      </w:pPr>
      <w:r>
        <w:rPr>
          <w:rFonts w:ascii="Calibri" w:hAnsi="Calibri"/>
          <w:color w:val="1F558D"/>
        </w:rPr>
        <w:t>1.3.7 Utilisateurs de l'evaluation</w:t>
      </w:r>
    </w:p>
    <w:p>
      <w:r>
        <w:rPr>
          <w:b w:val="0"/>
          <w:i w:val="0"/>
          <w:sz w:val="21"/>
        </w:rPr>
        <w:t>Les resultats et recommandations sont destines en priorite a :</w:t>
      </w:r>
    </w:p>
    <w:p>
      <w:pPr>
        <w:pStyle w:val="ListBullet"/>
        <w:ind w:left="567"/>
      </w:pPr>
      <w:r>
        <w:t>La Coordination du PSIE et le BAI (Presidence) : decisions de pilotage operationnel et strategique ;</w:t>
      </w:r>
    </w:p>
    <w:p>
      <w:pPr>
        <w:pStyle w:val="ListBullet"/>
        <w:ind w:left="567"/>
      </w:pPr>
      <w:r>
        <w:t>Le Ministere en charge de la Promotion de l'Emploi : revision de la PNE ;</w:t>
      </w:r>
    </w:p>
    <w:p>
      <w:pPr>
        <w:pStyle w:val="ListBullet"/>
        <w:ind w:left="567"/>
      </w:pPr>
      <w:r>
        <w:t>La Direction Generale de l'ANPE : amelioration des processus operationnels ;</w:t>
      </w:r>
    </w:p>
    <w:p>
      <w:pPr>
        <w:pStyle w:val="ListBullet"/>
        <w:ind w:left="567"/>
      </w:pPr>
      <w:r>
        <w:t>Les partenaires techniques et financiers susceptibles d'appuyer une future evaluation d'impact ;</w:t>
      </w:r>
    </w:p>
    <w:p>
      <w:pPr>
        <w:pStyle w:val="ListBullet"/>
        <w:ind w:left="567"/>
      </w:pPr>
      <w:r>
        <w:t>Toute instance impliquee dans le renouvellement, l'extension ou la replication du programme.</w:t>
      </w:r>
    </w:p>
    <w:p>
      <w:r>
        <w:br w:type="page"/>
      </w:r>
    </w:p>
    <w:p>
      <w:pPr>
        <w:pStyle w:val="Heading2"/>
      </w:pPr>
      <w:r>
        <w:rPr>
          <w:rFonts w:ascii="Calibri" w:hAnsi="Calibri"/>
          <w:color w:val="2E74B5"/>
        </w:rPr>
        <w:t>1.4 Description du PSIE</w:t>
      </w:r>
    </w:p>
    <w:p>
      <w:pPr>
        <w:pStyle w:val="Heading3"/>
      </w:pPr>
      <w:r>
        <w:rPr>
          <w:rFonts w:ascii="Calibri" w:hAnsi="Calibri"/>
          <w:color w:val="1F558D"/>
        </w:rPr>
        <w:t>1.4.1 Contexte et genese du programme</w:t>
      </w:r>
    </w:p>
    <w:p>
      <w:r>
        <w:rPr>
          <w:b w:val="0"/>
          <w:i w:val="0"/>
          <w:sz w:val="21"/>
        </w:rPr>
        <w:t>Le PSIE est une initiative presidentielle inscrite dans la continuite du Programme d'Actions du Gouvernement (PAG 2016-2021), dont un axe strategique consiste a traiter la question de l'emploi des jeunes de maniere systematique dans l'ensemble des interventions gouvernementales.</w:t>
      </w:r>
    </w:p>
    <w:p>
      <w:r>
        <w:rPr>
          <w:b w:val="0"/>
          <w:i w:val="0"/>
          <w:sz w:val="21"/>
        </w:rPr>
        <w:t>Le programme est ne d'un double constat : d'un cote, 4,08 millions de jeunes de moins de 40 ans (34 % de la population, EMICOV 2015) condamnes au sous-emploi (72 %, INSAE 2017) faute de pouvoir acceder a leur premier emploi formel ; de l'autre, des entreprises ayant des besoins reels mais hesitant a embaucher par crainte des charges salariales.</w:t>
      </w:r>
    </w:p>
    <w:p>
      <w:r>
        <w:rPr>
          <w:b w:val="0"/>
          <w:i w:val="0"/>
          <w:sz w:val="21"/>
        </w:rPr>
        <w:t>L'initiative a ete annoncee publiquement le 31 juillet 2019 lors du 59eme anniversaire de l'independance du Benin. Le President a declare vouloir :</w:t>
      </w:r>
    </w:p>
    <w:p>
      <w:pPr>
        <w:ind w:left="567" w:right="567"/>
      </w:pPr>
      <w:r>
        <w:rPr>
          <w:i/>
          <w:color w:val="444444"/>
        </w:rPr>
        <w:t>'...recruter chaque annee, a la charge de l'Etat, 2 000 jeunes diplomes a placer dans des entreprises privees ou publiques, sur une periode de deux ans, avec l'espoir qu'ils sauront se rendre utiles et efficaces pour se faire recruter a l'issue de la periode d'insertion, ou alors qu'ils sauront voler de leurs propres ailes dans l'auto emploi...'</w:t>
      </w:r>
    </w:p>
    <w:p>
      <w:r>
        <w:rPr>
          <w:b w:val="0"/>
          <w:i w:val="0"/>
          <w:sz w:val="21"/>
        </w:rPr>
        <w:t>Apres une phase de formulation (decembre 2019 - mars 2020), le programme a ete valide par le Conseil des ministres le 10 juin 2020, lance le 15 juin 2020, et institue par decret en aout 2020. En fevrier 2025, le Conseil des ministres a autorise sa prolongation au-dela de decembre 2025.</w:t>
      </w:r>
    </w:p>
    <w:p>
      <w:pPr>
        <w:pStyle w:val="Heading3"/>
      </w:pPr>
      <w:r>
        <w:rPr>
          <w:rFonts w:ascii="Calibri" w:hAnsi="Calibri"/>
          <w:color w:val="1F558D"/>
        </w:rPr>
        <w:t>1.4.2 Objectifs et structure du PSIE</w:t>
      </w:r>
    </w:p>
    <w:p>
      <w:pPr>
        <w:pStyle w:val="Heading4"/>
      </w:pPr>
      <w:r>
        <w:rPr>
          <w:rFonts w:ascii="Calibri" w:hAnsi="Calibri"/>
        </w:rPr>
        <w:t>A. Architecture des objectifs</w:t>
      </w:r>
    </w:p>
    <w:p>
      <w:r>
        <w:rPr>
          <w:b w:val="0"/>
          <w:i w:val="0"/>
          <w:sz w:val="21"/>
        </w:rPr>
        <w:t>Le cadre de resultats du PSIE est organise selon une hierarchie a trois niveaux :</w:t>
      </w:r>
    </w:p>
    <w:p>
      <w:r>
        <w:rPr>
          <w:b/>
          <w:i w:val="0"/>
          <w:sz w:val="21"/>
        </w:rPr>
        <w:t>Objectif General (OG) :</w:t>
      </w:r>
    </w:p>
    <w:p>
      <w:r>
        <w:rPr>
          <w:b w:val="0"/>
          <w:i w:val="0"/>
          <w:sz w:val="21"/>
        </w:rPr>
        <w:t>Faciliter l'insertion professionnelle de deux mille (2 000) jeunes diplomes par an dans les entreprises publiques et privees de la Republique du Benin.</w:t>
      </w:r>
    </w:p>
    <w:p/>
    <w:p>
      <w:r>
        <w:rPr>
          <w:b/>
          <w:i w:val="0"/>
          <w:sz w:val="21"/>
        </w:rPr>
        <w:t>Objectifs Specifiques et Resultats Attendus :</w:t>
      </w:r>
    </w:p>
    <w:tbl>
      <w:tblPr>
        <w:tblStyle w:val="TableGrid"/>
        <w:tblW w:type="auto" w:w="0"/>
        <w:tblLook w:firstColumn="1" w:firstRow="1" w:lastColumn="0" w:lastRow="0" w:noHBand="0" w:noVBand="1" w:val="04A0"/>
      </w:tblPr>
      <w:tblGrid>
        <w:gridCol w:w="3079"/>
        <w:gridCol w:w="3079"/>
        <w:gridCol w:w="3079"/>
      </w:tblGrid>
      <w:tr>
        <w:tc>
          <w:tcPr>
            <w:tcW w:type="dxa" w:w="567"/>
            <w:shd w:val="clear" w:color="auto" w:fill="1F3864"/>
          </w:tcPr>
          <w:p>
            <w:r>
              <w:rPr>
                <w:b/>
                <w:color w:val="FFFFFF"/>
                <w:sz w:val="19"/>
              </w:rPr>
              <w:t>N°</w:t>
            </w:r>
          </w:p>
        </w:tc>
        <w:tc>
          <w:tcPr>
            <w:tcW w:type="dxa" w:w="3969"/>
            <w:shd w:val="clear" w:color="auto" w:fill="1F3864"/>
          </w:tcPr>
          <w:p>
            <w:r>
              <w:rPr>
                <w:b/>
                <w:color w:val="FFFFFF"/>
                <w:sz w:val="19"/>
              </w:rPr>
              <w:t>Objectif Specifique</w:t>
            </w:r>
          </w:p>
        </w:tc>
        <w:tc>
          <w:tcPr>
            <w:tcW w:type="dxa" w:w="4535"/>
            <w:shd w:val="clear" w:color="auto" w:fill="1F3864"/>
          </w:tcPr>
          <w:p>
            <w:r>
              <w:rPr>
                <w:b/>
                <w:color w:val="FFFFFF"/>
                <w:sz w:val="19"/>
              </w:rPr>
              <w:t>Resultat Attendu associe</w:t>
            </w:r>
          </w:p>
        </w:tc>
      </w:tr>
      <w:tr>
        <w:tc>
          <w:tcPr>
            <w:tcW w:type="dxa" w:w="567"/>
            <w:shd w:val="clear" w:color="auto" w:fill="F2F2F2"/>
          </w:tcPr>
          <w:p>
            <w:r>
              <w:rPr>
                <w:b/>
                <w:sz w:val="19"/>
              </w:rPr>
              <w:t>OS1</w:t>
            </w:r>
          </w:p>
        </w:tc>
        <w:tc>
          <w:tcPr>
            <w:tcW w:type="dxa" w:w="3969"/>
            <w:shd w:val="clear" w:color="auto" w:fill="F2F2F2"/>
          </w:tcPr>
          <w:p>
            <w:r>
              <w:rPr>
                <w:sz w:val="19"/>
              </w:rPr>
              <w:t>Ameliorer l'employabilite des beneficiaires en vue de leur insertion professionnelle durable, grace aux actions d'immersion et d'encadrement</w:t>
            </w:r>
          </w:p>
        </w:tc>
        <w:tc>
          <w:tcPr>
            <w:tcW w:type="dxa" w:w="4535"/>
            <w:shd w:val="clear" w:color="auto" w:fill="F2F2F2"/>
          </w:tcPr>
          <w:p>
            <w:r>
              <w:rPr>
                <w:sz w:val="19"/>
              </w:rPr>
              <w:t>R1 : Les mesures d'accompagnement a l'employabilite pour l'insertion durable et perenne de 2 000 jeunes par an sont initiees et mises en oeuvre</w:t>
            </w:r>
          </w:p>
        </w:tc>
      </w:tr>
      <w:tr>
        <w:tc>
          <w:tcPr>
            <w:tcW w:type="dxa" w:w="567"/>
            <w:shd w:val="clear" w:color="auto" w:fill="FFFFFF"/>
          </w:tcPr>
          <w:p>
            <w:r>
              <w:rPr>
                <w:b/>
                <w:sz w:val="19"/>
              </w:rPr>
              <w:t>OS2</w:t>
            </w:r>
          </w:p>
        </w:tc>
        <w:tc>
          <w:tcPr>
            <w:tcW w:type="dxa" w:w="3969"/>
            <w:shd w:val="clear" w:color="auto" w:fill="FFFFFF"/>
          </w:tcPr>
          <w:p>
            <w:r>
              <w:rPr>
                <w:sz w:val="19"/>
              </w:rPr>
              <w:t>Soutenir financierement la prise en charge totale des salaires des titulaires des nouveaux emplois crees par les entreprises dans le cadre du programme</w:t>
            </w:r>
          </w:p>
        </w:tc>
        <w:tc>
          <w:tcPr>
            <w:tcW w:type="dxa" w:w="4535"/>
            <w:shd w:val="clear" w:color="auto" w:fill="FFFFFF"/>
          </w:tcPr>
          <w:p>
            <w:r>
              <w:rPr>
                <w:sz w:val="19"/>
              </w:rPr>
              <w:t>R2 : 2 000 jeunes candidats a l'emploi sont employes par an par les entreprises, et leur remuneration est prise en charge par l'Etat, en vue de leur insertion durable</w:t>
            </w:r>
          </w:p>
        </w:tc>
      </w:tr>
    </w:tbl>
    <w:p/>
    <w:p>
      <w:pPr>
        <w:pStyle w:val="Heading4"/>
      </w:pPr>
      <w:r>
        <w:rPr>
          <w:rFonts w:ascii="Calibri" w:hAnsi="Calibri"/>
        </w:rPr>
        <w:t>B. Structure institutionnelle de gouvernance</w:t>
      </w:r>
    </w:p>
    <w:p>
      <w:r>
        <w:rPr>
          <w:b w:val="0"/>
          <w:i w:val="0"/>
          <w:sz w:val="21"/>
        </w:rPr>
        <w:t>Le PSIE est gouverne par un dispositif a quatre niveaux, s'appuyant sur les structures existantes pour eviter la creation d'une administration parallele couteuse :</w:t>
      </w:r>
    </w:p>
    <w:p>
      <w:pPr>
        <w:ind w:left="283"/>
      </w:pPr>
      <w:r>
        <w:rPr>
          <w:rFonts w:ascii="Courier New" w:hAnsi="Courier New"/>
          <w:color w:val="222222"/>
          <w:sz w:val="17"/>
        </w:rPr>
        <w:t>PRESIDENCE DE LA REPUBLIQUE (BAI)</w:t>
        <w:br/>
        <w:t xml:space="preserve">  |  Tutelle politique et financiere</w:t>
        <w:br/>
        <w:t xml:space="preserve">  v</w:t>
        <w:br/>
        <w:t>COMITE DE PILOTAGE = Conseil d'Administration de l'ANPE</w:t>
        <w:br/>
        <w:t xml:space="preserve">  |  Orientations strategiques * Approbation du budget et des rapports * Reunion trimestrielle</w:t>
        <w:br/>
        <w:t xml:space="preserve">  v</w:t>
        <w:br/>
        <w:t>COMITE TECHNIQUE = Direction Generale de l'ANPE (President : DG ANPE)</w:t>
        <w:br/>
        <w:t xml:space="preserve">  |  Validation technique * Approbation des listes d'aptitude * Reunion mensuelle</w:t>
        <w:br/>
        <w:t xml:space="preserve">  v</w:t>
        <w:br/>
        <w:t>UNITE DE COORDINATION PSIE (mise a disposition par la Presidence)</w:t>
        <w:br/>
        <w:t xml:space="preserve">  |  Coordonnateur * Specialiste S-E * Administrateur plateforme</w:t>
        <w:br/>
        <w:t xml:space="preserve">  v</w:t>
        <w:br/>
        <w:t>ANPE (Agence d'execution)</w:t>
        <w:br/>
        <w:t xml:space="preserve">  Plateforme numerique * Conseillers en emploi * Reseau 12 antennes departementales</w:t>
      </w:r>
    </w:p>
    <w:p/>
    <w:p>
      <w:pPr>
        <w:pStyle w:val="Heading4"/>
      </w:pPr>
      <w:r>
        <w:rPr>
          <w:rFonts w:ascii="Calibri" w:hAnsi="Calibri"/>
        </w:rPr>
        <w:t>C. Processus operationnel - Cycle d'insertion en 8 etapes</w:t>
      </w:r>
    </w:p>
    <w:tbl>
      <w:tblPr>
        <w:tblStyle w:val="TableGrid"/>
        <w:tblW w:type="auto" w:w="0"/>
        <w:tblLook w:firstColumn="1" w:firstRow="1" w:lastColumn="0" w:lastRow="0" w:noHBand="0" w:noVBand="1" w:val="04A0"/>
      </w:tblPr>
      <w:tblGrid>
        <w:gridCol w:w="3079"/>
        <w:gridCol w:w="3079"/>
        <w:gridCol w:w="3079"/>
      </w:tblGrid>
      <w:tr>
        <w:tc>
          <w:tcPr>
            <w:tcW w:type="dxa" w:w="2268"/>
            <w:shd w:val="clear" w:color="auto" w:fill="1F3864"/>
          </w:tcPr>
          <w:p>
            <w:r>
              <w:rPr>
                <w:b/>
                <w:color w:val="FFFFFF"/>
                <w:sz w:val="19"/>
              </w:rPr>
              <w:t>Etape</w:t>
            </w:r>
          </w:p>
        </w:tc>
        <w:tc>
          <w:tcPr>
            <w:tcW w:type="dxa" w:w="4535"/>
            <w:shd w:val="clear" w:color="auto" w:fill="1F3864"/>
          </w:tcPr>
          <w:p>
            <w:r>
              <w:rPr>
                <w:b/>
                <w:color w:val="FFFFFF"/>
                <w:sz w:val="19"/>
              </w:rPr>
              <w:t>Activites cles</w:t>
            </w:r>
          </w:p>
        </w:tc>
        <w:tc>
          <w:tcPr>
            <w:tcW w:type="dxa" w:w="2835"/>
            <w:shd w:val="clear" w:color="auto" w:fill="1F3864"/>
          </w:tcPr>
          <w:p>
            <w:r>
              <w:rPr>
                <w:b/>
                <w:color w:val="FFFFFF"/>
                <w:sz w:val="19"/>
              </w:rPr>
              <w:t>Acteurs principaux</w:t>
            </w:r>
          </w:p>
        </w:tc>
      </w:tr>
      <w:tr>
        <w:tc>
          <w:tcPr>
            <w:tcW w:type="dxa" w:w="2268"/>
            <w:shd w:val="clear" w:color="auto" w:fill="F2F2F2"/>
          </w:tcPr>
          <w:p>
            <w:r>
              <w:rPr>
                <w:b/>
                <w:sz w:val="19"/>
              </w:rPr>
              <w:t>1. Information-communication</w:t>
            </w:r>
          </w:p>
        </w:tc>
        <w:tc>
          <w:tcPr>
            <w:tcW w:type="dxa" w:w="4535"/>
            <w:shd w:val="clear" w:color="auto" w:fill="F2F2F2"/>
          </w:tcPr>
          <w:p>
            <w:r>
              <w:rPr>
                <w:sz w:val="19"/>
              </w:rPr>
              <w:t>Campagnes mediatiques, sensibilisation des employeurs (CCIB, CNPB, CONEB)</w:t>
            </w:r>
          </w:p>
        </w:tc>
        <w:tc>
          <w:tcPr>
            <w:tcW w:type="dxa" w:w="2835"/>
            <w:shd w:val="clear" w:color="auto" w:fill="F2F2F2"/>
          </w:tcPr>
          <w:p>
            <w:r>
              <w:rPr>
                <w:sz w:val="19"/>
              </w:rPr>
              <w:t>Coordination PSIE, ANPE</w:t>
            </w:r>
          </w:p>
        </w:tc>
      </w:tr>
      <w:tr>
        <w:tc>
          <w:tcPr>
            <w:tcW w:type="dxa" w:w="2268"/>
            <w:shd w:val="clear" w:color="auto" w:fill="FFFFFF"/>
          </w:tcPr>
          <w:p>
            <w:r>
              <w:rPr>
                <w:b/>
                <w:sz w:val="19"/>
              </w:rPr>
              <w:t>2. Inscription</w:t>
            </w:r>
          </w:p>
        </w:tc>
        <w:tc>
          <w:tcPr>
            <w:tcW w:type="dxa" w:w="4535"/>
            <w:shd w:val="clear" w:color="auto" w:fill="FFFFFF"/>
          </w:tcPr>
          <w:p>
            <w:r>
              <w:rPr>
                <w:sz w:val="19"/>
              </w:rPr>
              <w:t>Enregistrement en ligne des entreprises et candidats sur psie.bj</w:t>
            </w:r>
          </w:p>
        </w:tc>
        <w:tc>
          <w:tcPr>
            <w:tcW w:type="dxa" w:w="2835"/>
            <w:shd w:val="clear" w:color="auto" w:fill="FFFFFF"/>
          </w:tcPr>
          <w:p>
            <w:r>
              <w:rPr>
                <w:sz w:val="19"/>
              </w:rPr>
              <w:t>Candidats et entreprises</w:t>
            </w:r>
          </w:p>
        </w:tc>
      </w:tr>
      <w:tr>
        <w:tc>
          <w:tcPr>
            <w:tcW w:type="dxa" w:w="2268"/>
            <w:shd w:val="clear" w:color="auto" w:fill="F2F2F2"/>
          </w:tcPr>
          <w:p>
            <w:r>
              <w:rPr>
                <w:b/>
                <w:sz w:val="19"/>
              </w:rPr>
              <w:t>3. Preselection sur dossiers</w:t>
            </w:r>
          </w:p>
        </w:tc>
        <w:tc>
          <w:tcPr>
            <w:tcW w:type="dxa" w:w="4535"/>
            <w:shd w:val="clear" w:color="auto" w:fill="F2F2F2"/>
          </w:tcPr>
          <w:p>
            <w:r>
              <w:rPr>
                <w:sz w:val="19"/>
              </w:rPr>
              <w:t>Controle de conformite et de completude par les Conseillers en emploi</w:t>
            </w:r>
          </w:p>
        </w:tc>
        <w:tc>
          <w:tcPr>
            <w:tcW w:type="dxa" w:w="2835"/>
            <w:shd w:val="clear" w:color="auto" w:fill="F2F2F2"/>
          </w:tcPr>
          <w:p>
            <w:r>
              <w:rPr>
                <w:sz w:val="19"/>
              </w:rPr>
              <w:t>ANPE (Conseillers en emploi)</w:t>
            </w:r>
          </w:p>
        </w:tc>
      </w:tr>
      <w:tr>
        <w:tc>
          <w:tcPr>
            <w:tcW w:type="dxa" w:w="2268"/>
            <w:shd w:val="clear" w:color="auto" w:fill="FFFFFF"/>
          </w:tcPr>
          <w:p>
            <w:r>
              <w:rPr>
                <w:b/>
                <w:sz w:val="19"/>
              </w:rPr>
              <w:t>4. Eligibilite et listes d'aptitude</w:t>
            </w:r>
          </w:p>
        </w:tc>
        <w:tc>
          <w:tcPr>
            <w:tcW w:type="dxa" w:w="4535"/>
            <w:shd w:val="clear" w:color="auto" w:fill="FFFFFF"/>
          </w:tcPr>
          <w:p>
            <w:r>
              <w:rPr>
                <w:sz w:val="19"/>
              </w:rPr>
              <w:t>Analyse qualitative ; entretiens exploratoires ; panels d'experts</w:t>
            </w:r>
          </w:p>
        </w:tc>
        <w:tc>
          <w:tcPr>
            <w:tcW w:type="dxa" w:w="2835"/>
            <w:shd w:val="clear" w:color="auto" w:fill="FFFFFF"/>
          </w:tcPr>
          <w:p>
            <w:r>
              <w:rPr>
                <w:sz w:val="19"/>
              </w:rPr>
              <w:t>Panels d'experts, Comite technique</w:t>
            </w:r>
          </w:p>
        </w:tc>
      </w:tr>
      <w:tr>
        <w:tc>
          <w:tcPr>
            <w:tcW w:type="dxa" w:w="2268"/>
            <w:shd w:val="clear" w:color="auto" w:fill="F2F2F2"/>
          </w:tcPr>
          <w:p>
            <w:r>
              <w:rPr>
                <w:b/>
                <w:sz w:val="19"/>
              </w:rPr>
              <w:t>5. Selection des allocataires</w:t>
            </w:r>
          </w:p>
        </w:tc>
        <w:tc>
          <w:tcPr>
            <w:tcW w:type="dxa" w:w="4535"/>
            <w:shd w:val="clear" w:color="auto" w:fill="F2F2F2"/>
          </w:tcPr>
          <w:p>
            <w:r>
              <w:rPr>
                <w:sz w:val="19"/>
              </w:rPr>
              <w:t>L'entreprise choisit parmi les profils proposes ; entretiens finaux</w:t>
            </w:r>
          </w:p>
        </w:tc>
        <w:tc>
          <w:tcPr>
            <w:tcW w:type="dxa" w:w="2835"/>
            <w:shd w:val="clear" w:color="auto" w:fill="F2F2F2"/>
          </w:tcPr>
          <w:p>
            <w:r>
              <w:rPr>
                <w:sz w:val="19"/>
              </w:rPr>
              <w:t>Entreprise hote, ANPE</w:t>
            </w:r>
          </w:p>
        </w:tc>
      </w:tr>
      <w:tr>
        <w:tc>
          <w:tcPr>
            <w:tcW w:type="dxa" w:w="2268"/>
            <w:shd w:val="clear" w:color="auto" w:fill="FFFFFF"/>
          </w:tcPr>
          <w:p>
            <w:r>
              <w:rPr>
                <w:b/>
                <w:sz w:val="19"/>
              </w:rPr>
              <w:t>6. Preparation</w:t>
            </w:r>
          </w:p>
        </w:tc>
        <w:tc>
          <w:tcPr>
            <w:tcW w:type="dxa" w:w="4535"/>
            <w:shd w:val="clear" w:color="auto" w:fill="FFFFFF"/>
          </w:tcPr>
          <w:p>
            <w:r>
              <w:rPr>
                <w:sz w:val="19"/>
              </w:rPr>
              <w:t>Formation pre-immersion (3-5 jours) ; formation des tuteurs/mentors</w:t>
            </w:r>
          </w:p>
        </w:tc>
        <w:tc>
          <w:tcPr>
            <w:tcW w:type="dxa" w:w="2835"/>
            <w:shd w:val="clear" w:color="auto" w:fill="FFFFFF"/>
          </w:tcPr>
          <w:p>
            <w:r>
              <w:rPr>
                <w:sz w:val="19"/>
              </w:rPr>
              <w:t>ANPE, Coordination PSIE</w:t>
            </w:r>
          </w:p>
        </w:tc>
      </w:tr>
      <w:tr>
        <w:tc>
          <w:tcPr>
            <w:tcW w:type="dxa" w:w="2268"/>
            <w:shd w:val="clear" w:color="auto" w:fill="F2F2F2"/>
          </w:tcPr>
          <w:p>
            <w:r>
              <w:rPr>
                <w:b/>
                <w:sz w:val="19"/>
              </w:rPr>
              <w:t>7. Immersion et suivi</w:t>
            </w:r>
          </w:p>
        </w:tc>
        <w:tc>
          <w:tcPr>
            <w:tcW w:type="dxa" w:w="4535"/>
            <w:shd w:val="clear" w:color="auto" w:fill="F2F2F2"/>
          </w:tcPr>
          <w:p>
            <w:r>
              <w:rPr>
                <w:sz w:val="19"/>
              </w:rPr>
              <w:t>Signature des contrats ; prise de poste ; suivi mensuel de presence</w:t>
            </w:r>
          </w:p>
        </w:tc>
        <w:tc>
          <w:tcPr>
            <w:tcW w:type="dxa" w:w="2835"/>
            <w:shd w:val="clear" w:color="auto" w:fill="F2F2F2"/>
          </w:tcPr>
          <w:p>
            <w:r>
              <w:rPr>
                <w:sz w:val="19"/>
              </w:rPr>
              <w:t>Tresor public (salaires), ANPE (suivi)</w:t>
            </w:r>
          </w:p>
        </w:tc>
      </w:tr>
      <w:tr>
        <w:tc>
          <w:tcPr>
            <w:tcW w:type="dxa" w:w="2268"/>
            <w:shd w:val="clear" w:color="auto" w:fill="FFFFFF"/>
          </w:tcPr>
          <w:p>
            <w:r>
              <w:rPr>
                <w:b/>
                <w:sz w:val="19"/>
              </w:rPr>
              <w:t>8. Dispositif post-programme</w:t>
            </w:r>
          </w:p>
        </w:tc>
        <w:tc>
          <w:tcPr>
            <w:tcW w:type="dxa" w:w="4535"/>
            <w:shd w:val="clear" w:color="auto" w:fill="FFFFFF"/>
          </w:tcPr>
          <w:p>
            <w:r>
              <w:rPr>
                <w:sz w:val="19"/>
              </w:rPr>
              <w:t>Orientation vers l'emploi ou l'auto-emploi ; suivi alumni 6/12/24 mois</w:t>
            </w:r>
          </w:p>
        </w:tc>
        <w:tc>
          <w:tcPr>
            <w:tcW w:type="dxa" w:w="2835"/>
            <w:shd w:val="clear" w:color="auto" w:fill="FFFFFF"/>
          </w:tcPr>
          <w:p>
            <w:r>
              <w:rPr>
                <w:sz w:val="19"/>
              </w:rPr>
              <w:t>Coordination PSIE, ANPE</w:t>
            </w:r>
          </w:p>
        </w:tc>
      </w:tr>
    </w:tbl>
    <w:p/>
    <w:p>
      <w:pPr>
        <w:pStyle w:val="Heading4"/>
      </w:pPr>
      <w:r>
        <w:rPr>
          <w:rFonts w:ascii="Calibri" w:hAnsi="Calibri"/>
        </w:rPr>
        <w:t>D. Structure budgetaire</w:t>
      </w:r>
    </w:p>
    <w:p>
      <w:r>
        <w:rPr>
          <w:b w:val="0"/>
          <w:i w:val="0"/>
          <w:sz w:val="21"/>
        </w:rPr>
        <w:t>Le PSIE est entierement finance par le budget national. Budget previsionnel sur 5 ans : 46,60 milliards FCFA.</w:t>
      </w:r>
    </w:p>
    <w:tbl>
      <w:tblPr>
        <w:tblStyle w:val="TableGrid"/>
        <w:tblW w:type="auto" w:w="0"/>
        <w:tblLook w:firstColumn="1" w:firstRow="1" w:lastColumn="0" w:lastRow="0" w:noHBand="0" w:noVBand="1" w:val="04A0"/>
      </w:tblPr>
      <w:tblGrid>
        <w:gridCol w:w="3079"/>
        <w:gridCol w:w="3079"/>
        <w:gridCol w:w="3079"/>
      </w:tblGrid>
      <w:tr>
        <w:tc>
          <w:tcPr>
            <w:tcW w:type="dxa" w:w="4535"/>
            <w:shd w:val="clear" w:color="auto" w:fill="1F3864"/>
          </w:tcPr>
          <w:p>
            <w:r>
              <w:rPr>
                <w:b/>
                <w:color w:val="FFFFFF"/>
                <w:sz w:val="19"/>
              </w:rPr>
              <w:t>Composante</w:t>
            </w:r>
          </w:p>
        </w:tc>
        <w:tc>
          <w:tcPr>
            <w:tcW w:type="dxa" w:w="2835"/>
            <w:shd w:val="clear" w:color="auto" w:fill="1F3864"/>
          </w:tcPr>
          <w:p>
            <w:r>
              <w:rPr>
                <w:b/>
                <w:color w:val="FFFFFF"/>
                <w:sz w:val="19"/>
              </w:rPr>
              <w:t>Montant previsionnel</w:t>
            </w:r>
          </w:p>
        </w:tc>
        <w:tc>
          <w:tcPr>
            <w:tcW w:type="dxa" w:w="2268"/>
            <w:shd w:val="clear" w:color="auto" w:fill="1F3864"/>
          </w:tcPr>
          <w:p>
            <w:r>
              <w:rPr>
                <w:b/>
                <w:color w:val="FFFFFF"/>
                <w:sz w:val="19"/>
              </w:rPr>
              <w:t>Part</w:t>
            </w:r>
          </w:p>
        </w:tc>
      </w:tr>
      <w:tr>
        <w:tc>
          <w:tcPr>
            <w:tcW w:type="dxa" w:w="4535"/>
            <w:shd w:val="clear" w:color="auto" w:fill="F2F2F2"/>
          </w:tcPr>
          <w:p>
            <w:r>
              <w:rPr>
                <w:b/>
                <w:sz w:val="19"/>
              </w:rPr>
              <w:t>Salaires et charges sociales des allocataires</w:t>
            </w:r>
          </w:p>
        </w:tc>
        <w:tc>
          <w:tcPr>
            <w:tcW w:type="dxa" w:w="2835"/>
            <w:shd w:val="clear" w:color="auto" w:fill="F2F2F2"/>
          </w:tcPr>
          <w:p>
            <w:r>
              <w:rPr>
                <w:sz w:val="19"/>
              </w:rPr>
              <w:t>43,57 milliards FCFA</w:t>
            </w:r>
          </w:p>
        </w:tc>
        <w:tc>
          <w:tcPr>
            <w:tcW w:type="dxa" w:w="2268"/>
            <w:shd w:val="clear" w:color="auto" w:fill="F2F2F2"/>
          </w:tcPr>
          <w:p>
            <w:r>
              <w:rPr>
                <w:sz w:val="19"/>
              </w:rPr>
              <w:t>93,5 %</w:t>
            </w:r>
          </w:p>
        </w:tc>
      </w:tr>
      <w:tr>
        <w:tc>
          <w:tcPr>
            <w:tcW w:type="dxa" w:w="4535"/>
            <w:shd w:val="clear" w:color="auto" w:fill="FFFFFF"/>
          </w:tcPr>
          <w:p>
            <w:r>
              <w:rPr>
                <w:b/>
                <w:sz w:val="19"/>
              </w:rPr>
              <w:t>Formation et encadrement</w:t>
            </w:r>
          </w:p>
        </w:tc>
        <w:tc>
          <w:tcPr>
            <w:tcW w:type="dxa" w:w="2835"/>
            <w:shd w:val="clear" w:color="auto" w:fill="FFFFFF"/>
          </w:tcPr>
          <w:p>
            <w:r>
              <w:rPr>
                <w:sz w:val="19"/>
              </w:rPr>
              <w:t>~1,4 milliard FCFA</w:t>
            </w:r>
          </w:p>
        </w:tc>
        <w:tc>
          <w:tcPr>
            <w:tcW w:type="dxa" w:w="2268"/>
            <w:shd w:val="clear" w:color="auto" w:fill="FFFFFF"/>
          </w:tcPr>
          <w:p>
            <w:r>
              <w:rPr>
                <w:sz w:val="19"/>
              </w:rPr>
              <w:t>3,0 %</w:t>
            </w:r>
          </w:p>
        </w:tc>
      </w:tr>
      <w:tr>
        <w:tc>
          <w:tcPr>
            <w:tcW w:type="dxa" w:w="4535"/>
            <w:shd w:val="clear" w:color="auto" w:fill="F2F2F2"/>
          </w:tcPr>
          <w:p>
            <w:r>
              <w:rPr>
                <w:b/>
                <w:sz w:val="19"/>
              </w:rPr>
              <w:t>Fonctionnement et gestion administrative</w:t>
            </w:r>
          </w:p>
        </w:tc>
        <w:tc>
          <w:tcPr>
            <w:tcW w:type="dxa" w:w="2835"/>
            <w:shd w:val="clear" w:color="auto" w:fill="F2F2F2"/>
          </w:tcPr>
          <w:p>
            <w:r>
              <w:rPr>
                <w:sz w:val="19"/>
              </w:rPr>
              <w:t>~1,6 milliard FCFA</w:t>
            </w:r>
          </w:p>
        </w:tc>
        <w:tc>
          <w:tcPr>
            <w:tcW w:type="dxa" w:w="2268"/>
            <w:shd w:val="clear" w:color="auto" w:fill="F2F2F2"/>
          </w:tcPr>
          <w:p>
            <w:r>
              <w:rPr>
                <w:sz w:val="19"/>
              </w:rPr>
              <w:t>3,5 %</w:t>
            </w:r>
          </w:p>
        </w:tc>
      </w:tr>
      <w:tr>
        <w:tc>
          <w:tcPr>
            <w:tcW w:type="dxa" w:w="4535"/>
            <w:shd w:val="clear" w:color="auto" w:fill="FFFFFF"/>
          </w:tcPr>
          <w:p>
            <w:r>
              <w:rPr>
                <w:b/>
                <w:sz w:val="19"/>
              </w:rPr>
              <w:t>TOTAL</w:t>
            </w:r>
          </w:p>
        </w:tc>
        <w:tc>
          <w:tcPr>
            <w:tcW w:type="dxa" w:w="2835"/>
            <w:shd w:val="clear" w:color="auto" w:fill="FFFFFF"/>
          </w:tcPr>
          <w:p>
            <w:r>
              <w:rPr>
                <w:sz w:val="19"/>
              </w:rPr>
              <w:t>46,60 milliards FCFA</w:t>
            </w:r>
          </w:p>
        </w:tc>
        <w:tc>
          <w:tcPr>
            <w:tcW w:type="dxa" w:w="2268"/>
            <w:shd w:val="clear" w:color="auto" w:fill="FFFFFF"/>
          </w:tcPr>
          <w:p>
            <w:r>
              <w:rPr>
                <w:sz w:val="19"/>
              </w:rPr>
              <w:t>100 %</w:t>
            </w:r>
          </w:p>
        </w:tc>
      </w:tr>
    </w:tbl>
    <w:p/>
    <w:p>
      <w:r>
        <w:rPr>
          <w:b/>
          <w:i w:val="0"/>
          <w:sz w:val="21"/>
        </w:rPr>
        <w:t>Grille salariale garantie aux allocataires (salaire net) :</w:t>
      </w:r>
    </w:p>
    <w:tbl>
      <w:tblPr>
        <w:tblStyle w:val="TableGrid"/>
        <w:tblW w:type="auto" w:w="0"/>
        <w:tblLook w:firstColumn="1" w:firstRow="1" w:lastColumn="0" w:lastRow="0" w:noHBand="0" w:noVBand="1" w:val="04A0"/>
      </w:tblPr>
      <w:tblGrid>
        <w:gridCol w:w="3079"/>
        <w:gridCol w:w="3079"/>
        <w:gridCol w:w="3079"/>
      </w:tblGrid>
      <w:tr>
        <w:tc>
          <w:tcPr>
            <w:tcW w:type="dxa" w:w="3402"/>
            <w:shd w:val="clear" w:color="auto" w:fill="1F3864"/>
          </w:tcPr>
          <w:p>
            <w:r>
              <w:rPr>
                <w:b/>
                <w:color w:val="FFFFFF"/>
                <w:sz w:val="19"/>
              </w:rPr>
              <w:t>Niveau de qualification</w:t>
            </w:r>
          </w:p>
        </w:tc>
        <w:tc>
          <w:tcPr>
            <w:tcW w:type="dxa" w:w="2835"/>
            <w:shd w:val="clear" w:color="auto" w:fill="1F3864"/>
          </w:tcPr>
          <w:p>
            <w:r>
              <w:rPr>
                <w:b/>
                <w:color w:val="FFFFFF"/>
                <w:sz w:val="19"/>
              </w:rPr>
              <w:t>Diplome</w:t>
            </w:r>
          </w:p>
        </w:tc>
        <w:tc>
          <w:tcPr>
            <w:tcW w:type="dxa" w:w="2835"/>
            <w:shd w:val="clear" w:color="auto" w:fill="1F3864"/>
          </w:tcPr>
          <w:p>
            <w:r>
              <w:rPr>
                <w:b/>
                <w:color w:val="FFFFFF"/>
                <w:sz w:val="19"/>
              </w:rPr>
              <w:t>Salaire net (FCFA)</w:t>
            </w:r>
          </w:p>
        </w:tc>
      </w:tr>
      <w:tr>
        <w:tc>
          <w:tcPr>
            <w:tcW w:type="dxa" w:w="3402"/>
            <w:shd w:val="clear" w:color="auto" w:fill="F2F2F2"/>
          </w:tcPr>
          <w:p>
            <w:r>
              <w:rPr>
                <w:b/>
                <w:sz w:val="19"/>
              </w:rPr>
              <w:t>Technicien specialise/professionnel</w:t>
            </w:r>
          </w:p>
        </w:tc>
        <w:tc>
          <w:tcPr>
            <w:tcW w:type="dxa" w:w="2835"/>
            <w:shd w:val="clear" w:color="auto" w:fill="F2F2F2"/>
          </w:tcPr>
          <w:p>
            <w:r>
              <w:rPr>
                <w:sz w:val="19"/>
              </w:rPr>
              <w:t>BAC professionnel</w:t>
            </w:r>
          </w:p>
        </w:tc>
        <w:tc>
          <w:tcPr>
            <w:tcW w:type="dxa" w:w="2835"/>
            <w:shd w:val="clear" w:color="auto" w:fill="F2F2F2"/>
          </w:tcPr>
          <w:p>
            <w:r>
              <w:rPr>
                <w:sz w:val="19"/>
              </w:rPr>
              <w:t>100 000</w:t>
            </w:r>
          </w:p>
        </w:tc>
      </w:tr>
      <w:tr>
        <w:tc>
          <w:tcPr>
            <w:tcW w:type="dxa" w:w="3402"/>
            <w:shd w:val="clear" w:color="auto" w:fill="FFFFFF"/>
          </w:tcPr>
          <w:p>
            <w:r>
              <w:rPr>
                <w:b/>
                <w:sz w:val="19"/>
              </w:rPr>
              <w:t>Technicien superieur</w:t>
            </w:r>
          </w:p>
        </w:tc>
        <w:tc>
          <w:tcPr>
            <w:tcW w:type="dxa" w:w="2835"/>
            <w:shd w:val="clear" w:color="auto" w:fill="FFFFFF"/>
          </w:tcPr>
          <w:p>
            <w:r>
              <w:rPr>
                <w:sz w:val="19"/>
              </w:rPr>
              <w:t>BTS/DUT (BAC+2)</w:t>
            </w:r>
          </w:p>
        </w:tc>
        <w:tc>
          <w:tcPr>
            <w:tcW w:type="dxa" w:w="2835"/>
            <w:shd w:val="clear" w:color="auto" w:fill="FFFFFF"/>
          </w:tcPr>
          <w:p>
            <w:r>
              <w:rPr>
                <w:sz w:val="19"/>
              </w:rPr>
              <w:t>150 000</w:t>
            </w:r>
          </w:p>
        </w:tc>
      </w:tr>
      <w:tr>
        <w:tc>
          <w:tcPr>
            <w:tcW w:type="dxa" w:w="3402"/>
            <w:shd w:val="clear" w:color="auto" w:fill="F2F2F2"/>
          </w:tcPr>
          <w:p>
            <w:r>
              <w:rPr>
                <w:b/>
                <w:sz w:val="19"/>
              </w:rPr>
              <w:t>Technicien superieur specialise</w:t>
            </w:r>
          </w:p>
        </w:tc>
        <w:tc>
          <w:tcPr>
            <w:tcW w:type="dxa" w:w="2835"/>
            <w:shd w:val="clear" w:color="auto" w:fill="F2F2F2"/>
          </w:tcPr>
          <w:p>
            <w:r>
              <w:rPr>
                <w:sz w:val="19"/>
              </w:rPr>
              <w:t>DTS/Licence (BAC+3)</w:t>
            </w:r>
          </w:p>
        </w:tc>
        <w:tc>
          <w:tcPr>
            <w:tcW w:type="dxa" w:w="2835"/>
            <w:shd w:val="clear" w:color="auto" w:fill="F2F2F2"/>
          </w:tcPr>
          <w:p>
            <w:r>
              <w:rPr>
                <w:sz w:val="19"/>
              </w:rPr>
              <w:t>175 000</w:t>
            </w:r>
          </w:p>
        </w:tc>
      </w:tr>
      <w:tr>
        <w:tc>
          <w:tcPr>
            <w:tcW w:type="dxa" w:w="3402"/>
            <w:shd w:val="clear" w:color="auto" w:fill="FFFFFF"/>
          </w:tcPr>
          <w:p>
            <w:r>
              <w:rPr>
                <w:b/>
                <w:sz w:val="19"/>
              </w:rPr>
              <w:t>Administrateur/Ingenieur</w:t>
            </w:r>
          </w:p>
        </w:tc>
        <w:tc>
          <w:tcPr>
            <w:tcW w:type="dxa" w:w="2835"/>
            <w:shd w:val="clear" w:color="auto" w:fill="FFFFFF"/>
          </w:tcPr>
          <w:p>
            <w:r>
              <w:rPr>
                <w:sz w:val="19"/>
              </w:rPr>
              <w:t>Master/Ingenieur (BAC+5)</w:t>
            </w:r>
          </w:p>
        </w:tc>
        <w:tc>
          <w:tcPr>
            <w:tcW w:type="dxa" w:w="2835"/>
            <w:shd w:val="clear" w:color="auto" w:fill="FFFFFF"/>
          </w:tcPr>
          <w:p>
            <w:r>
              <w:rPr>
                <w:sz w:val="19"/>
              </w:rPr>
              <w:t>250 000</w:t>
            </w:r>
          </w:p>
        </w:tc>
      </w:tr>
    </w:tbl>
    <w:p/>
    <w:p>
      <w:r>
        <w:br w:type="page"/>
      </w:r>
    </w:p>
    <w:p>
      <w:pPr>
        <w:pStyle w:val="Heading3"/>
      </w:pPr>
      <w:r>
        <w:rPr>
          <w:rFonts w:ascii="Calibri" w:hAnsi="Calibri"/>
          <w:color w:val="1F558D"/>
        </w:rPr>
        <w:t>1.4.3 Portee, enjeux et effets attendus du PSIE</w:t>
      </w:r>
    </w:p>
    <w:p>
      <w:pPr>
        <w:pStyle w:val="Heading4"/>
      </w:pPr>
      <w:r>
        <w:rPr>
          <w:rFonts w:ascii="Calibri" w:hAnsi="Calibri"/>
        </w:rPr>
        <w:t>A. Portee quantitative et geographique</w:t>
      </w:r>
    </w:p>
    <w:tbl>
      <w:tblPr>
        <w:tblStyle w:val="TableGrid"/>
        <w:tblW w:type="auto" w:w="0"/>
        <w:tblLook w:firstColumn="1" w:firstRow="1" w:lastColumn="0" w:lastRow="0" w:noHBand="0" w:noVBand="1" w:val="04A0"/>
      </w:tblPr>
      <w:tblGrid>
        <w:gridCol w:w="4618"/>
        <w:gridCol w:w="4618"/>
      </w:tblGrid>
      <w:tr>
        <w:tc>
          <w:tcPr>
            <w:tcW w:type="dxa" w:w="2835"/>
            <w:shd w:val="clear" w:color="auto" w:fill="1F3864"/>
          </w:tcPr>
          <w:p>
            <w:r>
              <w:rPr>
                <w:b/>
                <w:color w:val="FFFFFF"/>
                <w:sz w:val="19"/>
              </w:rPr>
              <w:t>Dimension</w:t>
            </w:r>
          </w:p>
        </w:tc>
        <w:tc>
          <w:tcPr>
            <w:tcW w:type="dxa" w:w="6803"/>
            <w:shd w:val="clear" w:color="auto" w:fill="1F3864"/>
          </w:tcPr>
          <w:p>
            <w:r>
              <w:rPr>
                <w:b/>
                <w:color w:val="FFFFFF"/>
                <w:sz w:val="19"/>
              </w:rPr>
              <w:t>Contenu</w:t>
            </w:r>
          </w:p>
        </w:tc>
      </w:tr>
      <w:tr>
        <w:tc>
          <w:tcPr>
            <w:tcW w:type="dxa" w:w="2835"/>
            <w:shd w:val="clear" w:color="auto" w:fill="F2F2F2"/>
          </w:tcPr>
          <w:p>
            <w:r>
              <w:rPr>
                <w:b/>
                <w:sz w:val="19"/>
              </w:rPr>
              <w:t>Portee temporelle</w:t>
            </w:r>
          </w:p>
        </w:tc>
        <w:tc>
          <w:tcPr>
            <w:tcW w:type="dxa" w:w="6803"/>
            <w:shd w:val="clear" w:color="auto" w:fill="F2F2F2"/>
          </w:tcPr>
          <w:p>
            <w:r>
              <w:rPr>
                <w:sz w:val="19"/>
              </w:rPr>
              <w:t>5 ans de mise en oeuvre initiale (2020-2024), prolonge au-dela de 2025</w:t>
            </w:r>
          </w:p>
        </w:tc>
      </w:tr>
      <w:tr>
        <w:tc>
          <w:tcPr>
            <w:tcW w:type="dxa" w:w="2835"/>
            <w:shd w:val="clear" w:color="auto" w:fill="FFFFFF"/>
          </w:tcPr>
          <w:p>
            <w:r>
              <w:rPr>
                <w:b/>
                <w:sz w:val="19"/>
              </w:rPr>
              <w:t>Portee cible (jeunes)</w:t>
            </w:r>
          </w:p>
        </w:tc>
        <w:tc>
          <w:tcPr>
            <w:tcW w:type="dxa" w:w="6803"/>
            <w:shd w:val="clear" w:color="auto" w:fill="FFFFFF"/>
          </w:tcPr>
          <w:p>
            <w:r>
              <w:rPr>
                <w:sz w:val="19"/>
              </w:rPr>
              <w:t>2 000 nouveaux beneficiaires/an ; cible initiale de 8 000 cumulee sur 5 ans</w:t>
            </w:r>
          </w:p>
        </w:tc>
      </w:tr>
      <w:tr>
        <w:tc>
          <w:tcPr>
            <w:tcW w:type="dxa" w:w="2835"/>
            <w:shd w:val="clear" w:color="auto" w:fill="F2F2F2"/>
          </w:tcPr>
          <w:p>
            <w:r>
              <w:rPr>
                <w:b/>
                <w:sz w:val="19"/>
              </w:rPr>
              <w:t>Portee entreprises</w:t>
            </w:r>
          </w:p>
        </w:tc>
        <w:tc>
          <w:tcPr>
            <w:tcW w:type="dxa" w:w="6803"/>
            <w:shd w:val="clear" w:color="auto" w:fill="F2F2F2"/>
          </w:tcPr>
          <w:p>
            <w:r>
              <w:rPr>
                <w:sz w:val="19"/>
              </w:rPr>
              <w:t>Toutes entreprises formelles publiques et privees, toutes tailles</w:t>
            </w:r>
          </w:p>
        </w:tc>
      </w:tr>
      <w:tr>
        <w:tc>
          <w:tcPr>
            <w:tcW w:type="dxa" w:w="2835"/>
            <w:shd w:val="clear" w:color="auto" w:fill="FFFFFF"/>
          </w:tcPr>
          <w:p>
            <w:r>
              <w:rPr>
                <w:b/>
                <w:sz w:val="19"/>
              </w:rPr>
              <w:t>Portee sectorielle</w:t>
            </w:r>
          </w:p>
        </w:tc>
        <w:tc>
          <w:tcPr>
            <w:tcW w:type="dxa" w:w="6803"/>
            <w:shd w:val="clear" w:color="auto" w:fill="FFFFFF"/>
          </w:tcPr>
          <w:p>
            <w:r>
              <w:rPr>
                <w:sz w:val="19"/>
              </w:rPr>
              <w:t>Tous secteurs formels (sauf emplois directs en sante, education, agriculture vivriere, artisanat)</w:t>
            </w:r>
          </w:p>
        </w:tc>
      </w:tr>
      <w:tr>
        <w:tc>
          <w:tcPr>
            <w:tcW w:type="dxa" w:w="2835"/>
            <w:shd w:val="clear" w:color="auto" w:fill="F2F2F2"/>
          </w:tcPr>
          <w:p>
            <w:r>
              <w:rPr>
                <w:b/>
                <w:sz w:val="19"/>
              </w:rPr>
              <w:t>Portee geographique</w:t>
            </w:r>
          </w:p>
        </w:tc>
        <w:tc>
          <w:tcPr>
            <w:tcW w:type="dxa" w:w="6803"/>
            <w:shd w:val="clear" w:color="auto" w:fill="F2F2F2"/>
          </w:tcPr>
          <w:p>
            <w:r>
              <w:rPr>
                <w:sz w:val="19"/>
              </w:rPr>
              <w:t>12 departements du Benin - couverture nationale via antennes ANPE</w:t>
            </w:r>
          </w:p>
        </w:tc>
      </w:tr>
    </w:tbl>
    <w:p/>
    <w:p>
      <w:pPr>
        <w:pStyle w:val="Heading4"/>
      </w:pPr>
      <w:r>
        <w:rPr>
          <w:rFonts w:ascii="Calibri" w:hAnsi="Calibri"/>
        </w:rPr>
        <w:t>B. Enjeux de politique publique</w:t>
      </w:r>
    </w:p>
    <w:p>
      <w:r>
        <w:rPr>
          <w:b/>
          <w:i w:val="0"/>
          <w:sz w:val="21"/>
        </w:rPr>
        <w:t>Le PSIE s'inscrit au croisement de cinq enjeux majeurs :</w:t>
      </w:r>
    </w:p>
    <w:p/>
    <w:p>
      <w:pPr>
        <w:pStyle w:val="ListBullet"/>
        <w:ind w:left="567"/>
      </w:pPr>
      <w:r>
        <w:rPr>
          <w:b/>
        </w:rPr>
        <w:t xml:space="preserve">1. L'enjeu du dividende demographique : </w:t>
      </w:r>
      <w:r>
        <w:t>Avec 4,08 millions de personnes de moins de 40 ans (34 % de la population), le Benin dispose d'un potentiel demographique considerable. Sans emploi productif, ce dividende risque de se transformer en fardeau social. Le PSIE constitue un mecanisme par lequel l'Etat tente de convertir ce potentiel en moteur de croissance economique.</w:t>
      </w:r>
    </w:p>
    <w:p>
      <w:pPr>
        <w:pStyle w:val="ListBullet"/>
        <w:ind w:left="567"/>
      </w:pPr>
      <w:r>
        <w:rPr>
          <w:b/>
        </w:rPr>
        <w:t xml:space="preserve">2. L'enjeu de la formalisation de l'emploi : </w:t>
      </w:r>
      <w:r>
        <w:t>En imposant des contrats CDD formels, l'affiliation obligatoire a la CNSS et l'IRPP, le PSIE s'inscrit dans une logique de formalisation progressive du marche du travail beninois. Chaque allocataire insere represente une unite de travail formelle supplementaire dans l'economie.</w:t>
      </w:r>
    </w:p>
    <w:p>
      <w:pPr>
        <w:pStyle w:val="ListBullet"/>
        <w:ind w:left="567"/>
      </w:pPr>
      <w:r>
        <w:rPr>
          <w:b/>
        </w:rPr>
        <w:t xml:space="preserve">3. L'enjeu de la competitivite des entreprises : </w:t>
      </w:r>
      <w:r>
        <w:t>En permettant aux entreprises d'acceder a des competences qualifiees sans supporter le cout salarial dans un premier temps, le PSIE renforce la competitivite du tissu productif, notamment des PME/PMI. L'enjeu est d'induire une culture durable de valorisation du capital humain qualifie.</w:t>
      </w:r>
    </w:p>
    <w:p>
      <w:pPr>
        <w:pStyle w:val="ListBullet"/>
        <w:ind w:left="567"/>
      </w:pPr>
      <w:r>
        <w:rPr>
          <w:b/>
        </w:rPr>
        <w:t xml:space="preserve">4. L'enjeu de l'articulation formation-emploi : </w:t>
      </w:r>
      <w:r>
        <w:t>Le PSIE cree un mecanisme intermediaire de transition entre la formation initiale et l'emploi durable, permettant aux jeunes d'acquerir une experience professionnelle encadree qui valorise leurs diplomes sur le marche du travail.</w:t>
      </w:r>
    </w:p>
    <w:p>
      <w:pPr>
        <w:pStyle w:val="ListBullet"/>
        <w:ind w:left="567"/>
      </w:pPr>
      <w:r>
        <w:rPr>
          <w:b/>
        </w:rPr>
        <w:t xml:space="preserve">5. L'enjeu de l'equite territoriale : </w:t>
      </w:r>
      <w:r>
        <w:t>Avec 85,5 % des insertions dans le Littoral et l'Atlantique, le PSIE est confronte a un defi d'equite geographique. L'enjeu est d'assurer que les opportunites d'emploi formel se diffusent progressivement vers les regions septentrionales, qui concentrent une part importante de la pauvrete.</w:t>
      </w:r>
    </w:p>
    <w:p>
      <w:pPr>
        <w:pStyle w:val="Heading4"/>
      </w:pPr>
      <w:r>
        <w:rPr>
          <w:rFonts w:ascii="Calibri" w:hAnsi="Calibri"/>
        </w:rPr>
        <w:t>C. Effets attendus a trois niveaux</w:t>
      </w:r>
    </w:p>
    <w:p>
      <w:r>
        <w:rPr>
          <w:b/>
          <w:i w:val="0"/>
          <w:sz w:val="21"/>
        </w:rPr>
        <w:t>Effets immediats (court terme - pendant la periode d'immersion de 24 mois) :</w:t>
      </w:r>
    </w:p>
    <w:tbl>
      <w:tblPr>
        <w:tblStyle w:val="TableGrid"/>
        <w:tblW w:type="auto" w:w="0"/>
        <w:tblLook w:firstColumn="1" w:firstRow="1" w:lastColumn="0" w:lastRow="0" w:noHBand="0" w:noVBand="1" w:val="04A0"/>
      </w:tblPr>
      <w:tblGrid>
        <w:gridCol w:w="4618"/>
        <w:gridCol w:w="4618"/>
      </w:tblGrid>
      <w:tr>
        <w:tc>
          <w:tcPr>
            <w:tcW w:type="dxa" w:w="2835"/>
            <w:shd w:val="clear" w:color="auto" w:fill="1F3864"/>
          </w:tcPr>
          <w:p>
            <w:r>
              <w:rPr>
                <w:b/>
                <w:color w:val="FFFFFF"/>
                <w:sz w:val="19"/>
              </w:rPr>
              <w:t>Beneficiaire</w:t>
            </w:r>
          </w:p>
        </w:tc>
        <w:tc>
          <w:tcPr>
            <w:tcW w:type="dxa" w:w="6803"/>
            <w:shd w:val="clear" w:color="auto" w:fill="1F3864"/>
          </w:tcPr>
          <w:p>
            <w:r>
              <w:rPr>
                <w:b/>
                <w:color w:val="FFFFFF"/>
                <w:sz w:val="19"/>
              </w:rPr>
              <w:t>Effet attendu</w:t>
            </w:r>
          </w:p>
        </w:tc>
      </w:tr>
      <w:tr>
        <w:tc>
          <w:tcPr>
            <w:tcW w:type="dxa" w:w="2835"/>
            <w:shd w:val="clear" w:color="auto" w:fill="F2F2F2"/>
          </w:tcPr>
          <w:p>
            <w:r>
              <w:rPr>
                <w:b/>
                <w:sz w:val="19"/>
              </w:rPr>
              <w:t>Jeunes allocataires</w:t>
            </w:r>
          </w:p>
        </w:tc>
        <w:tc>
          <w:tcPr>
            <w:tcW w:type="dxa" w:w="6803"/>
            <w:shd w:val="clear" w:color="auto" w:fill="F2F2F2"/>
          </w:tcPr>
          <w:p>
            <w:r>
              <w:rPr>
                <w:sz w:val="19"/>
              </w:rPr>
              <w:t>Acces a un premier emploi formel remunere ; acquisition d'une experience professionnelle encadree ; developpement des competences metiers et transversales</w:t>
            </w:r>
          </w:p>
        </w:tc>
      </w:tr>
      <w:tr>
        <w:tc>
          <w:tcPr>
            <w:tcW w:type="dxa" w:w="2835"/>
            <w:shd w:val="clear" w:color="auto" w:fill="FFFFFF"/>
          </w:tcPr>
          <w:p>
            <w:r>
              <w:rPr>
                <w:b/>
                <w:sz w:val="19"/>
              </w:rPr>
              <w:t>Entreprises beneficiaires</w:t>
            </w:r>
          </w:p>
        </w:tc>
        <w:tc>
          <w:tcPr>
            <w:tcW w:type="dxa" w:w="6803"/>
            <w:shd w:val="clear" w:color="auto" w:fill="FFFFFF"/>
          </w:tcPr>
          <w:p>
            <w:r>
              <w:rPr>
                <w:sz w:val="19"/>
              </w:rPr>
              <w:t>Acces a des ressources humaines qualifiees a cout nul sur 24 mois ; amelioration de la productivite ; test des profils avant eventuelle embauche permanente</w:t>
            </w:r>
          </w:p>
        </w:tc>
      </w:tr>
      <w:tr>
        <w:tc>
          <w:tcPr>
            <w:tcW w:type="dxa" w:w="2835"/>
            <w:shd w:val="clear" w:color="auto" w:fill="F2F2F2"/>
          </w:tcPr>
          <w:p>
            <w:r>
              <w:rPr>
                <w:b/>
                <w:sz w:val="19"/>
              </w:rPr>
              <w:t>Ecosysteme de l'emploi</w:t>
            </w:r>
          </w:p>
        </w:tc>
        <w:tc>
          <w:tcPr>
            <w:tcW w:type="dxa" w:w="6803"/>
            <w:shd w:val="clear" w:color="auto" w:fill="F2F2F2"/>
          </w:tcPr>
          <w:p>
            <w:r>
              <w:rPr>
                <w:sz w:val="19"/>
              </w:rPr>
              <w:t>Dynamisation du marche de l'emploi formel ; visibilite accrue des offres via la plateforme PSIE</w:t>
            </w:r>
          </w:p>
        </w:tc>
      </w:tr>
    </w:tbl>
    <w:p/>
    <w:p>
      <w:r>
        <w:rPr>
          <w:b/>
          <w:i w:val="0"/>
          <w:sz w:val="21"/>
        </w:rPr>
        <w:t>Effets intermediaires (moyen terme - a la sortie du programme) :</w:t>
      </w:r>
    </w:p>
    <w:tbl>
      <w:tblPr>
        <w:tblStyle w:val="TableGrid"/>
        <w:tblW w:type="auto" w:w="0"/>
        <w:tblLook w:firstColumn="1" w:firstRow="1" w:lastColumn="0" w:lastRow="0" w:noHBand="0" w:noVBand="1" w:val="04A0"/>
      </w:tblPr>
      <w:tblGrid>
        <w:gridCol w:w="4618"/>
        <w:gridCol w:w="4618"/>
      </w:tblGrid>
      <w:tr>
        <w:tc>
          <w:tcPr>
            <w:tcW w:type="dxa" w:w="2835"/>
            <w:shd w:val="clear" w:color="auto" w:fill="1F3864"/>
          </w:tcPr>
          <w:p>
            <w:r>
              <w:rPr>
                <w:b/>
                <w:color w:val="FFFFFF"/>
                <w:sz w:val="19"/>
              </w:rPr>
              <w:t>Beneficiaire</w:t>
            </w:r>
          </w:p>
        </w:tc>
        <w:tc>
          <w:tcPr>
            <w:tcW w:type="dxa" w:w="6803"/>
            <w:shd w:val="clear" w:color="auto" w:fill="1F3864"/>
          </w:tcPr>
          <w:p>
            <w:r>
              <w:rPr>
                <w:b/>
                <w:color w:val="FFFFFF"/>
                <w:sz w:val="19"/>
              </w:rPr>
              <w:t>Effet attendu</w:t>
            </w:r>
          </w:p>
        </w:tc>
      </w:tr>
      <w:tr>
        <w:tc>
          <w:tcPr>
            <w:tcW w:type="dxa" w:w="2835"/>
            <w:shd w:val="clear" w:color="auto" w:fill="F2F2F2"/>
          </w:tcPr>
          <w:p>
            <w:r>
              <w:rPr>
                <w:b/>
                <w:sz w:val="19"/>
              </w:rPr>
              <w:t>Jeunes allocataires</w:t>
            </w:r>
          </w:p>
        </w:tc>
        <w:tc>
          <w:tcPr>
            <w:tcW w:type="dxa" w:w="6803"/>
            <w:shd w:val="clear" w:color="auto" w:fill="F2F2F2"/>
          </w:tcPr>
          <w:p>
            <w:r>
              <w:rPr>
                <w:sz w:val="19"/>
              </w:rPr>
              <w:t>Amelioration de l'employabilite ; insertion durable en emploi salarie ou auto-emploi ; reduction du chomage de longue duree des diplomes</w:t>
            </w:r>
          </w:p>
        </w:tc>
      </w:tr>
      <w:tr>
        <w:tc>
          <w:tcPr>
            <w:tcW w:type="dxa" w:w="2835"/>
            <w:shd w:val="clear" w:color="auto" w:fill="FFFFFF"/>
          </w:tcPr>
          <w:p>
            <w:r>
              <w:rPr>
                <w:b/>
                <w:sz w:val="19"/>
              </w:rPr>
              <w:t>Entreprises</w:t>
            </w:r>
          </w:p>
        </w:tc>
        <w:tc>
          <w:tcPr>
            <w:tcW w:type="dxa" w:w="6803"/>
            <w:shd w:val="clear" w:color="auto" w:fill="FFFFFF"/>
          </w:tcPr>
          <w:p>
            <w:r>
              <w:rPr>
                <w:sz w:val="19"/>
              </w:rPr>
              <w:t>Modification durable des comportements d'embauche (reduction de la reticence a recruter) ; renforcement des capacites RH</w:t>
            </w:r>
          </w:p>
        </w:tc>
      </w:tr>
      <w:tr>
        <w:tc>
          <w:tcPr>
            <w:tcW w:type="dxa" w:w="2835"/>
            <w:shd w:val="clear" w:color="auto" w:fill="F2F2F2"/>
          </w:tcPr>
          <w:p>
            <w:r>
              <w:rPr>
                <w:b/>
                <w:sz w:val="19"/>
              </w:rPr>
              <w:t>Marche du travail</w:t>
            </w:r>
          </w:p>
        </w:tc>
        <w:tc>
          <w:tcPr>
            <w:tcW w:type="dxa" w:w="6803"/>
            <w:shd w:val="clear" w:color="auto" w:fill="F2F2F2"/>
          </w:tcPr>
          <w:p>
            <w:r>
              <w:rPr>
                <w:sz w:val="19"/>
              </w:rPr>
              <w:t>Reduction du taux de sous-emploi des jeunes ; augmentation du volume d'emplois formels</w:t>
            </w:r>
          </w:p>
        </w:tc>
      </w:tr>
    </w:tbl>
    <w:p/>
    <w:p>
      <w:r>
        <w:rPr>
          <w:b/>
          <w:i w:val="0"/>
          <w:sz w:val="21"/>
        </w:rPr>
        <w:t>Effets a long terme (impact - 3 a 5 ans apres le programme) :</w:t>
      </w:r>
    </w:p>
    <w:tbl>
      <w:tblPr>
        <w:tblStyle w:val="TableGrid"/>
        <w:tblW w:type="auto" w:w="0"/>
        <w:tblLook w:firstColumn="1" w:firstRow="1" w:lastColumn="0" w:lastRow="0" w:noHBand="0" w:noVBand="1" w:val="04A0"/>
      </w:tblPr>
      <w:tblGrid>
        <w:gridCol w:w="4618"/>
        <w:gridCol w:w="4618"/>
      </w:tblGrid>
      <w:tr>
        <w:tc>
          <w:tcPr>
            <w:tcW w:type="dxa" w:w="2268"/>
            <w:shd w:val="clear" w:color="auto" w:fill="1F3864"/>
          </w:tcPr>
          <w:p>
            <w:r>
              <w:rPr>
                <w:b/>
                <w:color w:val="FFFFFF"/>
                <w:sz w:val="19"/>
              </w:rPr>
              <w:t>Niveau</w:t>
            </w:r>
          </w:p>
        </w:tc>
        <w:tc>
          <w:tcPr>
            <w:tcW w:type="dxa" w:w="7370"/>
            <w:shd w:val="clear" w:color="auto" w:fill="1F3864"/>
          </w:tcPr>
          <w:p>
            <w:r>
              <w:rPr>
                <w:b/>
                <w:color w:val="FFFFFF"/>
                <w:sz w:val="19"/>
              </w:rPr>
              <w:t>Impact attendu</w:t>
            </w:r>
          </w:p>
        </w:tc>
      </w:tr>
      <w:tr>
        <w:tc>
          <w:tcPr>
            <w:tcW w:type="dxa" w:w="2268"/>
            <w:shd w:val="clear" w:color="auto" w:fill="F2F2F2"/>
          </w:tcPr>
          <w:p>
            <w:r>
              <w:rPr>
                <w:b/>
                <w:sz w:val="19"/>
              </w:rPr>
              <w:t>Individuel</w:t>
            </w:r>
          </w:p>
        </w:tc>
        <w:tc>
          <w:tcPr>
            <w:tcW w:type="dxa" w:w="7370"/>
            <w:shd w:val="clear" w:color="auto" w:fill="F2F2F2"/>
          </w:tcPr>
          <w:p>
            <w:r>
              <w:rPr>
                <w:sz w:val="19"/>
              </w:rPr>
              <w:t>Amelioration durable des revenus des anciens beneficiaires ; reduction de la vulnerabilite economique des menages</w:t>
            </w:r>
          </w:p>
        </w:tc>
      </w:tr>
      <w:tr>
        <w:tc>
          <w:tcPr>
            <w:tcW w:type="dxa" w:w="2268"/>
            <w:shd w:val="clear" w:color="auto" w:fill="FFFFFF"/>
          </w:tcPr>
          <w:p>
            <w:r>
              <w:rPr>
                <w:b/>
                <w:sz w:val="19"/>
              </w:rPr>
              <w:t>Sectoriel</w:t>
            </w:r>
          </w:p>
        </w:tc>
        <w:tc>
          <w:tcPr>
            <w:tcW w:type="dxa" w:w="7370"/>
            <w:shd w:val="clear" w:color="auto" w:fill="FFFFFF"/>
          </w:tcPr>
          <w:p>
            <w:r>
              <w:rPr>
                <w:sz w:val="19"/>
              </w:rPr>
              <w:t>Augmentation de la productivite dans les secteurs d'accueil ; diffusion d'une culture du travail qualifie dans les PME/PMI</w:t>
            </w:r>
          </w:p>
        </w:tc>
      </w:tr>
      <w:tr>
        <w:tc>
          <w:tcPr>
            <w:tcW w:type="dxa" w:w="2268"/>
            <w:shd w:val="clear" w:color="auto" w:fill="F2F2F2"/>
          </w:tcPr>
          <w:p>
            <w:r>
              <w:rPr>
                <w:b/>
                <w:sz w:val="19"/>
              </w:rPr>
              <w:t>Macroeconomique</w:t>
            </w:r>
          </w:p>
        </w:tc>
        <w:tc>
          <w:tcPr>
            <w:tcW w:type="dxa" w:w="7370"/>
            <w:shd w:val="clear" w:color="auto" w:fill="F2F2F2"/>
          </w:tcPr>
          <w:p>
            <w:r>
              <w:rPr>
                <w:sz w:val="19"/>
              </w:rPr>
              <w:t>Contribution a la reduction du taux de sous-emploi des jeunes (actuellement 72 %) ; appui aux objectifs du PAG sur la croissance inclusive</w:t>
            </w:r>
          </w:p>
        </w:tc>
      </w:tr>
    </w:tbl>
    <w:p/>
    <w:p>
      <w:r>
        <w:br w:type="page"/>
      </w:r>
    </w:p>
    <w:p>
      <w:pPr>
        <w:pStyle w:val="Heading3"/>
      </w:pPr>
      <w:r>
        <w:rPr>
          <w:rFonts w:ascii="Calibri" w:hAnsi="Calibri"/>
          <w:color w:val="1F558D"/>
        </w:rPr>
        <w:t>1.4.4 Theorie de changement du PSIE</w:t>
      </w:r>
    </w:p>
    <w:p>
      <w:r>
        <w:rPr>
          <w:b w:val="0"/>
          <w:i/>
          <w:sz w:val="21"/>
        </w:rPr>
        <w:t>La theorie de changement (TdC) du PSIE est la representation explicite de la logique causale par laquelle le programme entend produire les changements attendus sur le marche du travail beninois. Elle articule le probleme central, les hypotheses causales, les mecanismes d'intervention et la chaine de resultats.</w:t>
      </w:r>
    </w:p>
    <w:p>
      <w:pPr>
        <w:pStyle w:val="Heading4"/>
      </w:pPr>
      <w:r>
        <w:rPr>
          <w:rFonts w:ascii="Calibri" w:hAnsi="Calibri"/>
        </w:rPr>
        <w:t>A. Enonce du probleme central</w:t>
      </w:r>
    </w:p>
    <w:p>
      <w:r>
        <w:rPr>
          <w:b w:val="0"/>
          <w:i w:val="0"/>
          <w:sz w:val="21"/>
        </w:rPr>
        <w:t>Le PSIE part d'un double constat de blocage structurel :</w:t>
      </w:r>
    </w:p>
    <w:p>
      <w:pPr>
        <w:ind w:left="567" w:right="567"/>
      </w:pPr>
      <w:r>
        <w:rPr>
          <w:i/>
          <w:color w:val="444444"/>
        </w:rPr>
        <w:t>Cote offre : Les jeunes diplomes (BAC a Master) sont en nombre croissant mais peinent a acceder au marche du travail formel faute d'experience professionnelle. Sans premier emploi, ils ne peuvent acquerir cette experience ; sans experience, ils ne peuvent decrocher un premier emploi - un cercle vicieux qui les condamne au sous-emploi informel ou au chomage (72 %, INSAE 2017).</w:t>
      </w:r>
    </w:p>
    <w:p>
      <w:pPr>
        <w:ind w:left="567" w:right="567"/>
      </w:pPr>
      <w:r>
        <w:rPr>
          <w:i/>
          <w:color w:val="444444"/>
        </w:rPr>
        <w:t>Cote demande : Les entreprises - en particulier les PME/PMI - ont des besoins reels mais hesitent a embaucher en raison de la charge salariale immediate qu'elles doivent assumer sans garantie de retour sur investissement.</w:t>
      </w:r>
    </w:p>
    <w:p>
      <w:r>
        <w:rPr>
          <w:b/>
          <w:i w:val="0"/>
          <w:sz w:val="21"/>
        </w:rPr>
        <w:t>Le noeud causal :</w:t>
      </w:r>
    </w:p>
    <w:p>
      <w:r>
        <w:rPr>
          <w:b w:val="0"/>
          <w:i w:val="0"/>
          <w:sz w:val="21"/>
        </w:rPr>
        <w:t>La rencontre entre l'offre et la demande de travail qualifie est bloquee par une asymetrie d'information et une contrainte financiere a l'embauche. Ni les jeunes ne peuvent demontrer leur valeur productive sans acces a un emploi, ni les entreprises ne peuvent s'assurer de la qualite d'un candidat sans l'avoir mis a l'epreuve.</w:t>
      </w:r>
    </w:p>
    <w:p>
      <w:pPr>
        <w:pStyle w:val="Heading4"/>
      </w:pPr>
      <w:r>
        <w:rPr>
          <w:rFonts w:ascii="Calibri" w:hAnsi="Calibri"/>
        </w:rPr>
        <w:t>B. Logique causale (Si... Alors...)</w:t>
      </w:r>
    </w:p>
    <w:p>
      <w:r>
        <w:rPr>
          <w:b/>
          <w:i w:val="0"/>
          <w:sz w:val="21"/>
        </w:rPr>
        <w:t>Le PSIE repose sur une chaine causale en quatre liens :</w:t>
      </w:r>
    </w:p>
    <w:p>
      <w:pPr>
        <w:pStyle w:val="ListBullet"/>
        <w:ind w:left="567"/>
      </w:pPr>
      <w:r>
        <w:rPr>
          <w:sz w:val="21"/>
        </w:rPr>
        <w:t>Lien 1 : Si l'Etat prend en charge 100 % du cout salarial pendant 24 mois, ALORS la contrainte financiere a l'embauche est levee pour les entreprises.</w:t>
      </w:r>
    </w:p>
    <w:p>
      <w:pPr>
        <w:pStyle w:val="ListBullet"/>
        <w:ind w:left="567"/>
      </w:pPr>
      <w:r>
        <w:rPr>
          <w:sz w:val="21"/>
        </w:rPr>
        <w:t>Lien 2 : Si la contrainte financiere est levee ET qu'un mecanisme de selection rigoureux permet d'apparier les profils avec les besoins des entreprises, ALORS les entreprises augmenteront leur volume d'embauche de jeunes qualifies.</w:t>
      </w:r>
    </w:p>
    <w:p>
      <w:pPr>
        <w:pStyle w:val="ListBullet"/>
        <w:ind w:left="567"/>
      </w:pPr>
      <w:r>
        <w:rPr>
          <w:sz w:val="21"/>
        </w:rPr>
        <w:t>Lien 3 : Si les jeunes sont mis en immersion dans des entreprises encadrees par des tuteurs/mentors ET beneficient d'un accompagnement a l'employabilite, ALORS ils acquierent une experience professionnelle qui ameliore durablement leur employabilite.</w:t>
      </w:r>
    </w:p>
    <w:p>
      <w:pPr>
        <w:pStyle w:val="ListBullet"/>
        <w:ind w:left="567"/>
      </w:pPr>
      <w:r>
        <w:rPr>
          <w:sz w:val="21"/>
        </w:rPr>
        <w:t>Lien 4 : Si les jeunes demontrent leur valeur productive ET que les entreprises revisent positivement leur perception du risque, ALORS une insertion durable devient plus probable.</w:t>
      </w:r>
    </w:p>
    <w:p>
      <w:pPr>
        <w:pStyle w:val="Heading4"/>
      </w:pPr>
      <w:r>
        <w:rPr>
          <w:rFonts w:ascii="Calibri" w:hAnsi="Calibri"/>
        </w:rPr>
        <w:t>C. Representation schematique de la theorie de changement</w:t>
      </w:r>
    </w:p>
    <w:p>
      <w:pPr>
        <w:ind w:left="283"/>
      </w:pPr>
      <w:r>
        <w:rPr>
          <w:rFonts w:ascii="Courier New" w:hAnsi="Courier New"/>
          <w:color w:val="222222"/>
          <w:sz w:val="17"/>
        </w:rPr>
        <w:t>PROBLEME CENTRAL</w:t>
      </w:r>
    </w:p>
    <w:p>
      <w:pPr>
        <w:ind w:left="283"/>
      </w:pPr>
      <w:r>
        <w:rPr>
          <w:rFonts w:ascii="Courier New" w:hAnsi="Courier New"/>
          <w:color w:val="222222"/>
          <w:sz w:val="17"/>
        </w:rPr>
        <w:t xml:space="preserve">  Taux de sous-emploi des jeunes : 72 % (INSAE, 2017)</w:t>
      </w:r>
    </w:p>
    <w:p>
      <w:pPr>
        <w:ind w:left="283"/>
      </w:pPr>
      <w:r>
        <w:rPr>
          <w:rFonts w:ascii="Courier New" w:hAnsi="Courier New"/>
          <w:color w:val="222222"/>
          <w:sz w:val="17"/>
        </w:rPr>
        <w:t xml:space="preserve">  CAUSE 1 : Jeunes diplomes sans experience -&gt; non recrutables</w:t>
      </w:r>
    </w:p>
    <w:p>
      <w:pPr>
        <w:ind w:left="283"/>
      </w:pPr>
      <w:r>
        <w:rPr>
          <w:rFonts w:ascii="Courier New" w:hAnsi="Courier New"/>
          <w:color w:val="222222"/>
          <w:sz w:val="17"/>
        </w:rPr>
        <w:t xml:space="preserve">  CAUSE 2 : Entreprises reticentes a embaucher (charges salariales)</w:t>
      </w:r>
    </w:p>
    <w:p>
      <w:pPr>
        <w:ind w:left="283"/>
      </w:pPr>
      <w:r>
        <w:rPr>
          <w:rFonts w:ascii="Courier New" w:hAnsi="Courier New"/>
          <w:color w:val="222222"/>
          <w:sz w:val="17"/>
        </w:rPr>
        <w:t xml:space="preserve">           |</w:t>
      </w:r>
    </w:p>
    <w:p>
      <w:pPr>
        <w:ind w:left="283"/>
      </w:pPr>
      <w:r>
        <w:rPr>
          <w:rFonts w:ascii="Courier New" w:hAnsi="Courier New"/>
          <w:color w:val="222222"/>
          <w:sz w:val="17"/>
        </w:rPr>
        <w:t xml:space="preserve">           v</w:t>
      </w:r>
    </w:p>
    <w:p>
      <w:pPr>
        <w:ind w:left="283"/>
      </w:pPr>
      <w:r>
        <w:rPr>
          <w:rFonts w:ascii="Courier New" w:hAnsi="Courier New"/>
          <w:color w:val="222222"/>
          <w:sz w:val="17"/>
        </w:rPr>
        <w:t>INTRANTS</w:t>
      </w:r>
    </w:p>
    <w:p>
      <w:pPr>
        <w:ind w:left="283"/>
      </w:pPr>
      <w:r>
        <w:rPr>
          <w:rFonts w:ascii="Courier New" w:hAnsi="Courier New"/>
          <w:color w:val="222222"/>
          <w:sz w:val="17"/>
        </w:rPr>
        <w:t xml:space="preserve">  * Budget de l'Etat : 46,60 milliards FCFA sur 5 ans</w:t>
      </w:r>
    </w:p>
    <w:p>
      <w:pPr>
        <w:ind w:left="283"/>
      </w:pPr>
      <w:r>
        <w:rPr>
          <w:rFonts w:ascii="Courier New" w:hAnsi="Courier New"/>
          <w:color w:val="222222"/>
          <w:sz w:val="17"/>
        </w:rPr>
        <w:t xml:space="preserve">  * Infrastructure ANPE : plateforme numerique, reseau territorial (12 departements)</w:t>
      </w:r>
    </w:p>
    <w:p>
      <w:pPr>
        <w:ind w:left="283"/>
      </w:pPr>
      <w:r>
        <w:rPr>
          <w:rFonts w:ascii="Courier New" w:hAnsi="Courier New"/>
          <w:color w:val="222222"/>
          <w:sz w:val="17"/>
        </w:rPr>
        <w:t xml:space="preserve">  * Unite de Coordination PSIE (Presidence de la Republique)</w:t>
      </w:r>
    </w:p>
    <w:p>
      <w:pPr>
        <w:ind w:left="283"/>
      </w:pPr>
      <w:r>
        <w:rPr>
          <w:rFonts w:ascii="Courier New" w:hAnsi="Courier New"/>
          <w:color w:val="222222"/>
          <w:sz w:val="17"/>
        </w:rPr>
        <w:t xml:space="preserve">  * Panels d'experts recruteurs (6 327 experts mobilises au cumul)</w:t>
      </w:r>
    </w:p>
    <w:p>
      <w:pPr>
        <w:ind w:left="283"/>
      </w:pPr>
      <w:r>
        <w:rPr>
          <w:rFonts w:ascii="Courier New" w:hAnsi="Courier New"/>
          <w:color w:val="222222"/>
          <w:sz w:val="17"/>
        </w:rPr>
        <w:t xml:space="preserve">           |</w:t>
      </w:r>
    </w:p>
    <w:p>
      <w:pPr>
        <w:ind w:left="283"/>
      </w:pPr>
      <w:r>
        <w:rPr>
          <w:rFonts w:ascii="Courier New" w:hAnsi="Courier New"/>
          <w:color w:val="222222"/>
          <w:sz w:val="17"/>
        </w:rPr>
        <w:t xml:space="preserve">           v</w:t>
      </w:r>
    </w:p>
    <w:p>
      <w:pPr>
        <w:ind w:left="283"/>
      </w:pPr>
      <w:r>
        <w:rPr>
          <w:rFonts w:ascii="Courier New" w:hAnsi="Courier New"/>
          <w:color w:val="222222"/>
          <w:sz w:val="17"/>
        </w:rPr>
        <w:t>ACTIVITES</w:t>
      </w:r>
    </w:p>
    <w:p>
      <w:pPr>
        <w:ind w:left="283"/>
      </w:pPr>
      <w:r>
        <w:rPr>
          <w:rFonts w:ascii="Courier New" w:hAnsi="Courier New"/>
          <w:color w:val="222222"/>
          <w:sz w:val="17"/>
        </w:rPr>
        <w:t xml:space="preserve">  A1. Information-communication    A6. Formation tuteurs/mentors</w:t>
      </w:r>
    </w:p>
    <w:p>
      <w:pPr>
        <w:ind w:left="283"/>
      </w:pPr>
      <w:r>
        <w:rPr>
          <w:rFonts w:ascii="Courier New" w:hAnsi="Courier New"/>
          <w:color w:val="222222"/>
          <w:sz w:val="17"/>
        </w:rPr>
        <w:t xml:space="preserve">  A2. Inscription des entreprises  A7. Mise en emploi + paiement salaires (Tresor)</w:t>
      </w:r>
    </w:p>
    <w:p>
      <w:pPr>
        <w:ind w:left="283"/>
      </w:pPr>
      <w:r>
        <w:rPr>
          <w:rFonts w:ascii="Courier New" w:hAnsi="Courier New"/>
          <w:color w:val="222222"/>
          <w:sz w:val="17"/>
        </w:rPr>
        <w:t xml:space="preserve">  A3. Inscription des candidats    A8. Suivi mensuel presence et performances</w:t>
      </w:r>
    </w:p>
    <w:p>
      <w:pPr>
        <w:ind w:left="283"/>
      </w:pPr>
      <w:r>
        <w:rPr>
          <w:rFonts w:ascii="Courier New" w:hAnsi="Courier New"/>
          <w:color w:val="222222"/>
          <w:sz w:val="17"/>
        </w:rPr>
        <w:t xml:space="preserve">  A4. Selection (panels experts)   A9. Ateliers renforcement des capacites</w:t>
      </w:r>
    </w:p>
    <w:p>
      <w:pPr>
        <w:ind w:left="283"/>
      </w:pPr>
      <w:r>
        <w:rPr>
          <w:rFonts w:ascii="Courier New" w:hAnsi="Courier New"/>
          <w:color w:val="222222"/>
          <w:sz w:val="17"/>
        </w:rPr>
        <w:t xml:space="preserve">  A5. Formation pre-immersion      A10. Dispositif post-programme et suivi alumni</w:t>
      </w:r>
    </w:p>
    <w:p>
      <w:pPr>
        <w:ind w:left="283"/>
      </w:pPr>
      <w:r>
        <w:rPr>
          <w:rFonts w:ascii="Courier New" w:hAnsi="Courier New"/>
          <w:color w:val="222222"/>
          <w:sz w:val="17"/>
        </w:rPr>
        <w:t xml:space="preserve">           |</w:t>
      </w:r>
    </w:p>
    <w:p>
      <w:pPr>
        <w:ind w:left="283"/>
      </w:pPr>
      <w:r>
        <w:rPr>
          <w:rFonts w:ascii="Courier New" w:hAnsi="Courier New"/>
          <w:color w:val="222222"/>
          <w:sz w:val="17"/>
        </w:rPr>
        <w:t xml:space="preserve">           v</w:t>
      </w:r>
    </w:p>
    <w:p>
      <w:pPr>
        <w:ind w:left="283"/>
      </w:pPr>
      <w:r>
        <w:rPr>
          <w:rFonts w:ascii="Courier New" w:hAnsi="Courier New"/>
          <w:color w:val="222222"/>
          <w:sz w:val="17"/>
        </w:rPr>
        <w:t>EXTRANTS (Outputs) - cumul juil. 2020 - sept. 2025</w:t>
      </w:r>
    </w:p>
    <w:p>
      <w:pPr>
        <w:ind w:left="283"/>
      </w:pPr>
      <w:r>
        <w:rPr>
          <w:rFonts w:ascii="Courier New" w:hAnsi="Courier New"/>
          <w:color w:val="222222"/>
          <w:sz w:val="17"/>
        </w:rPr>
        <w:t xml:space="preserve">  * 2 067 entreprises eligibles et engagees</w:t>
      </w:r>
    </w:p>
    <w:p>
      <w:pPr>
        <w:ind w:left="283"/>
      </w:pPr>
      <w:r>
        <w:rPr>
          <w:rFonts w:ascii="Courier New" w:hAnsi="Courier New"/>
          <w:color w:val="222222"/>
          <w:sz w:val="17"/>
        </w:rPr>
        <w:t xml:space="preserve">  * 11 509 postes valides et publies</w:t>
      </w:r>
    </w:p>
    <w:p>
      <w:pPr>
        <w:ind w:left="283"/>
      </w:pPr>
      <w:r>
        <w:rPr>
          <w:rFonts w:ascii="Courier New" w:hAnsi="Courier New"/>
          <w:color w:val="222222"/>
          <w:sz w:val="17"/>
        </w:rPr>
        <w:t xml:space="preserve">  * 137 086 candidats interviewes</w:t>
      </w:r>
    </w:p>
    <w:p>
      <w:pPr>
        <w:ind w:left="283"/>
      </w:pPr>
      <w:r>
        <w:rPr>
          <w:rFonts w:ascii="Courier New" w:hAnsi="Courier New"/>
          <w:color w:val="222222"/>
          <w:sz w:val="17"/>
        </w:rPr>
        <w:t xml:space="preserve">  * 9 263 allocataires mis en emploi</w:t>
      </w:r>
    </w:p>
    <w:p>
      <w:pPr>
        <w:ind w:left="283"/>
      </w:pPr>
      <w:r>
        <w:rPr>
          <w:rFonts w:ascii="Courier New" w:hAnsi="Courier New"/>
          <w:color w:val="222222"/>
          <w:sz w:val="17"/>
        </w:rPr>
        <w:t xml:space="preserve">  * 18,3 milliards FCFA de salaires verses</w:t>
      </w:r>
    </w:p>
    <w:p>
      <w:pPr>
        <w:ind w:left="283"/>
      </w:pPr>
      <w:r>
        <w:rPr>
          <w:rFonts w:ascii="Courier New" w:hAnsi="Courier New"/>
          <w:color w:val="222222"/>
          <w:sz w:val="17"/>
        </w:rPr>
        <w:t xml:space="preserve">           |</w:t>
      </w:r>
    </w:p>
    <w:p>
      <w:pPr>
        <w:ind w:left="283"/>
      </w:pPr>
      <w:r>
        <w:rPr>
          <w:rFonts w:ascii="Courier New" w:hAnsi="Courier New"/>
          <w:color w:val="222222"/>
          <w:sz w:val="17"/>
        </w:rPr>
        <w:t xml:space="preserve">           v</w:t>
      </w:r>
    </w:p>
    <w:p>
      <w:pPr>
        <w:ind w:left="283"/>
      </w:pPr>
      <w:r>
        <w:rPr>
          <w:rFonts w:ascii="Courier New" w:hAnsi="Courier New"/>
          <w:color w:val="222222"/>
          <w:sz w:val="17"/>
        </w:rPr>
        <w:t>RESULTATS IMMEDIATS (Outcomes)</w:t>
      </w:r>
    </w:p>
    <w:p>
      <w:pPr>
        <w:ind w:left="283"/>
      </w:pPr>
      <w:r>
        <w:rPr>
          <w:rFonts w:ascii="Courier New" w:hAnsi="Courier New"/>
          <w:color w:val="222222"/>
          <w:sz w:val="17"/>
        </w:rPr>
        <w:t xml:space="preserve">  R1 : Mesures d'accompagnement a l'employabilite initiees et mises en oeuvre</w:t>
      </w:r>
    </w:p>
    <w:p>
      <w:pPr>
        <w:ind w:left="283"/>
      </w:pPr>
      <w:r>
        <w:rPr>
          <w:rFonts w:ascii="Courier New" w:hAnsi="Courier New"/>
          <w:color w:val="222222"/>
          <w:sz w:val="17"/>
        </w:rPr>
        <w:t xml:space="preserve">       -&gt; Jeunes mieux armes pour le marche du travail</w:t>
      </w:r>
    </w:p>
    <w:p>
      <w:pPr>
        <w:ind w:left="283"/>
      </w:pPr>
      <w:r>
        <w:rPr>
          <w:rFonts w:ascii="Courier New" w:hAnsi="Courier New"/>
          <w:color w:val="222222"/>
          <w:sz w:val="17"/>
        </w:rPr>
        <w:t xml:space="preserve">  R2 : 2 000 jeunes/an en emploi formel, remunere et protege (CNSS, IRPP)</w:t>
      </w:r>
    </w:p>
    <w:p>
      <w:pPr>
        <w:ind w:left="283"/>
      </w:pPr>
      <w:r>
        <w:rPr>
          <w:rFonts w:ascii="Courier New" w:hAnsi="Courier New"/>
          <w:color w:val="222222"/>
          <w:sz w:val="17"/>
        </w:rPr>
        <w:t xml:space="preserve">       -&gt; Experience professionnelle documentee (CV, references employeurs)</w:t>
      </w:r>
    </w:p>
    <w:p>
      <w:pPr>
        <w:ind w:left="283"/>
      </w:pPr>
      <w:r>
        <w:rPr>
          <w:rFonts w:ascii="Courier New" w:hAnsi="Courier New"/>
          <w:color w:val="222222"/>
          <w:sz w:val="17"/>
        </w:rPr>
        <w:t xml:space="preserve">       -&gt; Entreprises testent le profil des allocataires sans risque financier</w:t>
      </w:r>
    </w:p>
    <w:p>
      <w:pPr>
        <w:ind w:left="283"/>
      </w:pPr>
      <w:r>
        <w:rPr>
          <w:rFonts w:ascii="Courier New" w:hAnsi="Courier New"/>
          <w:color w:val="222222"/>
          <w:sz w:val="17"/>
        </w:rPr>
        <w:t xml:space="preserve">           |</w:t>
      </w:r>
    </w:p>
    <w:p>
      <w:pPr>
        <w:ind w:left="283"/>
      </w:pPr>
      <w:r>
        <w:rPr>
          <w:rFonts w:ascii="Courier New" w:hAnsi="Courier New"/>
          <w:color w:val="222222"/>
          <w:sz w:val="17"/>
        </w:rPr>
        <w:t xml:space="preserve">           v</w:t>
      </w:r>
    </w:p>
    <w:p>
      <w:pPr>
        <w:ind w:left="283"/>
      </w:pPr>
      <w:r>
        <w:rPr>
          <w:rFonts w:ascii="Courier New" w:hAnsi="Courier New"/>
          <w:color w:val="222222"/>
          <w:sz w:val="17"/>
        </w:rPr>
        <w:t>RESULTATS INTERMEDIAIRES</w:t>
      </w:r>
    </w:p>
    <w:p>
      <w:pPr>
        <w:ind w:left="283"/>
      </w:pPr>
      <w:r>
        <w:rPr>
          <w:rFonts w:ascii="Courier New" w:hAnsi="Courier New"/>
          <w:color w:val="222222"/>
          <w:sz w:val="17"/>
        </w:rPr>
        <w:t xml:space="preserve">  * Taux d'insertion durable post-programme [a mesurer en Phase 2]</w:t>
      </w:r>
    </w:p>
    <w:p>
      <w:pPr>
        <w:ind w:left="283"/>
      </w:pPr>
      <w:r>
        <w:rPr>
          <w:rFonts w:ascii="Courier New" w:hAnsi="Courier New"/>
          <w:color w:val="222222"/>
          <w:sz w:val="17"/>
        </w:rPr>
        <w:t xml:space="preserve">  * Revision a la hausse des comportements d'embauche des entreprises</w:t>
      </w:r>
    </w:p>
    <w:p>
      <w:pPr>
        <w:ind w:left="283"/>
      </w:pPr>
      <w:r>
        <w:rPr>
          <w:rFonts w:ascii="Courier New" w:hAnsi="Courier New"/>
          <w:color w:val="222222"/>
          <w:sz w:val="17"/>
        </w:rPr>
        <w:t xml:space="preserve">  * Reduction de l'inadequation formation-emploi</w:t>
      </w:r>
    </w:p>
    <w:p>
      <w:pPr>
        <w:ind w:left="283"/>
      </w:pPr>
      <w:r>
        <w:rPr>
          <w:rFonts w:ascii="Courier New" w:hAnsi="Courier New"/>
          <w:color w:val="222222"/>
          <w:sz w:val="17"/>
        </w:rPr>
        <w:t xml:space="preserve">  * Augmentation du volume d'emplois formels dans l'economie</w:t>
      </w:r>
    </w:p>
    <w:p>
      <w:pPr>
        <w:ind w:left="283"/>
      </w:pPr>
      <w:r>
        <w:rPr>
          <w:rFonts w:ascii="Courier New" w:hAnsi="Courier New"/>
          <w:color w:val="222222"/>
          <w:sz w:val="17"/>
        </w:rPr>
        <w:t xml:space="preserve">           |</w:t>
      </w:r>
    </w:p>
    <w:p>
      <w:pPr>
        <w:ind w:left="283"/>
      </w:pPr>
      <w:r>
        <w:rPr>
          <w:rFonts w:ascii="Courier New" w:hAnsi="Courier New"/>
          <w:color w:val="222222"/>
          <w:sz w:val="17"/>
        </w:rPr>
        <w:t xml:space="preserve">           v</w:t>
      </w:r>
    </w:p>
    <w:p>
      <w:pPr>
        <w:ind w:left="283"/>
      </w:pPr>
      <w:r>
        <w:rPr>
          <w:rFonts w:ascii="Courier New" w:hAnsi="Courier New"/>
          <w:color w:val="222222"/>
          <w:sz w:val="17"/>
        </w:rPr>
        <w:t>IMPACT VISE</w:t>
      </w:r>
    </w:p>
    <w:p>
      <w:pPr>
        <w:ind w:left="283"/>
      </w:pPr>
      <w:r>
        <w:rPr>
          <w:rFonts w:ascii="Courier New" w:hAnsi="Courier New"/>
          <w:color w:val="222222"/>
          <w:sz w:val="17"/>
        </w:rPr>
        <w:t xml:space="preserve">  * Reduction durable du taux de sous-emploi des jeunes au Benin (&lt; 72 %)</w:t>
      </w:r>
    </w:p>
    <w:p>
      <w:pPr>
        <w:ind w:left="283"/>
      </w:pPr>
      <w:r>
        <w:rPr>
          <w:rFonts w:ascii="Courier New" w:hAnsi="Courier New"/>
          <w:color w:val="222222"/>
          <w:sz w:val="17"/>
        </w:rPr>
        <w:t xml:space="preserve">  * Amelioration de la competitivite des entreprises beниnoises</w:t>
      </w:r>
    </w:p>
    <w:p>
      <w:pPr>
        <w:ind w:left="283"/>
      </w:pPr>
      <w:r>
        <w:rPr>
          <w:rFonts w:ascii="Courier New" w:hAnsi="Courier New"/>
          <w:color w:val="222222"/>
          <w:sz w:val="17"/>
        </w:rPr>
        <w:t xml:space="preserve">  * Contribution a la croissance economique inclusive (ODD 8)</w:t>
      </w:r>
    </w:p>
    <w:p>
      <w:pPr>
        <w:ind w:left="283"/>
      </w:pPr>
      <w:r>
        <w:rPr>
          <w:rFonts w:ascii="Courier New" w:hAnsi="Courier New"/>
          <w:color w:val="222222"/>
          <w:sz w:val="17"/>
        </w:rPr>
        <w:t xml:space="preserve">  * Realisation des objectifs du PAG sur l'emploi des jeunes</w:t>
      </w:r>
    </w:p>
    <w:p>
      <w:pPr>
        <w:pStyle w:val="Heading4"/>
      </w:pPr>
      <w:r>
        <w:rPr>
          <w:rFonts w:ascii="Calibri" w:hAnsi="Calibri"/>
        </w:rPr>
        <w:t>D. Hypotheses cles et risques</w:t>
      </w:r>
    </w:p>
    <w:p>
      <w:r>
        <w:rPr>
          <w:b w:val="0"/>
          <w:i w:val="0"/>
          <w:sz w:val="21"/>
        </w:rPr>
        <w:t>La validite de la theorie de changement repose sur des hypotheses critiques identifiees des la conception du programme :</w:t>
      </w:r>
    </w:p>
    <w:tbl>
      <w:tblPr>
        <w:tblStyle w:val="TableGrid"/>
        <w:tblW w:type="auto" w:w="0"/>
        <w:tblLook w:firstColumn="1" w:firstRow="1" w:lastColumn="0" w:lastRow="0" w:noHBand="0" w:noVBand="1" w:val="04A0"/>
      </w:tblPr>
      <w:tblGrid>
        <w:gridCol w:w="3079"/>
        <w:gridCol w:w="3079"/>
        <w:gridCol w:w="3079"/>
      </w:tblGrid>
      <w:tr>
        <w:tc>
          <w:tcPr>
            <w:tcW w:type="dxa" w:w="3969"/>
            <w:shd w:val="clear" w:color="auto" w:fill="1F3864"/>
          </w:tcPr>
          <w:p>
            <w:r>
              <w:rPr>
                <w:b/>
                <w:color w:val="FFFFFF"/>
                <w:sz w:val="19"/>
              </w:rPr>
              <w:t>Hypothese</w:t>
            </w:r>
          </w:p>
        </w:tc>
        <w:tc>
          <w:tcPr>
            <w:tcW w:type="dxa" w:w="1134"/>
            <w:shd w:val="clear" w:color="auto" w:fill="1F3864"/>
          </w:tcPr>
          <w:p>
            <w:r>
              <w:rPr>
                <w:b/>
                <w:color w:val="FFFFFF"/>
                <w:sz w:val="19"/>
              </w:rPr>
              <w:t>Niveau de risque</w:t>
            </w:r>
          </w:p>
        </w:tc>
        <w:tc>
          <w:tcPr>
            <w:tcW w:type="dxa" w:w="4535"/>
            <w:shd w:val="clear" w:color="auto" w:fill="1F3864"/>
          </w:tcPr>
          <w:p>
            <w:r>
              <w:rPr>
                <w:b/>
                <w:color w:val="FFFFFF"/>
                <w:sz w:val="19"/>
              </w:rPr>
              <w:t>Statut au 30 septembre 2025</w:t>
            </w:r>
          </w:p>
        </w:tc>
      </w:tr>
      <w:tr>
        <w:tc>
          <w:tcPr>
            <w:tcW w:type="dxa" w:w="3969"/>
            <w:shd w:val="clear" w:color="auto" w:fill="F2F2F2"/>
          </w:tcPr>
          <w:p>
            <w:r>
              <w:rPr>
                <w:b/>
                <w:sz w:val="19"/>
              </w:rPr>
              <w:t>H1 : Les entreprises s'engagent reellement comme tuteurs/mentors et ne se contentent pas d'utiliser les allocataires comme main-d'oeuvre a bas cout</w:t>
            </w:r>
          </w:p>
        </w:tc>
        <w:tc>
          <w:tcPr>
            <w:tcW w:type="dxa" w:w="1134"/>
            <w:shd w:val="clear" w:color="auto" w:fill="F2F2F2"/>
          </w:tcPr>
          <w:p>
            <w:r>
              <w:rPr>
                <w:sz w:val="19"/>
              </w:rPr>
              <w:t>ELEVE</w:t>
            </w:r>
          </w:p>
        </w:tc>
        <w:tc>
          <w:tcPr>
            <w:tcW w:type="dxa" w:w="4535"/>
            <w:shd w:val="clear" w:color="auto" w:fill="F2F2F2"/>
          </w:tcPr>
          <w:p>
            <w:r>
              <w:rPr>
                <w:sz w:val="19"/>
              </w:rPr>
              <w:t>Partiellement confirme : suivi des contrats existe, mais cas de non-respect documentes</w:t>
            </w:r>
          </w:p>
        </w:tc>
      </w:tr>
      <w:tr>
        <w:tc>
          <w:tcPr>
            <w:tcW w:type="dxa" w:w="3969"/>
            <w:shd w:val="clear" w:color="auto" w:fill="FFFFFF"/>
          </w:tcPr>
          <w:p>
            <w:r>
              <w:rPr>
                <w:b/>
                <w:sz w:val="19"/>
              </w:rPr>
              <w:t>H2 : Le financement de l'Etat est disponible et verse a temps chaque mois</w:t>
            </w:r>
          </w:p>
        </w:tc>
        <w:tc>
          <w:tcPr>
            <w:tcW w:type="dxa" w:w="1134"/>
            <w:shd w:val="clear" w:color="auto" w:fill="FFFFFF"/>
          </w:tcPr>
          <w:p>
            <w:r>
              <w:rPr>
                <w:sz w:val="19"/>
              </w:rPr>
              <w:t>MOYEN</w:t>
            </w:r>
          </w:p>
        </w:tc>
        <w:tc>
          <w:tcPr>
            <w:tcW w:type="dxa" w:w="4535"/>
            <w:shd w:val="clear" w:color="auto" w:fill="FFFFFF"/>
          </w:tcPr>
          <w:p>
            <w:r>
              <w:rPr>
                <w:sz w:val="19"/>
              </w:rPr>
              <w:t>CONFIRME : 18,3 mds FCFA verses sans rupture documentee sur 5 ans</w:t>
            </w:r>
          </w:p>
        </w:tc>
      </w:tr>
      <w:tr>
        <w:tc>
          <w:tcPr>
            <w:tcW w:type="dxa" w:w="3969"/>
            <w:shd w:val="clear" w:color="auto" w:fill="F2F2F2"/>
          </w:tcPr>
          <w:p>
            <w:r>
              <w:rPr>
                <w:b/>
                <w:sz w:val="19"/>
              </w:rPr>
              <w:t>H3 : Les jeunes beneficiaires restent engages pendant les 24 mois d'immersion</w:t>
            </w:r>
          </w:p>
        </w:tc>
        <w:tc>
          <w:tcPr>
            <w:tcW w:type="dxa" w:w="1134"/>
            <w:shd w:val="clear" w:color="auto" w:fill="F2F2F2"/>
          </w:tcPr>
          <w:p>
            <w:r>
              <w:rPr>
                <w:sz w:val="19"/>
              </w:rPr>
              <w:t>MOYEN</w:t>
            </w:r>
          </w:p>
        </w:tc>
        <w:tc>
          <w:tcPr>
            <w:tcW w:type="dxa" w:w="4535"/>
            <w:shd w:val="clear" w:color="auto" w:fill="F2F2F2"/>
          </w:tcPr>
          <w:p>
            <w:r>
              <w:rPr>
                <w:sz w:val="19"/>
              </w:rPr>
              <w:t>Partiellement documente : risque d'abandon mentionne mais taux non quantifie</w:t>
            </w:r>
          </w:p>
        </w:tc>
      </w:tr>
      <w:tr>
        <w:tc>
          <w:tcPr>
            <w:tcW w:type="dxa" w:w="3969"/>
            <w:shd w:val="clear" w:color="auto" w:fill="FFFFFF"/>
          </w:tcPr>
          <w:p>
            <w:r>
              <w:rPr>
                <w:b/>
                <w:sz w:val="19"/>
              </w:rPr>
              <w:t>H4 : Les allocataires sont maintenus en emploi a l'issue de la periode d'immersion</w:t>
            </w:r>
          </w:p>
        </w:tc>
        <w:tc>
          <w:tcPr>
            <w:tcW w:type="dxa" w:w="1134"/>
            <w:shd w:val="clear" w:color="auto" w:fill="FFFFFF"/>
          </w:tcPr>
          <w:p>
            <w:r>
              <w:rPr>
                <w:sz w:val="19"/>
              </w:rPr>
              <w:t>ELEVE</w:t>
            </w:r>
          </w:p>
        </w:tc>
        <w:tc>
          <w:tcPr>
            <w:tcW w:type="dxa" w:w="4535"/>
            <w:shd w:val="clear" w:color="auto" w:fill="FFFFFF"/>
          </w:tcPr>
          <w:p>
            <w:r>
              <w:rPr>
                <w:sz w:val="19"/>
              </w:rPr>
              <w:t>NON MESURABLE : donnees post-programme non disponibles - principale lacune de la TdC</w:t>
            </w:r>
          </w:p>
        </w:tc>
      </w:tr>
      <w:tr>
        <w:tc>
          <w:tcPr>
            <w:tcW w:type="dxa" w:w="3969"/>
            <w:shd w:val="clear" w:color="auto" w:fill="F2F2F2"/>
          </w:tcPr>
          <w:p>
            <w:r>
              <w:rPr>
                <w:b/>
                <w:sz w:val="19"/>
              </w:rPr>
              <w:t>H5 : L'environnement economique et reglementaire reste stable</w:t>
            </w:r>
          </w:p>
        </w:tc>
        <w:tc>
          <w:tcPr>
            <w:tcW w:type="dxa" w:w="1134"/>
            <w:shd w:val="clear" w:color="auto" w:fill="F2F2F2"/>
          </w:tcPr>
          <w:p>
            <w:r>
              <w:rPr>
                <w:sz w:val="19"/>
              </w:rPr>
              <w:t>FAIBLE</w:t>
            </w:r>
          </w:p>
        </w:tc>
        <w:tc>
          <w:tcPr>
            <w:tcW w:type="dxa" w:w="4535"/>
            <w:shd w:val="clear" w:color="auto" w:fill="F2F2F2"/>
          </w:tcPr>
          <w:p>
            <w:r>
              <w:rPr>
                <w:sz w:val="19"/>
              </w:rPr>
              <w:t>Confirme : contexte relativement stable sur la periode 2020-2025</w:t>
            </w:r>
          </w:p>
        </w:tc>
      </w:tr>
      <w:tr>
        <w:tc>
          <w:tcPr>
            <w:tcW w:type="dxa" w:w="3969"/>
            <w:shd w:val="clear" w:color="auto" w:fill="FFFFFF"/>
          </w:tcPr>
          <w:p>
            <w:r>
              <w:rPr>
                <w:b/>
                <w:sz w:val="19"/>
              </w:rPr>
              <w:t>H6 : La plateforme garantit un appariement de qualite candidats-entreprises</w:t>
            </w:r>
          </w:p>
        </w:tc>
        <w:tc>
          <w:tcPr>
            <w:tcW w:type="dxa" w:w="1134"/>
            <w:shd w:val="clear" w:color="auto" w:fill="FFFFFF"/>
          </w:tcPr>
          <w:p>
            <w:r>
              <w:rPr>
                <w:sz w:val="19"/>
              </w:rPr>
              <w:t>MOYEN</w:t>
            </w:r>
          </w:p>
        </w:tc>
        <w:tc>
          <w:tcPr>
            <w:tcW w:type="dxa" w:w="4535"/>
            <w:shd w:val="clear" w:color="auto" w:fill="FFFFFF"/>
          </w:tcPr>
          <w:p>
            <w:r>
              <w:rPr>
                <w:sz w:val="19"/>
              </w:rPr>
              <w:t>Confirme : taux de selection par les entreprises de 109,7 % (sept. 2025)</w:t>
            </w:r>
          </w:p>
        </w:tc>
      </w:tr>
    </w:tbl>
    <w:p/>
    <w:p>
      <w:pPr>
        <w:pStyle w:val="Heading4"/>
      </w:pPr>
      <w:r>
        <w:rPr>
          <w:rFonts w:ascii="Calibri" w:hAnsi="Calibri"/>
        </w:rPr>
        <w:t>E. Angles morts de la theorie de changement</w:t>
      </w:r>
    </w:p>
    <w:p>
      <w:r>
        <w:rPr>
          <w:b/>
          <w:i w:val="0"/>
          <w:sz w:val="21"/>
        </w:rPr>
        <w:t>L'analyse de la TdC revele deux angles morts critiques que la Phase 2 devra adresser :</w:t>
      </w:r>
    </w:p>
    <w:p>
      <w:pPr>
        <w:pStyle w:val="ListBullet"/>
        <w:ind w:left="567"/>
      </w:pPr>
      <w:r>
        <w:t>Le maillon de la durabilite reste opaque : la TdC suppose que l'experience de 24 mois suffit a assurer une insertion post-programme, mais aucune donnee sur le taux de retention apres la fin du contrat n'est disponible. Si les entreprises utilisent le programme uniquement comme source de main-d'oeuvre temporaire, l'impact de long terme serait fortement limite.</w:t>
      </w:r>
    </w:p>
    <w:p>
      <w:pPr>
        <w:pStyle w:val="ListBullet"/>
        <w:ind w:left="567"/>
      </w:pPr>
      <w:r>
        <w:t>Le changement de comportement des entreprises n'est pas suffisamment documente : la TdC postule une modification durable des comportements d'embauche, mais le rapport de mise en oeuvre ne documente pas si les entreprises ayant participe au PSIE ont effectivement augmente leurs embauches propres (hors PSIE) a l'issue des cycles d'immersion.</w:t>
      </w:r>
    </w:p>
    <w:p>
      <w:r>
        <w:br w:type="page"/>
      </w:r>
    </w:p>
    <w:p>
      <w:pPr>
        <w:pStyle w:val="Heading1"/>
      </w:pPr>
      <w:r>
        <w:rPr>
          <w:rFonts w:ascii="Calibri" w:hAnsi="Calibri"/>
          <w:color w:val="1F3864"/>
        </w:rPr>
        <w:t>2. METHODOLOGIE D'EVALUATION</w:t>
      </w:r>
    </w:p>
    <w:p>
      <w:r>
        <w:rPr>
          <w:b w:val="0"/>
          <w:i w:val="0"/>
          <w:sz w:val="21"/>
        </w:rPr>
        <w:t>La presente evaluation repose sur une revue documentaire systematique des trois sources officielles du programme :</w:t>
      </w:r>
    </w:p>
    <w:p>
      <w:pPr>
        <w:pStyle w:val="ListBullet"/>
        <w:ind w:left="567"/>
      </w:pPr>
      <w:r>
        <w:t>Prodoc PSIE-BeninF (revu) 03.04.20 - Document de projet, 59 pages (mars 2020)</w:t>
      </w:r>
    </w:p>
    <w:p>
      <w:pPr>
        <w:pStyle w:val="ListBullet"/>
        <w:ind w:left="567"/>
      </w:pPr>
      <w:r>
        <w:t>Cadre Logique PSIE - Matrice officielle de resultats (4 pages)</w:t>
      </w:r>
    </w:p>
    <w:p>
      <w:pPr>
        <w:pStyle w:val="ListBullet"/>
        <w:ind w:left="567"/>
      </w:pPr>
      <w:r>
        <w:t>Rapport actualise de mise en oeuvre du PSIE, juil. 2020 - sept. 2025 (oct. 2025)</w:t>
      </w:r>
    </w:p>
    <w:p>
      <w:r>
        <w:rPr>
          <w:b w:val="0"/>
          <w:i/>
          <w:sz w:val="21"/>
        </w:rPr>
        <w:t>Les constats reposent sur la convergence des trois documents (triangulation par les sources). Les donnees statistiques sont tirees de la Base de donnees PSIE (septembre 2025).</w:t>
      </w:r>
    </w:p>
    <w:p/>
    <w:p>
      <w:pPr>
        <w:ind w:left="567" w:right="567"/>
      </w:pPr>
      <w:r>
        <w:rPr>
          <w:i/>
          <w:color w:val="444444"/>
        </w:rPr>
        <w:t>NOTE : Les criteres d'efficience, d'impacts, de durabilite et de genre seront evalues en Phase 2, lors de la collecte de donnees primaires (enquete aupres des beneficiaires, donnees desagregees par sexe, suivi longitudinal post-programme).</w:t>
      </w:r>
    </w:p>
    <w:p>
      <w:r>
        <w:br w:type="page"/>
      </w:r>
    </w:p>
    <w:p>
      <w:pPr>
        <w:pStyle w:val="Heading1"/>
      </w:pPr>
      <w:r>
        <w:rPr>
          <w:rFonts w:ascii="Calibri" w:hAnsi="Calibri"/>
          <w:color w:val="1F3864"/>
        </w:rPr>
        <w:t>3. CRITERE 1 - PERTINENCE</w:t>
      </w:r>
    </w:p>
    <w:p>
      <w:pPr>
        <w:ind w:left="567" w:right="567"/>
      </w:pPr>
      <w:r>
        <w:rPr>
          <w:i/>
          <w:color w:val="444444"/>
        </w:rPr>
        <w:t>Definition OCDE/CAD : La pertinence est la mesure dans laquelle les objectifs et la conception d'une intervention correspondent aux besoins, aux politiques et aux priorites des beneficiaires, du pays partenaire et des partenaires institutionnels.</w:t>
      </w:r>
    </w:p>
    <w:p/>
    <w:p>
      <w:pPr>
        <w:pStyle w:val="Heading2"/>
      </w:pPr>
      <w:r>
        <w:rPr>
          <w:rFonts w:ascii="Calibri" w:hAnsi="Calibri"/>
          <w:color w:val="2E74B5"/>
        </w:rPr>
        <w:t>3.1 Diagnostic du marche de l'emploi (base documentaire)</w:t>
      </w:r>
    </w:p>
    <w:tbl>
      <w:tblPr>
        <w:tblStyle w:val="TableGrid"/>
        <w:tblW w:type="auto" w:w="0"/>
        <w:tblLook w:firstColumn="1" w:firstRow="1" w:lastColumn="0" w:lastRow="0" w:noHBand="0" w:noVBand="1" w:val="04A0"/>
      </w:tblPr>
      <w:tblGrid>
        <w:gridCol w:w="3079"/>
        <w:gridCol w:w="3079"/>
        <w:gridCol w:w="3079"/>
      </w:tblGrid>
      <w:tr>
        <w:tc>
          <w:tcPr>
            <w:tcW w:type="dxa" w:w="3402"/>
            <w:shd w:val="clear" w:color="auto" w:fill="1F3864"/>
          </w:tcPr>
          <w:p>
            <w:r>
              <w:rPr>
                <w:b/>
                <w:color w:val="FFFFFF"/>
                <w:sz w:val="19"/>
              </w:rPr>
              <w:t>Indicateur</w:t>
            </w:r>
          </w:p>
        </w:tc>
        <w:tc>
          <w:tcPr>
            <w:tcW w:type="dxa" w:w="3969"/>
            <w:shd w:val="clear" w:color="auto" w:fill="1F3864"/>
          </w:tcPr>
          <w:p>
            <w:r>
              <w:rPr>
                <w:b/>
                <w:color w:val="FFFFFF"/>
                <w:sz w:val="19"/>
              </w:rPr>
              <w:t>Valeur</w:t>
            </w:r>
          </w:p>
        </w:tc>
        <w:tc>
          <w:tcPr>
            <w:tcW w:type="dxa" w:w="2835"/>
            <w:shd w:val="clear" w:color="auto" w:fill="1F3864"/>
          </w:tcPr>
          <w:p>
            <w:r>
              <w:rPr>
                <w:b/>
                <w:color w:val="FFFFFF"/>
                <w:sz w:val="19"/>
              </w:rPr>
              <w:t>Source</w:t>
            </w:r>
          </w:p>
        </w:tc>
      </w:tr>
      <w:tr>
        <w:tc>
          <w:tcPr>
            <w:tcW w:type="dxa" w:w="3402"/>
            <w:shd w:val="clear" w:color="auto" w:fill="F2F2F2"/>
          </w:tcPr>
          <w:p>
            <w:r>
              <w:rPr>
                <w:b/>
                <w:sz w:val="19"/>
              </w:rPr>
              <w:t>Population de moins de 40 ans</w:t>
            </w:r>
          </w:p>
        </w:tc>
        <w:tc>
          <w:tcPr>
            <w:tcW w:type="dxa" w:w="3969"/>
            <w:shd w:val="clear" w:color="auto" w:fill="F2F2F2"/>
          </w:tcPr>
          <w:p>
            <w:r>
              <w:rPr>
                <w:sz w:val="19"/>
              </w:rPr>
              <w:t>4,08 millions (34 % de la pop. totale)</w:t>
            </w:r>
          </w:p>
        </w:tc>
        <w:tc>
          <w:tcPr>
            <w:tcW w:type="dxa" w:w="2835"/>
            <w:shd w:val="clear" w:color="auto" w:fill="F2F2F2"/>
          </w:tcPr>
          <w:p>
            <w:r>
              <w:rPr>
                <w:sz w:val="19"/>
              </w:rPr>
              <w:t>EMICOV 2015</w:t>
            </w:r>
          </w:p>
        </w:tc>
      </w:tr>
      <w:tr>
        <w:tc>
          <w:tcPr>
            <w:tcW w:type="dxa" w:w="3402"/>
            <w:shd w:val="clear" w:color="auto" w:fill="FFFFFF"/>
          </w:tcPr>
          <w:p>
            <w:r>
              <w:rPr>
                <w:b/>
                <w:sz w:val="19"/>
              </w:rPr>
              <w:t>Taux de sous-emploi des jeunes</w:t>
            </w:r>
          </w:p>
        </w:tc>
        <w:tc>
          <w:tcPr>
            <w:tcW w:type="dxa" w:w="3969"/>
            <w:shd w:val="clear" w:color="auto" w:fill="FFFFFF"/>
          </w:tcPr>
          <w:p>
            <w:r>
              <w:rPr>
                <w:sz w:val="19"/>
              </w:rPr>
              <w:t>72 %</w:t>
            </w:r>
          </w:p>
        </w:tc>
        <w:tc>
          <w:tcPr>
            <w:tcW w:type="dxa" w:w="2835"/>
            <w:shd w:val="clear" w:color="auto" w:fill="FFFFFF"/>
          </w:tcPr>
          <w:p>
            <w:r>
              <w:rPr>
                <w:sz w:val="19"/>
              </w:rPr>
              <w:t>INSAE, aout 2017</w:t>
            </w:r>
          </w:p>
        </w:tc>
      </w:tr>
      <w:tr>
        <w:tc>
          <w:tcPr>
            <w:tcW w:type="dxa" w:w="3402"/>
            <w:shd w:val="clear" w:color="auto" w:fill="F2F2F2"/>
          </w:tcPr>
          <w:p>
            <w:r>
              <w:rPr>
                <w:b/>
                <w:sz w:val="19"/>
              </w:rPr>
              <w:t>Principaux profils disponibles</w:t>
            </w:r>
          </w:p>
        </w:tc>
        <w:tc>
          <w:tcPr>
            <w:tcW w:type="dxa" w:w="3969"/>
            <w:shd w:val="clear" w:color="auto" w:fill="F2F2F2"/>
          </w:tcPr>
          <w:p>
            <w:r>
              <w:rPr>
                <w:sz w:val="19"/>
              </w:rPr>
              <w:t>BAC, BAC+2/3, BAC+4/5</w:t>
            </w:r>
          </w:p>
        </w:tc>
        <w:tc>
          <w:tcPr>
            <w:tcW w:type="dxa" w:w="2835"/>
            <w:shd w:val="clear" w:color="auto" w:fill="F2F2F2"/>
          </w:tcPr>
          <w:p>
            <w:r>
              <w:rPr>
                <w:sz w:val="19"/>
              </w:rPr>
              <w:t>INSAE / PAES 2018</w:t>
            </w:r>
          </w:p>
        </w:tc>
      </w:tr>
      <w:tr>
        <w:tc>
          <w:tcPr>
            <w:tcW w:type="dxa" w:w="3402"/>
            <w:shd w:val="clear" w:color="auto" w:fill="FFFFFF"/>
          </w:tcPr>
          <w:p>
            <w:r>
              <w:rPr>
                <w:b/>
                <w:sz w:val="19"/>
              </w:rPr>
              <w:t>Profils demandes par les entreprises</w:t>
            </w:r>
          </w:p>
        </w:tc>
        <w:tc>
          <w:tcPr>
            <w:tcW w:type="dxa" w:w="3969"/>
            <w:shd w:val="clear" w:color="auto" w:fill="FFFFFF"/>
          </w:tcPr>
          <w:p>
            <w:r>
              <w:rPr>
                <w:sz w:val="19"/>
              </w:rPr>
              <w:t>BAC pro, BAC+2/3 (support), BAC+4/5 (TIC, ingenieurs)</w:t>
            </w:r>
          </w:p>
        </w:tc>
        <w:tc>
          <w:tcPr>
            <w:tcW w:type="dxa" w:w="2835"/>
            <w:shd w:val="clear" w:color="auto" w:fill="FFFFFF"/>
          </w:tcPr>
          <w:p>
            <w:r>
              <w:rPr>
                <w:sz w:val="19"/>
              </w:rPr>
              <w:t>Entretiens employeurs 2017</w:t>
            </w:r>
          </w:p>
        </w:tc>
      </w:tr>
    </w:tbl>
    <w:p/>
    <w:p>
      <w:pPr>
        <w:pStyle w:val="Heading2"/>
      </w:pPr>
      <w:r>
        <w:rPr>
          <w:rFonts w:ascii="Calibri" w:hAnsi="Calibri"/>
          <w:color w:val="2E74B5"/>
        </w:rPr>
        <w:t>3.2 Analyse</w:t>
      </w:r>
    </w:p>
    <w:p>
      <w:r>
        <w:rPr>
          <w:b w:val="0"/>
          <w:i w:val="0"/>
          <w:sz w:val="21"/>
        </w:rPr>
        <w:t>Le PSIE cible precisement les profils (BAC pro a Master) et la tranche d'age (18-35 ans) identifies dans le diagnostic. Son mecanisme de subvention salariale repond directement au principal frein a l'embauche : les charges salariales redoutees par les entreprises. La demande croissante (2 067 entreprises participantes en 5 ans) confirme que le programme repond a un besoin reel. Le PSIE est ancre dans le PAG 2016-2021, la PNE 2017-2026 et l'ODD 8 (Travail decent). Sa prolongation en fevrier 2025 confirme sa pertinence continue.</w:t>
      </w:r>
    </w:p>
    <w:p>
      <w:pPr>
        <w:pStyle w:val="Heading2"/>
      </w:pPr>
      <w:r>
        <w:rPr>
          <w:rFonts w:ascii="Calibri" w:hAnsi="Calibri"/>
          <w:color w:val="2E74B5"/>
        </w:rPr>
        <w:t>3.3 Jugement evaluatif - Pertinence</w:t>
      </w:r>
    </w:p>
    <w:tbl>
      <w:tblPr>
        <w:tblStyle w:val="TableGrid"/>
        <w:tblW w:type="auto" w:w="0"/>
        <w:tblLook w:firstColumn="1" w:firstRow="1" w:lastColumn="0" w:lastRow="0" w:noHBand="0" w:noVBand="1" w:val="04A0"/>
      </w:tblPr>
      <w:tblGrid>
        <w:gridCol w:w="3079"/>
        <w:gridCol w:w="3079"/>
        <w:gridCol w:w="3079"/>
      </w:tblGrid>
      <w:tr>
        <w:tc>
          <w:tcPr>
            <w:tcW w:type="dxa" w:w="2835"/>
            <w:shd w:val="clear" w:color="auto" w:fill="1F3864"/>
          </w:tcPr>
          <w:p>
            <w:r>
              <w:rPr>
                <w:b/>
                <w:color w:val="FFFFFF"/>
                <w:sz w:val="19"/>
              </w:rPr>
              <w:t>Dimension</w:t>
            </w:r>
          </w:p>
        </w:tc>
        <w:tc>
          <w:tcPr>
            <w:tcW w:type="dxa" w:w="1701"/>
            <w:shd w:val="clear" w:color="auto" w:fill="1F3864"/>
          </w:tcPr>
          <w:p>
            <w:r>
              <w:rPr>
                <w:b/>
                <w:color w:val="FFFFFF"/>
                <w:sz w:val="19"/>
              </w:rPr>
              <w:t>Jugement</w:t>
            </w:r>
          </w:p>
        </w:tc>
        <w:tc>
          <w:tcPr>
            <w:tcW w:type="dxa" w:w="5102"/>
            <w:shd w:val="clear" w:color="auto" w:fill="1F3864"/>
          </w:tcPr>
          <w:p>
            <w:r>
              <w:rPr>
                <w:b/>
                <w:color w:val="FFFFFF"/>
                <w:sz w:val="19"/>
              </w:rPr>
              <w:t>Justification</w:t>
            </w:r>
          </w:p>
        </w:tc>
      </w:tr>
      <w:tr>
        <w:tc>
          <w:tcPr>
            <w:tcW w:type="dxa" w:w="2835"/>
            <w:shd w:val="clear" w:color="auto" w:fill="F2F2F2"/>
          </w:tcPr>
          <w:p>
            <w:r>
              <w:rPr>
                <w:b/>
                <w:sz w:val="19"/>
              </w:rPr>
              <w:t>Pertinence / besoins beneficiaires</w:t>
            </w:r>
          </w:p>
        </w:tc>
        <w:tc>
          <w:tcPr>
            <w:tcW w:type="dxa" w:w="1701"/>
            <w:shd w:val="clear" w:color="auto" w:fill="F2F2F2"/>
          </w:tcPr>
          <w:p>
            <w:r>
              <w:rPr>
                <w:sz w:val="19"/>
              </w:rPr>
              <w:t>ELEVE</w:t>
            </w:r>
          </w:p>
        </w:tc>
        <w:tc>
          <w:tcPr>
            <w:tcW w:type="dxa" w:w="5102"/>
            <w:shd w:val="clear" w:color="auto" w:fill="F2F2F2"/>
          </w:tcPr>
          <w:p>
            <w:r>
              <w:rPr>
                <w:sz w:val="19"/>
              </w:rPr>
              <w:t>Diagnostic precis (72 % sous-emploi), adequation des profils, reponse directe au frein salarial</w:t>
            </w:r>
          </w:p>
        </w:tc>
      </w:tr>
      <w:tr>
        <w:tc>
          <w:tcPr>
            <w:tcW w:type="dxa" w:w="2835"/>
            <w:shd w:val="clear" w:color="auto" w:fill="FFFFFF"/>
          </w:tcPr>
          <w:p>
            <w:r>
              <w:rPr>
                <w:b/>
                <w:sz w:val="19"/>
              </w:rPr>
              <w:t>Pertinence / priorites nationales</w:t>
            </w:r>
          </w:p>
        </w:tc>
        <w:tc>
          <w:tcPr>
            <w:tcW w:type="dxa" w:w="1701"/>
            <w:shd w:val="clear" w:color="auto" w:fill="FFFFFF"/>
          </w:tcPr>
          <w:p>
            <w:r>
              <w:rPr>
                <w:sz w:val="19"/>
              </w:rPr>
              <w:t>ELEVE</w:t>
            </w:r>
          </w:p>
        </w:tc>
        <w:tc>
          <w:tcPr>
            <w:tcW w:type="dxa" w:w="5102"/>
            <w:shd w:val="clear" w:color="auto" w:fill="FFFFFF"/>
          </w:tcPr>
          <w:p>
            <w:r>
              <w:rPr>
                <w:sz w:val="19"/>
              </w:rPr>
              <w:t>Ancrage PAG et PNE ; initiative presidentielle ; prolongation 2025 confirmee</w:t>
            </w:r>
          </w:p>
        </w:tc>
      </w:tr>
      <w:tr>
        <w:tc>
          <w:tcPr>
            <w:tcW w:type="dxa" w:w="2835"/>
            <w:shd w:val="clear" w:color="auto" w:fill="F2F2F2"/>
          </w:tcPr>
          <w:p>
            <w:r>
              <w:rPr>
                <w:b/>
                <w:sz w:val="19"/>
              </w:rPr>
              <w:t>Pertinence / conception</w:t>
            </w:r>
          </w:p>
        </w:tc>
        <w:tc>
          <w:tcPr>
            <w:tcW w:type="dxa" w:w="1701"/>
            <w:shd w:val="clear" w:color="auto" w:fill="F2F2F2"/>
          </w:tcPr>
          <w:p>
            <w:r>
              <w:rPr>
                <w:sz w:val="19"/>
              </w:rPr>
              <w:t>ELEVE</w:t>
            </w:r>
          </w:p>
        </w:tc>
        <w:tc>
          <w:tcPr>
            <w:tcW w:type="dxa" w:w="5102"/>
            <w:shd w:val="clear" w:color="auto" w:fill="F2F2F2"/>
          </w:tcPr>
          <w:p>
            <w:r>
              <w:rPr>
                <w:sz w:val="19"/>
              </w:rPr>
              <w:t>Modele centre entreprises innovant ; duree 24 mois adaptee ; tiers-payant securise</w:t>
            </w:r>
          </w:p>
        </w:tc>
      </w:tr>
      <w:tr>
        <w:tc>
          <w:tcPr>
            <w:tcW w:type="dxa" w:w="2835"/>
            <w:shd w:val="clear" w:color="auto" w:fill="FFFFFF"/>
          </w:tcPr>
          <w:p>
            <w:r>
              <w:rPr>
                <w:b/>
                <w:sz w:val="19"/>
              </w:rPr>
              <w:t>JUGEMENT GLOBAL</w:t>
            </w:r>
          </w:p>
        </w:tc>
        <w:tc>
          <w:tcPr>
            <w:tcW w:type="dxa" w:w="1701"/>
            <w:shd w:val="clear" w:color="auto" w:fill="FFFFFF"/>
          </w:tcPr>
          <w:p>
            <w:r>
              <w:rPr>
                <w:sz w:val="19"/>
              </w:rPr>
              <w:t>ELEVE</w:t>
            </w:r>
          </w:p>
        </w:tc>
        <w:tc>
          <w:tcPr>
            <w:tcW w:type="dxa" w:w="5102"/>
            <w:shd w:val="clear" w:color="auto" w:fill="FFFFFF"/>
          </w:tcPr>
          <w:p>
            <w:r>
              <w:rPr>
                <w:sz w:val="19"/>
              </w:rPr>
              <w:t>Le PSIE correspond precisement aux besoins, aux priorites et au contexte beninois</w:t>
            </w:r>
          </w:p>
        </w:tc>
      </w:tr>
    </w:tbl>
    <w:p/>
    <w:p>
      <w:r>
        <w:br w:type="page"/>
      </w:r>
    </w:p>
    <w:p>
      <w:pPr>
        <w:pStyle w:val="Heading1"/>
      </w:pPr>
      <w:r>
        <w:rPr>
          <w:rFonts w:ascii="Calibri" w:hAnsi="Calibri"/>
          <w:color w:val="1F3864"/>
        </w:rPr>
        <w:t>4. CRITERE 2 - COHERENCE</w:t>
      </w:r>
    </w:p>
    <w:p>
      <w:pPr>
        <w:ind w:left="567" w:right="567"/>
      </w:pPr>
      <w:r>
        <w:rPr>
          <w:i/>
          <w:color w:val="444444"/>
        </w:rPr>
        <w:t>Definition OCDE/CAD : La coherence est la compatibilite de l'intervention avec d'autres interventions d'un pays, d'un secteur ou d'une institution.</w:t>
      </w:r>
    </w:p>
    <w:p/>
    <w:p>
      <w:pPr>
        <w:pStyle w:val="Heading2"/>
      </w:pPr>
      <w:r>
        <w:rPr>
          <w:rFonts w:ascii="Calibri" w:hAnsi="Calibri"/>
          <w:color w:val="2E74B5"/>
        </w:rPr>
        <w:t>4.1 Coherence interne - Grille salariale (evolution 2020-2025)</w:t>
      </w:r>
    </w:p>
    <w:tbl>
      <w:tblPr>
        <w:tblStyle w:val="TableGrid"/>
        <w:tblW w:type="auto" w:w="0"/>
        <w:tblLook w:firstColumn="1" w:firstRow="1" w:lastColumn="0" w:lastRow="0" w:noHBand="0" w:noVBand="1" w:val="04A0"/>
      </w:tblPr>
      <w:tblGrid>
        <w:gridCol w:w="3079"/>
        <w:gridCol w:w="3079"/>
        <w:gridCol w:w="3079"/>
      </w:tblGrid>
      <w:tr>
        <w:tc>
          <w:tcPr>
            <w:tcW w:type="dxa" w:w="3969"/>
            <w:shd w:val="clear" w:color="auto" w:fill="1F3864"/>
          </w:tcPr>
          <w:p>
            <w:r>
              <w:rPr>
                <w:b/>
                <w:color w:val="FFFFFF"/>
                <w:sz w:val="19"/>
              </w:rPr>
              <w:t>Niveau de qualification</w:t>
            </w:r>
          </w:p>
        </w:tc>
        <w:tc>
          <w:tcPr>
            <w:tcW w:type="dxa" w:w="2835"/>
            <w:shd w:val="clear" w:color="auto" w:fill="1F3864"/>
          </w:tcPr>
          <w:p>
            <w:r>
              <w:rPr>
                <w:b/>
                <w:color w:val="FFFFFF"/>
                <w:sz w:val="19"/>
              </w:rPr>
              <w:t>Salaire net Prodoc 2020</w:t>
            </w:r>
          </w:p>
        </w:tc>
        <w:tc>
          <w:tcPr>
            <w:tcW w:type="dxa" w:w="2835"/>
            <w:shd w:val="clear" w:color="auto" w:fill="1F3864"/>
          </w:tcPr>
          <w:p>
            <w:r>
              <w:rPr>
                <w:b/>
                <w:color w:val="FFFFFF"/>
                <w:sz w:val="19"/>
              </w:rPr>
              <w:t>Salaire net applique (2025)</w:t>
            </w:r>
          </w:p>
        </w:tc>
      </w:tr>
      <w:tr>
        <w:tc>
          <w:tcPr>
            <w:tcW w:type="dxa" w:w="3969"/>
            <w:shd w:val="clear" w:color="auto" w:fill="F2F2F2"/>
          </w:tcPr>
          <w:p>
            <w:r>
              <w:rPr>
                <w:b/>
                <w:sz w:val="19"/>
              </w:rPr>
              <w:t>BAC professionnel</w:t>
            </w:r>
          </w:p>
        </w:tc>
        <w:tc>
          <w:tcPr>
            <w:tcW w:type="dxa" w:w="2835"/>
            <w:shd w:val="clear" w:color="auto" w:fill="F2F2F2"/>
          </w:tcPr>
          <w:p>
            <w:r>
              <w:rPr>
                <w:sz w:val="19"/>
              </w:rPr>
              <w:t>100 000 FCFA</w:t>
            </w:r>
          </w:p>
        </w:tc>
        <w:tc>
          <w:tcPr>
            <w:tcW w:type="dxa" w:w="2835"/>
            <w:shd w:val="clear" w:color="auto" w:fill="F2F2F2"/>
          </w:tcPr>
          <w:p>
            <w:r>
              <w:rPr>
                <w:sz w:val="19"/>
              </w:rPr>
              <w:t>100 000 FCFA</w:t>
            </w:r>
          </w:p>
        </w:tc>
      </w:tr>
      <w:tr>
        <w:tc>
          <w:tcPr>
            <w:tcW w:type="dxa" w:w="3969"/>
            <w:shd w:val="clear" w:color="auto" w:fill="FFFFFF"/>
          </w:tcPr>
          <w:p>
            <w:r>
              <w:rPr>
                <w:b/>
                <w:sz w:val="19"/>
              </w:rPr>
              <w:t>BTS/DUT - BAC+2</w:t>
            </w:r>
          </w:p>
        </w:tc>
        <w:tc>
          <w:tcPr>
            <w:tcW w:type="dxa" w:w="2835"/>
            <w:shd w:val="clear" w:color="auto" w:fill="FFFFFF"/>
          </w:tcPr>
          <w:p>
            <w:r>
              <w:rPr>
                <w:sz w:val="19"/>
              </w:rPr>
              <w:t>125 000 FCFA</w:t>
            </w:r>
          </w:p>
        </w:tc>
        <w:tc>
          <w:tcPr>
            <w:tcW w:type="dxa" w:w="2835"/>
            <w:shd w:val="clear" w:color="auto" w:fill="FFFFFF"/>
          </w:tcPr>
          <w:p>
            <w:r>
              <w:rPr>
                <w:sz w:val="19"/>
              </w:rPr>
              <w:t>150 000 FCFA</w:t>
            </w:r>
          </w:p>
        </w:tc>
      </w:tr>
      <w:tr>
        <w:tc>
          <w:tcPr>
            <w:tcW w:type="dxa" w:w="3969"/>
            <w:shd w:val="clear" w:color="auto" w:fill="F2F2F2"/>
          </w:tcPr>
          <w:p>
            <w:r>
              <w:rPr>
                <w:b/>
                <w:sz w:val="19"/>
              </w:rPr>
              <w:t>DTS/Licence - BAC+3</w:t>
            </w:r>
          </w:p>
        </w:tc>
        <w:tc>
          <w:tcPr>
            <w:tcW w:type="dxa" w:w="2835"/>
            <w:shd w:val="clear" w:color="auto" w:fill="F2F2F2"/>
          </w:tcPr>
          <w:p>
            <w:r>
              <w:rPr>
                <w:sz w:val="19"/>
              </w:rPr>
              <w:t>150 000 FCFA</w:t>
            </w:r>
          </w:p>
        </w:tc>
        <w:tc>
          <w:tcPr>
            <w:tcW w:type="dxa" w:w="2835"/>
            <w:shd w:val="clear" w:color="auto" w:fill="F2F2F2"/>
          </w:tcPr>
          <w:p>
            <w:r>
              <w:rPr>
                <w:sz w:val="19"/>
              </w:rPr>
              <w:t>175 000 FCFA</w:t>
            </w:r>
          </w:p>
        </w:tc>
      </w:tr>
      <w:tr>
        <w:tc>
          <w:tcPr>
            <w:tcW w:type="dxa" w:w="3969"/>
            <w:shd w:val="clear" w:color="auto" w:fill="FFFFFF"/>
          </w:tcPr>
          <w:p>
            <w:r>
              <w:rPr>
                <w:b/>
                <w:sz w:val="19"/>
              </w:rPr>
              <w:t>Master/Ingenieur - BAC+5</w:t>
            </w:r>
          </w:p>
        </w:tc>
        <w:tc>
          <w:tcPr>
            <w:tcW w:type="dxa" w:w="2835"/>
            <w:shd w:val="clear" w:color="auto" w:fill="FFFFFF"/>
          </w:tcPr>
          <w:p>
            <w:r>
              <w:rPr>
                <w:sz w:val="19"/>
              </w:rPr>
              <w:t>200 000 FCFA</w:t>
            </w:r>
          </w:p>
        </w:tc>
        <w:tc>
          <w:tcPr>
            <w:tcW w:type="dxa" w:w="2835"/>
            <w:shd w:val="clear" w:color="auto" w:fill="FFFFFF"/>
          </w:tcPr>
          <w:p>
            <w:r>
              <w:rPr>
                <w:sz w:val="19"/>
              </w:rPr>
              <w:t>250 000 FCFA</w:t>
            </w:r>
          </w:p>
        </w:tc>
      </w:tr>
    </w:tbl>
    <w:p/>
    <w:p>
      <w:r>
        <w:rPr>
          <w:b w:val="0"/>
          <w:i/>
          <w:sz w:val="21"/>
        </w:rPr>
        <w:t>Note : Cette revision (+20-25 %) n'est pas documentee par un avenant formel dans les sources disponibles, ce qui cree un ecart non trace par rapport au budget initial.</w:t>
      </w:r>
    </w:p>
    <w:p>
      <w:pPr>
        <w:pStyle w:val="Heading2"/>
      </w:pPr>
      <w:r>
        <w:rPr>
          <w:rFonts w:ascii="Calibri" w:hAnsi="Calibri"/>
          <w:color w:val="2E74B5"/>
        </w:rPr>
        <w:t>4.2 Coherence externe - avec les politiques et institutions nationales</w:t>
      </w:r>
    </w:p>
    <w:tbl>
      <w:tblPr>
        <w:tblStyle w:val="TableGrid"/>
        <w:tblW w:type="auto" w:w="0"/>
        <w:tblLook w:firstColumn="1" w:firstRow="1" w:lastColumn="0" w:lastRow="0" w:noHBand="0" w:noVBand="1" w:val="04A0"/>
      </w:tblPr>
      <w:tblGrid>
        <w:gridCol w:w="4618"/>
        <w:gridCol w:w="4618"/>
      </w:tblGrid>
      <w:tr>
        <w:tc>
          <w:tcPr>
            <w:tcW w:type="dxa" w:w="2835"/>
            <w:shd w:val="clear" w:color="auto" w:fill="1F3864"/>
          </w:tcPr>
          <w:p>
            <w:r>
              <w:rPr>
                <w:b/>
                <w:color w:val="FFFFFF"/>
                <w:sz w:val="19"/>
              </w:rPr>
              <w:t>Programme / Institution</w:t>
            </w:r>
          </w:p>
        </w:tc>
        <w:tc>
          <w:tcPr>
            <w:tcW w:type="dxa" w:w="6803"/>
            <w:shd w:val="clear" w:color="auto" w:fill="1F3864"/>
          </w:tcPr>
          <w:p>
            <w:r>
              <w:rPr>
                <w:b/>
                <w:color w:val="FFFFFF"/>
                <w:sz w:val="19"/>
              </w:rPr>
              <w:t>Nature de la relation</w:t>
            </w:r>
          </w:p>
        </w:tc>
      </w:tr>
      <w:tr>
        <w:tc>
          <w:tcPr>
            <w:tcW w:type="dxa" w:w="2835"/>
            <w:shd w:val="clear" w:color="auto" w:fill="F2F2F2"/>
          </w:tcPr>
          <w:p>
            <w:r>
              <w:rPr>
                <w:b/>
                <w:sz w:val="19"/>
              </w:rPr>
              <w:t>PAG 2016-2021 / 2021-2026</w:t>
            </w:r>
          </w:p>
        </w:tc>
        <w:tc>
          <w:tcPr>
            <w:tcW w:type="dxa" w:w="6803"/>
            <w:shd w:val="clear" w:color="auto" w:fill="F2F2F2"/>
          </w:tcPr>
          <w:p>
            <w:r>
              <w:rPr>
                <w:sz w:val="19"/>
              </w:rPr>
              <w:t>Complementaire - Le PSIE operationnalise l'engagement du PAG sur l'emploi des jeunes</w:t>
            </w:r>
          </w:p>
        </w:tc>
      </w:tr>
      <w:tr>
        <w:tc>
          <w:tcPr>
            <w:tcW w:type="dxa" w:w="2835"/>
            <w:shd w:val="clear" w:color="auto" w:fill="FFFFFF"/>
          </w:tcPr>
          <w:p>
            <w:r>
              <w:rPr>
                <w:b/>
                <w:sz w:val="19"/>
              </w:rPr>
              <w:t>PNE 2017-2026</w:t>
            </w:r>
          </w:p>
        </w:tc>
        <w:tc>
          <w:tcPr>
            <w:tcW w:type="dxa" w:w="6803"/>
            <w:shd w:val="clear" w:color="auto" w:fill="FFFFFF"/>
          </w:tcPr>
          <w:p>
            <w:r>
              <w:rPr>
                <w:sz w:val="19"/>
              </w:rPr>
              <w:t>Complementaire - Les consultations employeurs de la PNE ont alimente la conception du PSIE</w:t>
            </w:r>
          </w:p>
        </w:tc>
      </w:tr>
      <w:tr>
        <w:tc>
          <w:tcPr>
            <w:tcW w:type="dxa" w:w="2835"/>
            <w:shd w:val="clear" w:color="auto" w:fill="F2F2F2"/>
          </w:tcPr>
          <w:p>
            <w:r>
              <w:rPr>
                <w:b/>
                <w:sz w:val="19"/>
              </w:rPr>
              <w:t>ANPE</w:t>
            </w:r>
          </w:p>
        </w:tc>
        <w:tc>
          <w:tcPr>
            <w:tcW w:type="dxa" w:w="6803"/>
            <w:shd w:val="clear" w:color="auto" w:fill="F2F2F2"/>
          </w:tcPr>
          <w:p>
            <w:r>
              <w:rPr>
                <w:sz w:val="19"/>
              </w:rPr>
              <w:t>Synergie forte - Agence d'execution ; plateforme, RH et reseau mutualises</w:t>
            </w:r>
          </w:p>
        </w:tc>
      </w:tr>
      <w:tr>
        <w:tc>
          <w:tcPr>
            <w:tcW w:type="dxa" w:w="2835"/>
            <w:shd w:val="clear" w:color="auto" w:fill="FFFFFF"/>
          </w:tcPr>
          <w:p>
            <w:r>
              <w:rPr>
                <w:b/>
                <w:sz w:val="19"/>
              </w:rPr>
              <w:t>PAES (2009-2011)</w:t>
            </w:r>
          </w:p>
        </w:tc>
        <w:tc>
          <w:tcPr>
            <w:tcW w:type="dxa" w:w="6803"/>
            <w:shd w:val="clear" w:color="auto" w:fill="FFFFFF"/>
          </w:tcPr>
          <w:p>
            <w:r>
              <w:rPr>
                <w:sz w:val="19"/>
              </w:rPr>
              <w:t>Precedent capitalise - Le PSIE ameliore le modele PAES (24 mois, subvention 100 %)</w:t>
            </w:r>
          </w:p>
        </w:tc>
      </w:tr>
      <w:tr>
        <w:tc>
          <w:tcPr>
            <w:tcW w:type="dxa" w:w="2835"/>
            <w:shd w:val="clear" w:color="auto" w:fill="F2F2F2"/>
          </w:tcPr>
          <w:p>
            <w:r>
              <w:rPr>
                <w:b/>
                <w:sz w:val="19"/>
              </w:rPr>
              <w:t>CNSS</w:t>
            </w:r>
          </w:p>
        </w:tc>
        <w:tc>
          <w:tcPr>
            <w:tcW w:type="dxa" w:w="6803"/>
            <w:shd w:val="clear" w:color="auto" w:fill="F2F2F2"/>
          </w:tcPr>
          <w:p>
            <w:r>
              <w:rPr>
                <w:sz w:val="19"/>
              </w:rPr>
              <w:t>Integration - Allocataires affilies a la CNSS comme tout salarie du secteur prive</w:t>
            </w:r>
          </w:p>
        </w:tc>
      </w:tr>
      <w:tr>
        <w:tc>
          <w:tcPr>
            <w:tcW w:type="dxa" w:w="2835"/>
            <w:shd w:val="clear" w:color="auto" w:fill="FFFFFF"/>
          </w:tcPr>
          <w:p>
            <w:r>
              <w:rPr>
                <w:b/>
                <w:sz w:val="19"/>
              </w:rPr>
              <w:t>CCIB</w:t>
            </w:r>
          </w:p>
        </w:tc>
        <w:tc>
          <w:tcPr>
            <w:tcW w:type="dxa" w:w="6803"/>
            <w:shd w:val="clear" w:color="auto" w:fill="FFFFFF"/>
          </w:tcPr>
          <w:p>
            <w:r>
              <w:rPr>
                <w:sz w:val="19"/>
              </w:rPr>
              <w:t>Partenaire operationnel - Salles d'interviews</w:t>
            </w:r>
          </w:p>
        </w:tc>
      </w:tr>
      <w:tr>
        <w:tc>
          <w:tcPr>
            <w:tcW w:type="dxa" w:w="2835"/>
            <w:shd w:val="clear" w:color="auto" w:fill="F2F2F2"/>
          </w:tcPr>
          <w:p>
            <w:r>
              <w:rPr>
                <w:b/>
                <w:sz w:val="19"/>
              </w:rPr>
              <w:t>GDIZ (Glo-Djigbe)</w:t>
            </w:r>
          </w:p>
        </w:tc>
        <w:tc>
          <w:tcPr>
            <w:tcW w:type="dxa" w:w="6803"/>
            <w:shd w:val="clear" w:color="auto" w:fill="F2F2F2"/>
          </w:tcPr>
          <w:p>
            <w:r>
              <w:rPr>
                <w:sz w:val="19"/>
              </w:rPr>
              <w:t>Articulation emergente - Demande croissante depuis 2024</w:t>
            </w:r>
          </w:p>
        </w:tc>
      </w:tr>
    </w:tbl>
    <w:p/>
    <w:p>
      <w:pPr>
        <w:pStyle w:val="Heading2"/>
      </w:pPr>
      <w:r>
        <w:rPr>
          <w:rFonts w:ascii="Calibri" w:hAnsi="Calibri"/>
          <w:color w:val="2E74B5"/>
        </w:rPr>
        <w:t>4.3 Jugement evaluatif - Coherence</w:t>
      </w:r>
    </w:p>
    <w:tbl>
      <w:tblPr>
        <w:tblStyle w:val="TableGrid"/>
        <w:tblW w:type="auto" w:w="0"/>
        <w:tblLook w:firstColumn="1" w:firstRow="1" w:lastColumn="0" w:lastRow="0" w:noHBand="0" w:noVBand="1" w:val="04A0"/>
      </w:tblPr>
      <w:tblGrid>
        <w:gridCol w:w="3079"/>
        <w:gridCol w:w="3079"/>
        <w:gridCol w:w="3079"/>
      </w:tblGrid>
      <w:tr>
        <w:tc>
          <w:tcPr>
            <w:tcW w:type="dxa" w:w="2835"/>
            <w:shd w:val="clear" w:color="auto" w:fill="1F3864"/>
          </w:tcPr>
          <w:p>
            <w:r>
              <w:rPr>
                <w:b/>
                <w:color w:val="FFFFFF"/>
                <w:sz w:val="19"/>
              </w:rPr>
              <w:t>Dimension</w:t>
            </w:r>
          </w:p>
        </w:tc>
        <w:tc>
          <w:tcPr>
            <w:tcW w:type="dxa" w:w="1701"/>
            <w:shd w:val="clear" w:color="auto" w:fill="1F3864"/>
          </w:tcPr>
          <w:p>
            <w:r>
              <w:rPr>
                <w:b/>
                <w:color w:val="FFFFFF"/>
                <w:sz w:val="19"/>
              </w:rPr>
              <w:t>Jugement</w:t>
            </w:r>
          </w:p>
        </w:tc>
        <w:tc>
          <w:tcPr>
            <w:tcW w:type="dxa" w:w="5102"/>
            <w:shd w:val="clear" w:color="auto" w:fill="1F3864"/>
          </w:tcPr>
          <w:p>
            <w:r>
              <w:rPr>
                <w:b/>
                <w:color w:val="FFFFFF"/>
                <w:sz w:val="19"/>
              </w:rPr>
              <w:t>Justification</w:t>
            </w:r>
          </w:p>
        </w:tc>
      </w:tr>
      <w:tr>
        <w:tc>
          <w:tcPr>
            <w:tcW w:type="dxa" w:w="2835"/>
            <w:shd w:val="clear" w:color="auto" w:fill="F2F2F2"/>
          </w:tcPr>
          <w:p>
            <w:r>
              <w:rPr>
                <w:b/>
                <w:sz w:val="19"/>
              </w:rPr>
              <w:t>Coherence interne</w:t>
            </w:r>
          </w:p>
        </w:tc>
        <w:tc>
          <w:tcPr>
            <w:tcW w:type="dxa" w:w="1701"/>
            <w:shd w:val="clear" w:color="auto" w:fill="F2F2F2"/>
          </w:tcPr>
          <w:p>
            <w:r>
              <w:rPr>
                <w:sz w:val="19"/>
              </w:rPr>
              <w:t>ELEVE</w:t>
            </w:r>
          </w:p>
        </w:tc>
        <w:tc>
          <w:tcPr>
            <w:tcW w:type="dxa" w:w="5102"/>
            <w:shd w:val="clear" w:color="auto" w:fill="F2F2F2"/>
          </w:tcPr>
          <w:p>
            <w:r>
              <w:rPr>
                <w:sz w:val="19"/>
              </w:rPr>
              <w:t>Chaine de resultats claire ; hypotheses critiques explicitees</w:t>
            </w:r>
          </w:p>
        </w:tc>
      </w:tr>
      <w:tr>
        <w:tc>
          <w:tcPr>
            <w:tcW w:type="dxa" w:w="2835"/>
            <w:shd w:val="clear" w:color="auto" w:fill="FFFFFF"/>
          </w:tcPr>
          <w:p>
            <w:r>
              <w:rPr>
                <w:b/>
                <w:sz w:val="19"/>
              </w:rPr>
              <w:t>Coherence externe (politiques)</w:t>
            </w:r>
          </w:p>
        </w:tc>
        <w:tc>
          <w:tcPr>
            <w:tcW w:type="dxa" w:w="1701"/>
            <w:shd w:val="clear" w:color="auto" w:fill="FFFFFF"/>
          </w:tcPr>
          <w:p>
            <w:r>
              <w:rPr>
                <w:sz w:val="19"/>
              </w:rPr>
              <w:t>ELEVE</w:t>
            </w:r>
          </w:p>
        </w:tc>
        <w:tc>
          <w:tcPr>
            <w:tcW w:type="dxa" w:w="5102"/>
            <w:shd w:val="clear" w:color="auto" w:fill="FFFFFF"/>
          </w:tcPr>
          <w:p>
            <w:r>
              <w:rPr>
                <w:sz w:val="19"/>
              </w:rPr>
              <w:t>Ancrage ANPE, PAG, PNE ; absence de doublons documentes</w:t>
            </w:r>
          </w:p>
        </w:tc>
      </w:tr>
      <w:tr>
        <w:tc>
          <w:tcPr>
            <w:tcW w:type="dxa" w:w="2835"/>
            <w:shd w:val="clear" w:color="auto" w:fill="F2F2F2"/>
          </w:tcPr>
          <w:p>
            <w:r>
              <w:rPr>
                <w:b/>
                <w:sz w:val="19"/>
              </w:rPr>
              <w:t>Coherence institutionnelle</w:t>
            </w:r>
          </w:p>
        </w:tc>
        <w:tc>
          <w:tcPr>
            <w:tcW w:type="dxa" w:w="1701"/>
            <w:shd w:val="clear" w:color="auto" w:fill="F2F2F2"/>
          </w:tcPr>
          <w:p>
            <w:r>
              <w:rPr>
                <w:sz w:val="19"/>
              </w:rPr>
              <w:t>ELEVE</w:t>
            </w:r>
          </w:p>
        </w:tc>
        <w:tc>
          <w:tcPr>
            <w:tcW w:type="dxa" w:w="5102"/>
            <w:shd w:val="clear" w:color="auto" w:fill="F2F2F2"/>
          </w:tcPr>
          <w:p>
            <w:r>
              <w:rPr>
                <w:sz w:val="19"/>
              </w:rPr>
              <w:t>Integration PTA ANPE ; utilisation structures existantes</w:t>
            </w:r>
          </w:p>
        </w:tc>
      </w:tr>
      <w:tr>
        <w:tc>
          <w:tcPr>
            <w:tcW w:type="dxa" w:w="2835"/>
            <w:shd w:val="clear" w:color="auto" w:fill="FFFFFF"/>
          </w:tcPr>
          <w:p>
            <w:r>
              <w:rPr>
                <w:b/>
                <w:sz w:val="19"/>
              </w:rPr>
              <w:t>JUGEMENT GLOBAL</w:t>
            </w:r>
          </w:p>
        </w:tc>
        <w:tc>
          <w:tcPr>
            <w:tcW w:type="dxa" w:w="1701"/>
            <w:shd w:val="clear" w:color="auto" w:fill="FFFFFF"/>
          </w:tcPr>
          <w:p>
            <w:r>
              <w:rPr>
                <w:sz w:val="19"/>
              </w:rPr>
              <w:t>ELEVE</w:t>
            </w:r>
          </w:p>
        </w:tc>
        <w:tc>
          <w:tcPr>
            <w:tcW w:type="dxa" w:w="5102"/>
            <w:shd w:val="clear" w:color="auto" w:fill="FFFFFF"/>
          </w:tcPr>
          <w:p>
            <w:r>
              <w:rPr>
                <w:sz w:val="19"/>
              </w:rPr>
              <w:t>Le PSIE est bien integre dans le paysage institutionnel et politique beninois</w:t>
            </w:r>
          </w:p>
        </w:tc>
      </w:tr>
    </w:tbl>
    <w:p/>
    <w:p>
      <w:r>
        <w:br w:type="page"/>
      </w:r>
    </w:p>
    <w:p>
      <w:pPr>
        <w:pStyle w:val="Heading1"/>
      </w:pPr>
      <w:r>
        <w:rPr>
          <w:rFonts w:ascii="Calibri" w:hAnsi="Calibri"/>
          <w:color w:val="1F3864"/>
        </w:rPr>
        <w:t>5. CRITERE 3 - EFFICACITE</w:t>
      </w:r>
    </w:p>
    <w:p>
      <w:pPr>
        <w:ind w:left="567" w:right="567"/>
      </w:pPr>
      <w:r>
        <w:rPr>
          <w:i/>
          <w:color w:val="444444"/>
        </w:rPr>
        <w:t>Definition OCDE/CAD : L'efficacite est la mesure dans laquelle une intervention a atteint ses objectifs, ou est en voie de les atteindre, compte tenu de leur importance relative.</w:t>
      </w:r>
    </w:p>
    <w:p/>
    <w:p>
      <w:pPr>
        <w:pStyle w:val="Heading2"/>
      </w:pPr>
      <w:r>
        <w:rPr>
          <w:rFonts w:ascii="Calibri" w:hAnsi="Calibri"/>
          <w:color w:val="2E74B5"/>
        </w:rPr>
        <w:t>5.1 Evolution annuelle des insertions (2020-2025)</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2268"/>
            <w:shd w:val="clear" w:color="auto" w:fill="1F3864"/>
          </w:tcPr>
          <w:p>
            <w:r>
              <w:rPr>
                <w:b/>
                <w:color w:val="FFFFFF"/>
                <w:sz w:val="19"/>
              </w:rPr>
              <w:t>Annee</w:t>
            </w:r>
          </w:p>
        </w:tc>
        <w:tc>
          <w:tcPr>
            <w:tcW w:type="dxa" w:w="2268"/>
            <w:shd w:val="clear" w:color="auto" w:fill="1F3864"/>
          </w:tcPr>
          <w:p>
            <w:r>
              <w:rPr>
                <w:b/>
                <w:color w:val="FFFFFF"/>
                <w:sz w:val="19"/>
              </w:rPr>
              <w:t>Allocataires inseres</w:t>
            </w:r>
          </w:p>
        </w:tc>
        <w:tc>
          <w:tcPr>
            <w:tcW w:type="dxa" w:w="1701"/>
            <w:shd w:val="clear" w:color="auto" w:fill="1F3864"/>
          </w:tcPr>
          <w:p>
            <w:r>
              <w:rPr>
                <w:b/>
                <w:color w:val="FFFFFF"/>
                <w:sz w:val="19"/>
              </w:rPr>
              <w:t>Cumul</w:t>
            </w:r>
          </w:p>
        </w:tc>
        <w:tc>
          <w:tcPr>
            <w:tcW w:type="dxa" w:w="2268"/>
            <w:shd w:val="clear" w:color="auto" w:fill="1F3864"/>
          </w:tcPr>
          <w:p>
            <w:r>
              <w:rPr>
                <w:b/>
                <w:color w:val="FFFFFF"/>
                <w:sz w:val="19"/>
              </w:rPr>
              <w:t>Cible annuelle</w:t>
            </w:r>
          </w:p>
        </w:tc>
        <w:tc>
          <w:tcPr>
            <w:tcW w:type="dxa" w:w="1701"/>
            <w:shd w:val="clear" w:color="auto" w:fill="1F3864"/>
          </w:tcPr>
          <w:p>
            <w:r>
              <w:rPr>
                <w:b/>
                <w:color w:val="FFFFFF"/>
                <w:sz w:val="19"/>
              </w:rPr>
              <w:t>Taux</w:t>
            </w:r>
          </w:p>
        </w:tc>
      </w:tr>
      <w:tr>
        <w:tc>
          <w:tcPr>
            <w:tcW w:type="dxa" w:w="2268"/>
            <w:shd w:val="clear" w:color="auto" w:fill="F2F2F2"/>
          </w:tcPr>
          <w:p>
            <w:r>
              <w:rPr>
                <w:b/>
                <w:sz w:val="19"/>
              </w:rPr>
              <w:t>2020 (juil.-dec.)</w:t>
            </w:r>
          </w:p>
        </w:tc>
        <w:tc>
          <w:tcPr>
            <w:tcW w:type="dxa" w:w="2268"/>
            <w:shd w:val="clear" w:color="auto" w:fill="F2F2F2"/>
          </w:tcPr>
          <w:p>
            <w:r>
              <w:rPr>
                <w:sz w:val="19"/>
              </w:rPr>
              <w:t>44</w:t>
            </w:r>
          </w:p>
        </w:tc>
        <w:tc>
          <w:tcPr>
            <w:tcW w:type="dxa" w:w="1701"/>
            <w:shd w:val="clear" w:color="auto" w:fill="F2F2F2"/>
          </w:tcPr>
          <w:p>
            <w:r>
              <w:rPr>
                <w:sz w:val="19"/>
              </w:rPr>
              <w:t>44</w:t>
            </w:r>
          </w:p>
        </w:tc>
        <w:tc>
          <w:tcPr>
            <w:tcW w:type="dxa" w:w="2268"/>
            <w:shd w:val="clear" w:color="auto" w:fill="F2F2F2"/>
          </w:tcPr>
          <w:p>
            <w:r>
              <w:rPr>
                <w:sz w:val="19"/>
              </w:rPr>
              <w:t>2 000</w:t>
            </w:r>
          </w:p>
        </w:tc>
        <w:tc>
          <w:tcPr>
            <w:tcW w:type="dxa" w:w="1701"/>
            <w:shd w:val="clear" w:color="auto" w:fill="F2F2F2"/>
          </w:tcPr>
          <w:p>
            <w:r>
              <w:rPr>
                <w:sz w:val="19"/>
              </w:rPr>
              <w:t>2,2 %</w:t>
            </w:r>
          </w:p>
        </w:tc>
      </w:tr>
      <w:tr>
        <w:tc>
          <w:tcPr>
            <w:tcW w:type="dxa" w:w="2268"/>
            <w:shd w:val="clear" w:color="auto" w:fill="FFFFFF"/>
          </w:tcPr>
          <w:p>
            <w:r>
              <w:rPr>
                <w:b/>
                <w:sz w:val="19"/>
              </w:rPr>
              <w:t>2021</w:t>
            </w:r>
          </w:p>
        </w:tc>
        <w:tc>
          <w:tcPr>
            <w:tcW w:type="dxa" w:w="2268"/>
            <w:shd w:val="clear" w:color="auto" w:fill="FFFFFF"/>
          </w:tcPr>
          <w:p>
            <w:r>
              <w:rPr>
                <w:sz w:val="19"/>
              </w:rPr>
              <w:t>582</w:t>
            </w:r>
          </w:p>
        </w:tc>
        <w:tc>
          <w:tcPr>
            <w:tcW w:type="dxa" w:w="1701"/>
            <w:shd w:val="clear" w:color="auto" w:fill="FFFFFF"/>
          </w:tcPr>
          <w:p>
            <w:r>
              <w:rPr>
                <w:sz w:val="19"/>
              </w:rPr>
              <w:t>626</w:t>
            </w:r>
          </w:p>
        </w:tc>
        <w:tc>
          <w:tcPr>
            <w:tcW w:type="dxa" w:w="2268"/>
            <w:shd w:val="clear" w:color="auto" w:fill="FFFFFF"/>
          </w:tcPr>
          <w:p>
            <w:r>
              <w:rPr>
                <w:sz w:val="19"/>
              </w:rPr>
              <w:t>2 000</w:t>
            </w:r>
          </w:p>
        </w:tc>
        <w:tc>
          <w:tcPr>
            <w:tcW w:type="dxa" w:w="1701"/>
            <w:shd w:val="clear" w:color="auto" w:fill="FFFFFF"/>
          </w:tcPr>
          <w:p>
            <w:r>
              <w:rPr>
                <w:sz w:val="19"/>
              </w:rPr>
              <w:t>29,1 %</w:t>
            </w:r>
          </w:p>
        </w:tc>
      </w:tr>
      <w:tr>
        <w:tc>
          <w:tcPr>
            <w:tcW w:type="dxa" w:w="2268"/>
            <w:shd w:val="clear" w:color="auto" w:fill="F2F2F2"/>
          </w:tcPr>
          <w:p>
            <w:r>
              <w:rPr>
                <w:b/>
                <w:sz w:val="19"/>
              </w:rPr>
              <w:t>2022</w:t>
            </w:r>
          </w:p>
        </w:tc>
        <w:tc>
          <w:tcPr>
            <w:tcW w:type="dxa" w:w="2268"/>
            <w:shd w:val="clear" w:color="auto" w:fill="F2F2F2"/>
          </w:tcPr>
          <w:p>
            <w:r>
              <w:rPr>
                <w:sz w:val="19"/>
              </w:rPr>
              <w:t>1 051</w:t>
            </w:r>
          </w:p>
        </w:tc>
        <w:tc>
          <w:tcPr>
            <w:tcW w:type="dxa" w:w="1701"/>
            <w:shd w:val="clear" w:color="auto" w:fill="F2F2F2"/>
          </w:tcPr>
          <w:p>
            <w:r>
              <w:rPr>
                <w:sz w:val="19"/>
              </w:rPr>
              <w:t>1 677</w:t>
            </w:r>
          </w:p>
        </w:tc>
        <w:tc>
          <w:tcPr>
            <w:tcW w:type="dxa" w:w="2268"/>
            <w:shd w:val="clear" w:color="auto" w:fill="F2F2F2"/>
          </w:tcPr>
          <w:p>
            <w:r>
              <w:rPr>
                <w:sz w:val="19"/>
              </w:rPr>
              <w:t>2 000</w:t>
            </w:r>
          </w:p>
        </w:tc>
        <w:tc>
          <w:tcPr>
            <w:tcW w:type="dxa" w:w="1701"/>
            <w:shd w:val="clear" w:color="auto" w:fill="F2F2F2"/>
          </w:tcPr>
          <w:p>
            <w:r>
              <w:rPr>
                <w:sz w:val="19"/>
              </w:rPr>
              <w:t>52,6 %</w:t>
            </w:r>
          </w:p>
        </w:tc>
      </w:tr>
      <w:tr>
        <w:tc>
          <w:tcPr>
            <w:tcW w:type="dxa" w:w="2268"/>
            <w:shd w:val="clear" w:color="auto" w:fill="FFFFFF"/>
          </w:tcPr>
          <w:p>
            <w:r>
              <w:rPr>
                <w:b/>
                <w:sz w:val="19"/>
              </w:rPr>
              <w:t>2023</w:t>
            </w:r>
          </w:p>
        </w:tc>
        <w:tc>
          <w:tcPr>
            <w:tcW w:type="dxa" w:w="2268"/>
            <w:shd w:val="clear" w:color="auto" w:fill="FFFFFF"/>
          </w:tcPr>
          <w:p>
            <w:r>
              <w:rPr>
                <w:sz w:val="19"/>
              </w:rPr>
              <w:t>2 207</w:t>
            </w:r>
          </w:p>
        </w:tc>
        <w:tc>
          <w:tcPr>
            <w:tcW w:type="dxa" w:w="1701"/>
            <w:shd w:val="clear" w:color="auto" w:fill="FFFFFF"/>
          </w:tcPr>
          <w:p>
            <w:r>
              <w:rPr>
                <w:sz w:val="19"/>
              </w:rPr>
              <w:t>3 884</w:t>
            </w:r>
          </w:p>
        </w:tc>
        <w:tc>
          <w:tcPr>
            <w:tcW w:type="dxa" w:w="2268"/>
            <w:shd w:val="clear" w:color="auto" w:fill="FFFFFF"/>
          </w:tcPr>
          <w:p>
            <w:r>
              <w:rPr>
                <w:sz w:val="19"/>
              </w:rPr>
              <w:t>2 000</w:t>
            </w:r>
          </w:p>
        </w:tc>
        <w:tc>
          <w:tcPr>
            <w:tcW w:type="dxa" w:w="1701"/>
            <w:shd w:val="clear" w:color="auto" w:fill="FFFFFF"/>
          </w:tcPr>
          <w:p>
            <w:r>
              <w:rPr>
                <w:sz w:val="19"/>
              </w:rPr>
              <w:t>110,4 %</w:t>
            </w:r>
          </w:p>
        </w:tc>
      </w:tr>
      <w:tr>
        <w:tc>
          <w:tcPr>
            <w:tcW w:type="dxa" w:w="2268"/>
            <w:shd w:val="clear" w:color="auto" w:fill="F2F2F2"/>
          </w:tcPr>
          <w:p>
            <w:r>
              <w:rPr>
                <w:b/>
                <w:sz w:val="19"/>
              </w:rPr>
              <w:t>2024</w:t>
            </w:r>
          </w:p>
        </w:tc>
        <w:tc>
          <w:tcPr>
            <w:tcW w:type="dxa" w:w="2268"/>
            <w:shd w:val="clear" w:color="auto" w:fill="F2F2F2"/>
          </w:tcPr>
          <w:p>
            <w:r>
              <w:rPr>
                <w:sz w:val="19"/>
              </w:rPr>
              <w:t>3 246</w:t>
            </w:r>
          </w:p>
        </w:tc>
        <w:tc>
          <w:tcPr>
            <w:tcW w:type="dxa" w:w="1701"/>
            <w:shd w:val="clear" w:color="auto" w:fill="F2F2F2"/>
          </w:tcPr>
          <w:p>
            <w:r>
              <w:rPr>
                <w:sz w:val="19"/>
              </w:rPr>
              <w:t>7 130</w:t>
            </w:r>
          </w:p>
        </w:tc>
        <w:tc>
          <w:tcPr>
            <w:tcW w:type="dxa" w:w="2268"/>
            <w:shd w:val="clear" w:color="auto" w:fill="F2F2F2"/>
          </w:tcPr>
          <w:p>
            <w:r>
              <w:rPr>
                <w:sz w:val="19"/>
              </w:rPr>
              <w:t>2 000</w:t>
            </w:r>
          </w:p>
        </w:tc>
        <w:tc>
          <w:tcPr>
            <w:tcW w:type="dxa" w:w="1701"/>
            <w:shd w:val="clear" w:color="auto" w:fill="F2F2F2"/>
          </w:tcPr>
          <w:p>
            <w:r>
              <w:rPr>
                <w:sz w:val="19"/>
              </w:rPr>
              <w:t>162,3 %</w:t>
            </w:r>
          </w:p>
        </w:tc>
      </w:tr>
      <w:tr>
        <w:tc>
          <w:tcPr>
            <w:tcW w:type="dxa" w:w="2268"/>
            <w:shd w:val="clear" w:color="auto" w:fill="FFFFFF"/>
          </w:tcPr>
          <w:p>
            <w:r>
              <w:rPr>
                <w:b/>
                <w:sz w:val="19"/>
              </w:rPr>
              <w:t>2025 (jan.-sept.)</w:t>
            </w:r>
          </w:p>
        </w:tc>
        <w:tc>
          <w:tcPr>
            <w:tcW w:type="dxa" w:w="2268"/>
            <w:shd w:val="clear" w:color="auto" w:fill="FFFFFF"/>
          </w:tcPr>
          <w:p>
            <w:r>
              <w:rPr>
                <w:sz w:val="19"/>
              </w:rPr>
              <w:t>2 133</w:t>
            </w:r>
          </w:p>
        </w:tc>
        <w:tc>
          <w:tcPr>
            <w:tcW w:type="dxa" w:w="1701"/>
            <w:shd w:val="clear" w:color="auto" w:fill="FFFFFF"/>
          </w:tcPr>
          <w:p>
            <w:r>
              <w:rPr>
                <w:sz w:val="19"/>
              </w:rPr>
              <w:t>9 263</w:t>
            </w:r>
          </w:p>
        </w:tc>
        <w:tc>
          <w:tcPr>
            <w:tcW w:type="dxa" w:w="2268"/>
            <w:shd w:val="clear" w:color="auto" w:fill="FFFFFF"/>
          </w:tcPr>
          <w:p>
            <w:r>
              <w:rPr>
                <w:sz w:val="19"/>
              </w:rPr>
              <w:t>2 500</w:t>
            </w:r>
          </w:p>
        </w:tc>
        <w:tc>
          <w:tcPr>
            <w:tcW w:type="dxa" w:w="1701"/>
            <w:shd w:val="clear" w:color="auto" w:fill="FFFFFF"/>
          </w:tcPr>
          <w:p>
            <w:r>
              <w:rPr>
                <w:sz w:val="19"/>
              </w:rPr>
              <w:t>85,3 %</w:t>
            </w:r>
          </w:p>
        </w:tc>
      </w:tr>
    </w:tbl>
    <w:p/>
    <w:p>
      <w:pPr>
        <w:pStyle w:val="Heading2"/>
      </w:pPr>
      <w:r>
        <w:rPr>
          <w:rFonts w:ascii="Calibri" w:hAnsi="Calibri"/>
          <w:color w:val="2E74B5"/>
        </w:rPr>
        <w:t>5.2 Tableau de bord 2025 (au 30 septembre 2025)</w:t>
      </w:r>
    </w:p>
    <w:tbl>
      <w:tblPr>
        <w:tblStyle w:val="TableGrid"/>
        <w:tblW w:type="auto" w:w="0"/>
        <w:tblLook w:firstColumn="1" w:firstRow="1" w:lastColumn="0" w:lastRow="0" w:noHBand="0" w:noVBand="1" w:val="04A0"/>
      </w:tblPr>
      <w:tblGrid>
        <w:gridCol w:w="2309"/>
        <w:gridCol w:w="2309"/>
        <w:gridCol w:w="2309"/>
        <w:gridCol w:w="2309"/>
      </w:tblGrid>
      <w:tr>
        <w:tc>
          <w:tcPr>
            <w:tcW w:type="dxa" w:w="4535"/>
            <w:shd w:val="clear" w:color="auto" w:fill="1F3864"/>
          </w:tcPr>
          <w:p>
            <w:r>
              <w:rPr>
                <w:b/>
                <w:color w:val="FFFFFF"/>
                <w:sz w:val="19"/>
              </w:rPr>
              <w:t>Indicateur</w:t>
            </w:r>
          </w:p>
        </w:tc>
        <w:tc>
          <w:tcPr>
            <w:tcW w:type="dxa" w:w="2268"/>
            <w:shd w:val="clear" w:color="auto" w:fill="1F3864"/>
          </w:tcPr>
          <w:p>
            <w:r>
              <w:rPr>
                <w:b/>
                <w:color w:val="FFFFFF"/>
                <w:sz w:val="19"/>
              </w:rPr>
              <w:t>Prevision</w:t>
            </w:r>
          </w:p>
        </w:tc>
        <w:tc>
          <w:tcPr>
            <w:tcW w:type="dxa" w:w="2268"/>
            <w:shd w:val="clear" w:color="auto" w:fill="1F3864"/>
          </w:tcPr>
          <w:p>
            <w:r>
              <w:rPr>
                <w:b/>
                <w:color w:val="FFFFFF"/>
                <w:sz w:val="19"/>
              </w:rPr>
              <w:t>Realisation</w:t>
            </w:r>
          </w:p>
        </w:tc>
        <w:tc>
          <w:tcPr>
            <w:tcW w:type="dxa" w:w="1701"/>
            <w:shd w:val="clear" w:color="auto" w:fill="1F3864"/>
          </w:tcPr>
          <w:p>
            <w:r>
              <w:rPr>
                <w:b/>
                <w:color w:val="FFFFFF"/>
                <w:sz w:val="19"/>
              </w:rPr>
              <w:t>Taux</w:t>
            </w:r>
          </w:p>
        </w:tc>
      </w:tr>
      <w:tr>
        <w:tc>
          <w:tcPr>
            <w:tcW w:type="dxa" w:w="4535"/>
            <w:shd w:val="clear" w:color="auto" w:fill="F2F2F2"/>
          </w:tcPr>
          <w:p>
            <w:r>
              <w:rPr>
                <w:b/>
                <w:sz w:val="19"/>
              </w:rPr>
              <w:t>Entreprises eligibles</w:t>
            </w:r>
          </w:p>
        </w:tc>
        <w:tc>
          <w:tcPr>
            <w:tcW w:type="dxa" w:w="2268"/>
            <w:shd w:val="clear" w:color="auto" w:fill="F2F2F2"/>
          </w:tcPr>
          <w:p>
            <w:r>
              <w:rPr>
                <w:sz w:val="19"/>
              </w:rPr>
              <w:t>357</w:t>
            </w:r>
          </w:p>
        </w:tc>
        <w:tc>
          <w:tcPr>
            <w:tcW w:type="dxa" w:w="2268"/>
            <w:shd w:val="clear" w:color="auto" w:fill="F2F2F2"/>
          </w:tcPr>
          <w:p>
            <w:r>
              <w:rPr>
                <w:sz w:val="19"/>
              </w:rPr>
              <w:t>399</w:t>
            </w:r>
          </w:p>
        </w:tc>
        <w:tc>
          <w:tcPr>
            <w:tcW w:type="dxa" w:w="1701"/>
            <w:shd w:val="clear" w:color="auto" w:fill="F2F2F2"/>
          </w:tcPr>
          <w:p>
            <w:r>
              <w:rPr>
                <w:sz w:val="19"/>
              </w:rPr>
              <w:t>111,8 % OK</w:t>
            </w:r>
          </w:p>
        </w:tc>
      </w:tr>
      <w:tr>
        <w:tc>
          <w:tcPr>
            <w:tcW w:type="dxa" w:w="4535"/>
            <w:shd w:val="clear" w:color="auto" w:fill="FFFFFF"/>
          </w:tcPr>
          <w:p>
            <w:r>
              <w:rPr>
                <w:b/>
                <w:sz w:val="19"/>
              </w:rPr>
              <w:t>Postes valides et publies</w:t>
            </w:r>
          </w:p>
        </w:tc>
        <w:tc>
          <w:tcPr>
            <w:tcW w:type="dxa" w:w="2268"/>
            <w:shd w:val="clear" w:color="auto" w:fill="FFFFFF"/>
          </w:tcPr>
          <w:p>
            <w:r>
              <w:rPr>
                <w:sz w:val="19"/>
              </w:rPr>
              <w:t>4 500</w:t>
            </w:r>
          </w:p>
        </w:tc>
        <w:tc>
          <w:tcPr>
            <w:tcW w:type="dxa" w:w="2268"/>
            <w:shd w:val="clear" w:color="auto" w:fill="FFFFFF"/>
          </w:tcPr>
          <w:p>
            <w:r>
              <w:rPr>
                <w:sz w:val="19"/>
              </w:rPr>
              <w:t>3 945</w:t>
            </w:r>
          </w:p>
        </w:tc>
        <w:tc>
          <w:tcPr>
            <w:tcW w:type="dxa" w:w="1701"/>
            <w:shd w:val="clear" w:color="auto" w:fill="FFFFFF"/>
          </w:tcPr>
          <w:p>
            <w:r>
              <w:rPr>
                <w:sz w:val="19"/>
              </w:rPr>
              <w:t>87,7 %</w:t>
            </w:r>
          </w:p>
        </w:tc>
      </w:tr>
      <w:tr>
        <w:tc>
          <w:tcPr>
            <w:tcW w:type="dxa" w:w="4535"/>
            <w:shd w:val="clear" w:color="auto" w:fill="F2F2F2"/>
          </w:tcPr>
          <w:p>
            <w:r>
              <w:rPr>
                <w:b/>
                <w:sz w:val="19"/>
              </w:rPr>
              <w:t>Experts panelistes mobilises</w:t>
            </w:r>
          </w:p>
        </w:tc>
        <w:tc>
          <w:tcPr>
            <w:tcW w:type="dxa" w:w="2268"/>
            <w:shd w:val="clear" w:color="auto" w:fill="F2F2F2"/>
          </w:tcPr>
          <w:p>
            <w:r>
              <w:rPr>
                <w:sz w:val="19"/>
              </w:rPr>
              <w:t>1 200</w:t>
            </w:r>
          </w:p>
        </w:tc>
        <w:tc>
          <w:tcPr>
            <w:tcW w:type="dxa" w:w="2268"/>
            <w:shd w:val="clear" w:color="auto" w:fill="F2F2F2"/>
          </w:tcPr>
          <w:p>
            <w:r>
              <w:rPr>
                <w:sz w:val="19"/>
              </w:rPr>
              <w:t>1 350</w:t>
            </w:r>
          </w:p>
        </w:tc>
        <w:tc>
          <w:tcPr>
            <w:tcW w:type="dxa" w:w="1701"/>
            <w:shd w:val="clear" w:color="auto" w:fill="F2F2F2"/>
          </w:tcPr>
          <w:p>
            <w:r>
              <w:rPr>
                <w:sz w:val="19"/>
              </w:rPr>
              <w:t>112,5 % OK</w:t>
            </w:r>
          </w:p>
        </w:tc>
      </w:tr>
      <w:tr>
        <w:tc>
          <w:tcPr>
            <w:tcW w:type="dxa" w:w="4535"/>
            <w:shd w:val="clear" w:color="auto" w:fill="FFFFFF"/>
          </w:tcPr>
          <w:p>
            <w:r>
              <w:rPr>
                <w:b/>
                <w:sz w:val="19"/>
              </w:rPr>
              <w:t>Candidats interviewes</w:t>
            </w:r>
          </w:p>
        </w:tc>
        <w:tc>
          <w:tcPr>
            <w:tcW w:type="dxa" w:w="2268"/>
            <w:shd w:val="clear" w:color="auto" w:fill="FFFFFF"/>
          </w:tcPr>
          <w:p>
            <w:r>
              <w:rPr>
                <w:sz w:val="19"/>
              </w:rPr>
              <w:t>30 000</w:t>
            </w:r>
          </w:p>
        </w:tc>
        <w:tc>
          <w:tcPr>
            <w:tcW w:type="dxa" w:w="2268"/>
            <w:shd w:val="clear" w:color="auto" w:fill="FFFFFF"/>
          </w:tcPr>
          <w:p>
            <w:r>
              <w:rPr>
                <w:sz w:val="19"/>
              </w:rPr>
              <w:t>29 043</w:t>
            </w:r>
          </w:p>
        </w:tc>
        <w:tc>
          <w:tcPr>
            <w:tcW w:type="dxa" w:w="1701"/>
            <w:shd w:val="clear" w:color="auto" w:fill="FFFFFF"/>
          </w:tcPr>
          <w:p>
            <w:r>
              <w:rPr>
                <w:sz w:val="19"/>
              </w:rPr>
              <w:t>96,8 % OK</w:t>
            </w:r>
          </w:p>
        </w:tc>
      </w:tr>
      <w:tr>
        <w:tc>
          <w:tcPr>
            <w:tcW w:type="dxa" w:w="4535"/>
            <w:shd w:val="clear" w:color="auto" w:fill="F2F2F2"/>
          </w:tcPr>
          <w:p>
            <w:r>
              <w:rPr>
                <w:b/>
                <w:sz w:val="19"/>
              </w:rPr>
              <w:t>Candidats selectionnes par les entreprises</w:t>
            </w:r>
          </w:p>
        </w:tc>
        <w:tc>
          <w:tcPr>
            <w:tcW w:type="dxa" w:w="2268"/>
            <w:shd w:val="clear" w:color="auto" w:fill="F2F2F2"/>
          </w:tcPr>
          <w:p>
            <w:r>
              <w:rPr>
                <w:sz w:val="19"/>
              </w:rPr>
              <w:t>3 125</w:t>
            </w:r>
          </w:p>
        </w:tc>
        <w:tc>
          <w:tcPr>
            <w:tcW w:type="dxa" w:w="2268"/>
            <w:shd w:val="clear" w:color="auto" w:fill="F2F2F2"/>
          </w:tcPr>
          <w:p>
            <w:r>
              <w:rPr>
                <w:sz w:val="19"/>
              </w:rPr>
              <w:t>3 428</w:t>
            </w:r>
          </w:p>
        </w:tc>
        <w:tc>
          <w:tcPr>
            <w:tcW w:type="dxa" w:w="1701"/>
            <w:shd w:val="clear" w:color="auto" w:fill="F2F2F2"/>
          </w:tcPr>
          <w:p>
            <w:r>
              <w:rPr>
                <w:sz w:val="19"/>
              </w:rPr>
              <w:t>109,7 % OK</w:t>
            </w:r>
          </w:p>
        </w:tc>
      </w:tr>
      <w:tr>
        <w:tc>
          <w:tcPr>
            <w:tcW w:type="dxa" w:w="4535"/>
            <w:shd w:val="clear" w:color="auto" w:fill="FFFFFF"/>
          </w:tcPr>
          <w:p>
            <w:r>
              <w:rPr>
                <w:b/>
                <w:sz w:val="19"/>
              </w:rPr>
              <w:t>Allocataires mis en emploi</w:t>
            </w:r>
          </w:p>
        </w:tc>
        <w:tc>
          <w:tcPr>
            <w:tcW w:type="dxa" w:w="2268"/>
            <w:shd w:val="clear" w:color="auto" w:fill="FFFFFF"/>
          </w:tcPr>
          <w:p>
            <w:r>
              <w:rPr>
                <w:sz w:val="19"/>
              </w:rPr>
              <w:t>2 500</w:t>
            </w:r>
          </w:p>
        </w:tc>
        <w:tc>
          <w:tcPr>
            <w:tcW w:type="dxa" w:w="2268"/>
            <w:shd w:val="clear" w:color="auto" w:fill="FFFFFF"/>
          </w:tcPr>
          <w:p>
            <w:r>
              <w:rPr>
                <w:sz w:val="19"/>
              </w:rPr>
              <w:t>2 133</w:t>
            </w:r>
          </w:p>
        </w:tc>
        <w:tc>
          <w:tcPr>
            <w:tcW w:type="dxa" w:w="1701"/>
            <w:shd w:val="clear" w:color="auto" w:fill="FFFFFF"/>
          </w:tcPr>
          <w:p>
            <w:r>
              <w:rPr>
                <w:sz w:val="19"/>
              </w:rPr>
              <w:t>85,3 %</w:t>
            </w:r>
          </w:p>
        </w:tc>
      </w:tr>
      <w:tr>
        <w:tc>
          <w:tcPr>
            <w:tcW w:type="dxa" w:w="4535"/>
            <w:shd w:val="clear" w:color="auto" w:fill="F2F2F2"/>
          </w:tcPr>
          <w:p>
            <w:r>
              <w:rPr>
                <w:b/>
                <w:sz w:val="19"/>
              </w:rPr>
              <w:t>Salaires verses (milliers FCFA)</w:t>
            </w:r>
          </w:p>
        </w:tc>
        <w:tc>
          <w:tcPr>
            <w:tcW w:type="dxa" w:w="2268"/>
            <w:shd w:val="clear" w:color="auto" w:fill="F2F2F2"/>
          </w:tcPr>
          <w:p>
            <w:r>
              <w:rPr>
                <w:sz w:val="19"/>
              </w:rPr>
              <w:t>7 401 714</w:t>
            </w:r>
          </w:p>
        </w:tc>
        <w:tc>
          <w:tcPr>
            <w:tcW w:type="dxa" w:w="2268"/>
            <w:shd w:val="clear" w:color="auto" w:fill="F2F2F2"/>
          </w:tcPr>
          <w:p>
            <w:r>
              <w:rPr>
                <w:sz w:val="19"/>
              </w:rPr>
              <w:t>5 294 259</w:t>
            </w:r>
          </w:p>
        </w:tc>
        <w:tc>
          <w:tcPr>
            <w:tcW w:type="dxa" w:w="1701"/>
            <w:shd w:val="clear" w:color="auto" w:fill="F2F2F2"/>
          </w:tcPr>
          <w:p>
            <w:r>
              <w:rPr>
                <w:sz w:val="19"/>
              </w:rPr>
              <w:t>71,5 %</w:t>
            </w:r>
          </w:p>
        </w:tc>
      </w:tr>
      <w:tr>
        <w:tc>
          <w:tcPr>
            <w:tcW w:type="dxa" w:w="4535"/>
            <w:shd w:val="clear" w:color="auto" w:fill="FFFFFF"/>
          </w:tcPr>
          <w:p>
            <w:r>
              <w:rPr>
                <w:b/>
                <w:sz w:val="19"/>
              </w:rPr>
              <w:t>Fonctionnement et operations (milliers FCFA)</w:t>
            </w:r>
          </w:p>
        </w:tc>
        <w:tc>
          <w:tcPr>
            <w:tcW w:type="dxa" w:w="2268"/>
            <w:shd w:val="clear" w:color="auto" w:fill="FFFFFF"/>
          </w:tcPr>
          <w:p>
            <w:r>
              <w:rPr>
                <w:sz w:val="19"/>
              </w:rPr>
              <w:t>730 261</w:t>
            </w:r>
          </w:p>
        </w:tc>
        <w:tc>
          <w:tcPr>
            <w:tcW w:type="dxa" w:w="2268"/>
            <w:shd w:val="clear" w:color="auto" w:fill="FFFFFF"/>
          </w:tcPr>
          <w:p>
            <w:r>
              <w:rPr>
                <w:sz w:val="19"/>
              </w:rPr>
              <w:t>490 609</w:t>
            </w:r>
          </w:p>
        </w:tc>
        <w:tc>
          <w:tcPr>
            <w:tcW w:type="dxa" w:w="1701"/>
            <w:shd w:val="clear" w:color="auto" w:fill="FFFFFF"/>
          </w:tcPr>
          <w:p>
            <w:r>
              <w:rPr>
                <w:sz w:val="19"/>
              </w:rPr>
              <w:t>67,2 %</w:t>
            </w:r>
          </w:p>
        </w:tc>
      </w:tr>
    </w:tbl>
    <w:p/>
    <w:p>
      <w:pPr>
        <w:pStyle w:val="Heading2"/>
      </w:pPr>
      <w:r>
        <w:rPr>
          <w:rFonts w:ascii="Calibri" w:hAnsi="Calibri"/>
          <w:color w:val="2E74B5"/>
        </w:rPr>
        <w:t>5.3 Bilan cumulatif (juillet 2020 - septembre 2025)</w:t>
      </w:r>
    </w:p>
    <w:tbl>
      <w:tblPr>
        <w:tblStyle w:val="TableGrid"/>
        <w:tblW w:type="auto" w:w="0"/>
        <w:tblLook w:firstColumn="1" w:firstRow="1" w:lastColumn="0" w:lastRow="0" w:noHBand="0" w:noVBand="1" w:val="04A0"/>
      </w:tblPr>
      <w:tblGrid>
        <w:gridCol w:w="4618"/>
        <w:gridCol w:w="4618"/>
      </w:tblGrid>
      <w:tr>
        <w:tc>
          <w:tcPr>
            <w:tcW w:type="dxa" w:w="5669"/>
            <w:shd w:val="clear" w:color="auto" w:fill="1F3864"/>
          </w:tcPr>
          <w:p>
            <w:r>
              <w:rPr>
                <w:b/>
                <w:color w:val="FFFFFF"/>
                <w:sz w:val="19"/>
              </w:rPr>
              <w:t>Indicateur</w:t>
            </w:r>
          </w:p>
        </w:tc>
        <w:tc>
          <w:tcPr>
            <w:tcW w:type="dxa" w:w="2835"/>
            <w:shd w:val="clear" w:color="auto" w:fill="1F3864"/>
          </w:tcPr>
          <w:p>
            <w:r>
              <w:rPr>
                <w:b/>
                <w:color w:val="FFFFFF"/>
                <w:sz w:val="19"/>
              </w:rPr>
              <w:t>Cumul total</w:t>
            </w:r>
          </w:p>
        </w:tc>
      </w:tr>
      <w:tr>
        <w:tc>
          <w:tcPr>
            <w:tcW w:type="dxa" w:w="5669"/>
            <w:shd w:val="clear" w:color="auto" w:fill="F2F2F2"/>
          </w:tcPr>
          <w:p>
            <w:r>
              <w:rPr>
                <w:b/>
                <w:sz w:val="19"/>
              </w:rPr>
              <w:t>Entreprises eligibles</w:t>
            </w:r>
          </w:p>
        </w:tc>
        <w:tc>
          <w:tcPr>
            <w:tcW w:type="dxa" w:w="2835"/>
            <w:shd w:val="clear" w:color="auto" w:fill="F2F2F2"/>
          </w:tcPr>
          <w:p>
            <w:r>
              <w:rPr>
                <w:sz w:val="19"/>
              </w:rPr>
              <w:t>2 067</w:t>
            </w:r>
          </w:p>
        </w:tc>
      </w:tr>
      <w:tr>
        <w:tc>
          <w:tcPr>
            <w:tcW w:type="dxa" w:w="5669"/>
            <w:shd w:val="clear" w:color="auto" w:fill="FFFFFF"/>
          </w:tcPr>
          <w:p>
            <w:r>
              <w:rPr>
                <w:b/>
                <w:sz w:val="19"/>
              </w:rPr>
              <w:t>Postes valides et publies</w:t>
            </w:r>
          </w:p>
        </w:tc>
        <w:tc>
          <w:tcPr>
            <w:tcW w:type="dxa" w:w="2835"/>
            <w:shd w:val="clear" w:color="auto" w:fill="FFFFFF"/>
          </w:tcPr>
          <w:p>
            <w:r>
              <w:rPr>
                <w:sz w:val="19"/>
              </w:rPr>
              <w:t>11 509</w:t>
            </w:r>
          </w:p>
        </w:tc>
      </w:tr>
      <w:tr>
        <w:tc>
          <w:tcPr>
            <w:tcW w:type="dxa" w:w="5669"/>
            <w:shd w:val="clear" w:color="auto" w:fill="F2F2F2"/>
          </w:tcPr>
          <w:p>
            <w:r>
              <w:rPr>
                <w:b/>
                <w:sz w:val="19"/>
              </w:rPr>
              <w:t>Candidats interviewes</w:t>
            </w:r>
          </w:p>
        </w:tc>
        <w:tc>
          <w:tcPr>
            <w:tcW w:type="dxa" w:w="2835"/>
            <w:shd w:val="clear" w:color="auto" w:fill="F2F2F2"/>
          </w:tcPr>
          <w:p>
            <w:r>
              <w:rPr>
                <w:sz w:val="19"/>
              </w:rPr>
              <w:t>137 086</w:t>
            </w:r>
          </w:p>
        </w:tc>
      </w:tr>
      <w:tr>
        <w:tc>
          <w:tcPr>
            <w:tcW w:type="dxa" w:w="5669"/>
            <w:shd w:val="clear" w:color="auto" w:fill="FFFFFF"/>
          </w:tcPr>
          <w:p>
            <w:r>
              <w:rPr>
                <w:b/>
                <w:sz w:val="19"/>
              </w:rPr>
              <w:t>Allocataires mis en emploi</w:t>
            </w:r>
          </w:p>
        </w:tc>
        <w:tc>
          <w:tcPr>
            <w:tcW w:type="dxa" w:w="2835"/>
            <w:shd w:val="clear" w:color="auto" w:fill="FFFFFF"/>
          </w:tcPr>
          <w:p>
            <w:r>
              <w:rPr>
                <w:sz w:val="19"/>
              </w:rPr>
              <w:t>9 263</w:t>
            </w:r>
          </w:p>
        </w:tc>
      </w:tr>
      <w:tr>
        <w:tc>
          <w:tcPr>
            <w:tcW w:type="dxa" w:w="5669"/>
            <w:shd w:val="clear" w:color="auto" w:fill="F2F2F2"/>
          </w:tcPr>
          <w:p>
            <w:r>
              <w:rPr>
                <w:b/>
                <w:sz w:val="19"/>
              </w:rPr>
              <w:t>Salaires verses (milliards FCFA)</w:t>
            </w:r>
          </w:p>
        </w:tc>
        <w:tc>
          <w:tcPr>
            <w:tcW w:type="dxa" w:w="2835"/>
            <w:shd w:val="clear" w:color="auto" w:fill="F2F2F2"/>
          </w:tcPr>
          <w:p>
            <w:r>
              <w:rPr>
                <w:sz w:val="19"/>
              </w:rPr>
              <w:t>18,3</w:t>
            </w:r>
          </w:p>
        </w:tc>
      </w:tr>
      <w:tr>
        <w:tc>
          <w:tcPr>
            <w:tcW w:type="dxa" w:w="5669"/>
            <w:shd w:val="clear" w:color="auto" w:fill="FFFFFF"/>
          </w:tcPr>
          <w:p>
            <w:r>
              <w:rPr>
                <w:b/>
                <w:sz w:val="19"/>
              </w:rPr>
              <w:t>Fonctionnement et operations (milliards FCFA)</w:t>
            </w:r>
          </w:p>
        </w:tc>
        <w:tc>
          <w:tcPr>
            <w:tcW w:type="dxa" w:w="2835"/>
            <w:shd w:val="clear" w:color="auto" w:fill="FFFFFF"/>
          </w:tcPr>
          <w:p>
            <w:r>
              <w:rPr>
                <w:sz w:val="19"/>
              </w:rPr>
              <w:t>2,25</w:t>
            </w:r>
          </w:p>
        </w:tc>
      </w:tr>
    </w:tbl>
    <w:p/>
    <w:p>
      <w:pPr>
        <w:pStyle w:val="Heading2"/>
      </w:pPr>
      <w:r>
        <w:rPr>
          <w:rFonts w:ascii="Calibri" w:hAnsi="Calibri"/>
          <w:color w:val="2E74B5"/>
        </w:rPr>
        <w:t>5.4 Repartition geographique des allocataires inseres</w:t>
      </w:r>
    </w:p>
    <w:tbl>
      <w:tblPr>
        <w:tblStyle w:val="TableGrid"/>
        <w:tblW w:type="auto" w:w="0"/>
        <w:tblLook w:firstColumn="1" w:firstRow="1" w:lastColumn="0" w:lastRow="0" w:noHBand="0" w:noVBand="1" w:val="04A0"/>
      </w:tblPr>
      <w:tblGrid>
        <w:gridCol w:w="3079"/>
        <w:gridCol w:w="3079"/>
        <w:gridCol w:w="3079"/>
      </w:tblGrid>
      <w:tr>
        <w:tc>
          <w:tcPr>
            <w:tcW w:type="dxa" w:w="3969"/>
            <w:shd w:val="clear" w:color="auto" w:fill="1F3864"/>
          </w:tcPr>
          <w:p>
            <w:r>
              <w:rPr>
                <w:b/>
                <w:color w:val="FFFFFF"/>
                <w:sz w:val="19"/>
              </w:rPr>
              <w:t>Departement</w:t>
            </w:r>
          </w:p>
        </w:tc>
        <w:tc>
          <w:tcPr>
            <w:tcW w:type="dxa" w:w="2835"/>
            <w:shd w:val="clear" w:color="auto" w:fill="1F3864"/>
          </w:tcPr>
          <w:p>
            <w:r>
              <w:rPr>
                <w:b/>
                <w:color w:val="FFFFFF"/>
                <w:sz w:val="19"/>
              </w:rPr>
              <w:t>Allocataires</w:t>
            </w:r>
          </w:p>
        </w:tc>
        <w:tc>
          <w:tcPr>
            <w:tcW w:type="dxa" w:w="2268"/>
            <w:shd w:val="clear" w:color="auto" w:fill="1F3864"/>
          </w:tcPr>
          <w:p>
            <w:r>
              <w:rPr>
                <w:b/>
                <w:color w:val="FFFFFF"/>
                <w:sz w:val="19"/>
              </w:rPr>
              <w:t>Part (%)</w:t>
            </w:r>
          </w:p>
        </w:tc>
      </w:tr>
      <w:tr>
        <w:tc>
          <w:tcPr>
            <w:tcW w:type="dxa" w:w="3969"/>
            <w:shd w:val="clear" w:color="auto" w:fill="F2F2F2"/>
          </w:tcPr>
          <w:p>
            <w:r>
              <w:rPr>
                <w:b/>
                <w:sz w:val="19"/>
              </w:rPr>
              <w:t>Littoral (Cotonou)</w:t>
            </w:r>
          </w:p>
        </w:tc>
        <w:tc>
          <w:tcPr>
            <w:tcW w:type="dxa" w:w="2835"/>
            <w:shd w:val="clear" w:color="auto" w:fill="F2F2F2"/>
          </w:tcPr>
          <w:p>
            <w:r>
              <w:rPr>
                <w:sz w:val="19"/>
              </w:rPr>
              <w:t>5 897</w:t>
            </w:r>
          </w:p>
        </w:tc>
        <w:tc>
          <w:tcPr>
            <w:tcW w:type="dxa" w:w="2268"/>
            <w:shd w:val="clear" w:color="auto" w:fill="F2F2F2"/>
          </w:tcPr>
          <w:p>
            <w:r>
              <w:rPr>
                <w:sz w:val="19"/>
              </w:rPr>
              <w:t>63,7 %</w:t>
            </w:r>
          </w:p>
        </w:tc>
      </w:tr>
      <w:tr>
        <w:tc>
          <w:tcPr>
            <w:tcW w:type="dxa" w:w="3969"/>
            <w:shd w:val="clear" w:color="auto" w:fill="FFFFFF"/>
          </w:tcPr>
          <w:p>
            <w:r>
              <w:rPr>
                <w:b/>
                <w:sz w:val="19"/>
              </w:rPr>
              <w:t>Atlantique (Abomey-Calavi)</w:t>
            </w:r>
          </w:p>
        </w:tc>
        <w:tc>
          <w:tcPr>
            <w:tcW w:type="dxa" w:w="2835"/>
            <w:shd w:val="clear" w:color="auto" w:fill="FFFFFF"/>
          </w:tcPr>
          <w:p>
            <w:r>
              <w:rPr>
                <w:sz w:val="19"/>
              </w:rPr>
              <w:t>2 025</w:t>
            </w:r>
          </w:p>
        </w:tc>
        <w:tc>
          <w:tcPr>
            <w:tcW w:type="dxa" w:w="2268"/>
            <w:shd w:val="clear" w:color="auto" w:fill="FFFFFF"/>
          </w:tcPr>
          <w:p>
            <w:r>
              <w:rPr>
                <w:sz w:val="19"/>
              </w:rPr>
              <w:t>21,9 %</w:t>
            </w:r>
          </w:p>
        </w:tc>
      </w:tr>
      <w:tr>
        <w:tc>
          <w:tcPr>
            <w:tcW w:type="dxa" w:w="3969"/>
            <w:shd w:val="clear" w:color="auto" w:fill="F2F2F2"/>
          </w:tcPr>
          <w:p>
            <w:r>
              <w:rPr>
                <w:b/>
                <w:sz w:val="19"/>
              </w:rPr>
              <w:t>Sous-total Littoral+Atlantique</w:t>
            </w:r>
          </w:p>
        </w:tc>
        <w:tc>
          <w:tcPr>
            <w:tcW w:type="dxa" w:w="2835"/>
            <w:shd w:val="clear" w:color="auto" w:fill="F2F2F2"/>
          </w:tcPr>
          <w:p>
            <w:r>
              <w:rPr>
                <w:sz w:val="19"/>
              </w:rPr>
              <w:t>7 922</w:t>
            </w:r>
          </w:p>
        </w:tc>
        <w:tc>
          <w:tcPr>
            <w:tcW w:type="dxa" w:w="2268"/>
            <w:shd w:val="clear" w:color="auto" w:fill="F2F2F2"/>
          </w:tcPr>
          <w:p>
            <w:r>
              <w:rPr>
                <w:sz w:val="19"/>
              </w:rPr>
              <w:t>85,5 %</w:t>
            </w:r>
          </w:p>
        </w:tc>
      </w:tr>
      <w:tr>
        <w:tc>
          <w:tcPr>
            <w:tcW w:type="dxa" w:w="3969"/>
            <w:shd w:val="clear" w:color="auto" w:fill="FFFFFF"/>
          </w:tcPr>
          <w:p>
            <w:r>
              <w:rPr>
                <w:b/>
                <w:sz w:val="19"/>
              </w:rPr>
              <w:t>Oueme</w:t>
            </w:r>
          </w:p>
        </w:tc>
        <w:tc>
          <w:tcPr>
            <w:tcW w:type="dxa" w:w="2835"/>
            <w:shd w:val="clear" w:color="auto" w:fill="FFFFFF"/>
          </w:tcPr>
          <w:p>
            <w:r>
              <w:rPr>
                <w:sz w:val="19"/>
              </w:rPr>
              <w:t>445</w:t>
            </w:r>
          </w:p>
        </w:tc>
        <w:tc>
          <w:tcPr>
            <w:tcW w:type="dxa" w:w="2268"/>
            <w:shd w:val="clear" w:color="auto" w:fill="FFFFFF"/>
          </w:tcPr>
          <w:p>
            <w:r>
              <w:rPr>
                <w:sz w:val="19"/>
              </w:rPr>
              <w:t>4,8 %</w:t>
            </w:r>
          </w:p>
        </w:tc>
      </w:tr>
      <w:tr>
        <w:tc>
          <w:tcPr>
            <w:tcW w:type="dxa" w:w="3969"/>
            <w:shd w:val="clear" w:color="auto" w:fill="F2F2F2"/>
          </w:tcPr>
          <w:p>
            <w:r>
              <w:rPr>
                <w:b/>
                <w:sz w:val="19"/>
              </w:rPr>
              <w:t>Borgou</w:t>
            </w:r>
          </w:p>
        </w:tc>
        <w:tc>
          <w:tcPr>
            <w:tcW w:type="dxa" w:w="2835"/>
            <w:shd w:val="clear" w:color="auto" w:fill="F2F2F2"/>
          </w:tcPr>
          <w:p>
            <w:r>
              <w:rPr>
                <w:sz w:val="19"/>
              </w:rPr>
              <w:t>321</w:t>
            </w:r>
          </w:p>
        </w:tc>
        <w:tc>
          <w:tcPr>
            <w:tcW w:type="dxa" w:w="2268"/>
            <w:shd w:val="clear" w:color="auto" w:fill="F2F2F2"/>
          </w:tcPr>
          <w:p>
            <w:r>
              <w:rPr>
                <w:sz w:val="19"/>
              </w:rPr>
              <w:t>3,5 %</w:t>
            </w:r>
          </w:p>
        </w:tc>
      </w:tr>
      <w:tr>
        <w:tc>
          <w:tcPr>
            <w:tcW w:type="dxa" w:w="3969"/>
            <w:shd w:val="clear" w:color="auto" w:fill="FFFFFF"/>
          </w:tcPr>
          <w:p>
            <w:r>
              <w:rPr>
                <w:b/>
                <w:sz w:val="19"/>
              </w:rPr>
              <w:t>Zou</w:t>
            </w:r>
          </w:p>
        </w:tc>
        <w:tc>
          <w:tcPr>
            <w:tcW w:type="dxa" w:w="2835"/>
            <w:shd w:val="clear" w:color="auto" w:fill="FFFFFF"/>
          </w:tcPr>
          <w:p>
            <w:r>
              <w:rPr>
                <w:sz w:val="19"/>
              </w:rPr>
              <w:t>305</w:t>
            </w:r>
          </w:p>
        </w:tc>
        <w:tc>
          <w:tcPr>
            <w:tcW w:type="dxa" w:w="2268"/>
            <w:shd w:val="clear" w:color="auto" w:fill="FFFFFF"/>
          </w:tcPr>
          <w:p>
            <w:r>
              <w:rPr>
                <w:sz w:val="19"/>
              </w:rPr>
              <w:t>3,3 %</w:t>
            </w:r>
          </w:p>
        </w:tc>
      </w:tr>
      <w:tr>
        <w:tc>
          <w:tcPr>
            <w:tcW w:type="dxa" w:w="3969"/>
            <w:shd w:val="clear" w:color="auto" w:fill="F2F2F2"/>
          </w:tcPr>
          <w:p>
            <w:r>
              <w:rPr>
                <w:b/>
                <w:sz w:val="19"/>
              </w:rPr>
              <w:t>10 autres departements</w:t>
            </w:r>
          </w:p>
        </w:tc>
        <w:tc>
          <w:tcPr>
            <w:tcW w:type="dxa" w:w="2835"/>
            <w:shd w:val="clear" w:color="auto" w:fill="F2F2F2"/>
          </w:tcPr>
          <w:p>
            <w:r>
              <w:rPr>
                <w:sz w:val="19"/>
              </w:rPr>
              <w:t>270</w:t>
            </w:r>
          </w:p>
        </w:tc>
        <w:tc>
          <w:tcPr>
            <w:tcW w:type="dxa" w:w="2268"/>
            <w:shd w:val="clear" w:color="auto" w:fill="F2F2F2"/>
          </w:tcPr>
          <w:p>
            <w:r>
              <w:rPr>
                <w:sz w:val="19"/>
              </w:rPr>
              <w:t>2,9 %</w:t>
            </w:r>
          </w:p>
        </w:tc>
      </w:tr>
      <w:tr>
        <w:tc>
          <w:tcPr>
            <w:tcW w:type="dxa" w:w="3969"/>
            <w:shd w:val="clear" w:color="auto" w:fill="FFFFFF"/>
          </w:tcPr>
          <w:p>
            <w:r>
              <w:rPr>
                <w:b/>
                <w:sz w:val="19"/>
              </w:rPr>
              <w:t>TOTAL</w:t>
            </w:r>
          </w:p>
        </w:tc>
        <w:tc>
          <w:tcPr>
            <w:tcW w:type="dxa" w:w="2835"/>
            <w:shd w:val="clear" w:color="auto" w:fill="FFFFFF"/>
          </w:tcPr>
          <w:p>
            <w:r>
              <w:rPr>
                <w:sz w:val="19"/>
              </w:rPr>
              <w:t>9 263</w:t>
            </w:r>
          </w:p>
        </w:tc>
        <w:tc>
          <w:tcPr>
            <w:tcW w:type="dxa" w:w="2268"/>
            <w:shd w:val="clear" w:color="auto" w:fill="FFFFFF"/>
          </w:tcPr>
          <w:p>
            <w:r>
              <w:rPr>
                <w:sz w:val="19"/>
              </w:rPr>
              <w:t>100 %</w:t>
            </w:r>
          </w:p>
        </w:tc>
      </w:tr>
    </w:tbl>
    <w:p/>
    <w:p>
      <w:pPr>
        <w:pStyle w:val="Heading2"/>
      </w:pPr>
      <w:r>
        <w:rPr>
          <w:rFonts w:ascii="Calibri" w:hAnsi="Calibri"/>
          <w:color w:val="2E74B5"/>
        </w:rPr>
        <w:t>5.5 Evolution du cout moyen d'operations par allocataire</w:t>
      </w:r>
    </w:p>
    <w:tbl>
      <w:tblPr>
        <w:tblStyle w:val="TableGrid"/>
        <w:tblW w:type="auto" w:w="0"/>
        <w:tblLook w:firstColumn="1" w:firstRow="1" w:lastColumn="0" w:lastRow="0" w:noHBand="0" w:noVBand="1" w:val="04A0"/>
      </w:tblPr>
      <w:tblGrid>
        <w:gridCol w:w="3079"/>
        <w:gridCol w:w="3079"/>
        <w:gridCol w:w="3079"/>
      </w:tblGrid>
      <w:tr>
        <w:tc>
          <w:tcPr>
            <w:tcW w:type="dxa" w:w="1701"/>
            <w:shd w:val="clear" w:color="auto" w:fill="1F3864"/>
          </w:tcPr>
          <w:p>
            <w:r>
              <w:rPr>
                <w:b/>
                <w:color w:val="FFFFFF"/>
                <w:sz w:val="19"/>
              </w:rPr>
              <w:t>Annee</w:t>
            </w:r>
          </w:p>
        </w:tc>
        <w:tc>
          <w:tcPr>
            <w:tcW w:type="dxa" w:w="3969"/>
            <w:shd w:val="clear" w:color="auto" w:fill="1F3864"/>
          </w:tcPr>
          <w:p>
            <w:r>
              <w:rPr>
                <w:b/>
                <w:color w:val="FFFFFF"/>
                <w:sz w:val="19"/>
              </w:rPr>
              <w:t>Cout moyen / allocataire (FCFA)</w:t>
            </w:r>
          </w:p>
        </w:tc>
        <w:tc>
          <w:tcPr>
            <w:tcW w:type="dxa" w:w="4535"/>
            <w:shd w:val="clear" w:color="auto" w:fill="1F3864"/>
          </w:tcPr>
          <w:p>
            <w:r>
              <w:rPr>
                <w:b/>
                <w:color w:val="FFFFFF"/>
                <w:sz w:val="19"/>
              </w:rPr>
              <w:t>Evolution</w:t>
            </w:r>
          </w:p>
        </w:tc>
      </w:tr>
      <w:tr>
        <w:tc>
          <w:tcPr>
            <w:tcW w:type="dxa" w:w="1701"/>
            <w:shd w:val="clear" w:color="auto" w:fill="F2F2F2"/>
          </w:tcPr>
          <w:p>
            <w:r>
              <w:rPr>
                <w:b/>
                <w:sz w:val="19"/>
              </w:rPr>
              <w:t>2020</w:t>
            </w:r>
          </w:p>
        </w:tc>
        <w:tc>
          <w:tcPr>
            <w:tcW w:type="dxa" w:w="3969"/>
            <w:shd w:val="clear" w:color="auto" w:fill="F2F2F2"/>
          </w:tcPr>
          <w:p>
            <w:r>
              <w:rPr>
                <w:sz w:val="19"/>
              </w:rPr>
              <w:t>738 113</w:t>
            </w:r>
          </w:p>
        </w:tc>
        <w:tc>
          <w:tcPr>
            <w:tcW w:type="dxa" w:w="4535"/>
            <w:shd w:val="clear" w:color="auto" w:fill="F2F2F2"/>
          </w:tcPr>
          <w:p>
            <w:r>
              <w:rPr>
                <w:sz w:val="19"/>
              </w:rPr>
              <w:t>Annee de demarrage - couts fixes eleves</w:t>
            </w:r>
          </w:p>
        </w:tc>
      </w:tr>
      <w:tr>
        <w:tc>
          <w:tcPr>
            <w:tcW w:type="dxa" w:w="1701"/>
            <w:shd w:val="clear" w:color="auto" w:fill="FFFFFF"/>
          </w:tcPr>
          <w:p>
            <w:r>
              <w:rPr>
                <w:b/>
                <w:sz w:val="19"/>
              </w:rPr>
              <w:t>2021</w:t>
            </w:r>
          </w:p>
        </w:tc>
        <w:tc>
          <w:tcPr>
            <w:tcW w:type="dxa" w:w="3969"/>
            <w:shd w:val="clear" w:color="auto" w:fill="FFFFFF"/>
          </w:tcPr>
          <w:p>
            <w:r>
              <w:rPr>
                <w:sz w:val="19"/>
              </w:rPr>
              <w:t>195 231</w:t>
            </w:r>
          </w:p>
        </w:tc>
        <w:tc>
          <w:tcPr>
            <w:tcW w:type="dxa" w:w="4535"/>
            <w:shd w:val="clear" w:color="auto" w:fill="FFFFFF"/>
          </w:tcPr>
          <w:p>
            <w:r>
              <w:rPr>
                <w:sz w:val="19"/>
              </w:rPr>
              <w:t>-73,5 % (optimisation rapide des processus)</w:t>
            </w:r>
          </w:p>
        </w:tc>
      </w:tr>
      <w:tr>
        <w:tc>
          <w:tcPr>
            <w:tcW w:type="dxa" w:w="1701"/>
            <w:shd w:val="clear" w:color="auto" w:fill="F2F2F2"/>
          </w:tcPr>
          <w:p>
            <w:r>
              <w:rPr>
                <w:b/>
                <w:sz w:val="19"/>
              </w:rPr>
              <w:t>2022</w:t>
            </w:r>
          </w:p>
        </w:tc>
        <w:tc>
          <w:tcPr>
            <w:tcW w:type="dxa" w:w="3969"/>
            <w:shd w:val="clear" w:color="auto" w:fill="F2F2F2"/>
          </w:tcPr>
          <w:p>
            <w:r>
              <w:rPr>
                <w:sz w:val="19"/>
              </w:rPr>
              <w:t>185 993</w:t>
            </w:r>
          </w:p>
        </w:tc>
        <w:tc>
          <w:tcPr>
            <w:tcW w:type="dxa" w:w="4535"/>
            <w:shd w:val="clear" w:color="auto" w:fill="F2F2F2"/>
          </w:tcPr>
          <w:p>
            <w:r>
              <w:rPr>
                <w:sz w:val="19"/>
              </w:rPr>
              <w:t>-4,7 %</w:t>
            </w:r>
          </w:p>
        </w:tc>
      </w:tr>
      <w:tr>
        <w:tc>
          <w:tcPr>
            <w:tcW w:type="dxa" w:w="1701"/>
            <w:shd w:val="clear" w:color="auto" w:fill="FFFFFF"/>
          </w:tcPr>
          <w:p>
            <w:r>
              <w:rPr>
                <w:b/>
                <w:sz w:val="19"/>
              </w:rPr>
              <w:t>2023</w:t>
            </w:r>
          </w:p>
        </w:tc>
        <w:tc>
          <w:tcPr>
            <w:tcW w:type="dxa" w:w="3969"/>
            <w:shd w:val="clear" w:color="auto" w:fill="FFFFFF"/>
          </w:tcPr>
          <w:p>
            <w:r>
              <w:rPr>
                <w:sz w:val="19"/>
              </w:rPr>
              <w:t>144 927</w:t>
            </w:r>
          </w:p>
        </w:tc>
        <w:tc>
          <w:tcPr>
            <w:tcW w:type="dxa" w:w="4535"/>
            <w:shd w:val="clear" w:color="auto" w:fill="FFFFFF"/>
          </w:tcPr>
          <w:p>
            <w:r>
              <w:rPr>
                <w:sz w:val="19"/>
              </w:rPr>
              <w:t>-22,1 %</w:t>
            </w:r>
          </w:p>
        </w:tc>
      </w:tr>
      <w:tr>
        <w:tc>
          <w:tcPr>
            <w:tcW w:type="dxa" w:w="1701"/>
            <w:shd w:val="clear" w:color="auto" w:fill="F2F2F2"/>
          </w:tcPr>
          <w:p>
            <w:r>
              <w:rPr>
                <w:b/>
                <w:sz w:val="19"/>
              </w:rPr>
              <w:t>2024</w:t>
            </w:r>
          </w:p>
        </w:tc>
        <w:tc>
          <w:tcPr>
            <w:tcW w:type="dxa" w:w="3969"/>
            <w:shd w:val="clear" w:color="auto" w:fill="F2F2F2"/>
          </w:tcPr>
          <w:p>
            <w:r>
              <w:rPr>
                <w:sz w:val="19"/>
              </w:rPr>
              <w:t>111 403</w:t>
            </w:r>
          </w:p>
        </w:tc>
        <w:tc>
          <w:tcPr>
            <w:tcW w:type="dxa" w:w="4535"/>
            <w:shd w:val="clear" w:color="auto" w:fill="F2F2F2"/>
          </w:tcPr>
          <w:p>
            <w:r>
              <w:rPr>
                <w:sz w:val="19"/>
              </w:rPr>
              <w:t>-23,1 %</w:t>
            </w:r>
          </w:p>
        </w:tc>
      </w:tr>
      <w:tr>
        <w:tc>
          <w:tcPr>
            <w:tcW w:type="dxa" w:w="1701"/>
            <w:shd w:val="clear" w:color="auto" w:fill="FFFFFF"/>
          </w:tcPr>
          <w:p>
            <w:r>
              <w:rPr>
                <w:b/>
                <w:sz w:val="19"/>
              </w:rPr>
              <w:t>2025</w:t>
            </w:r>
          </w:p>
        </w:tc>
        <w:tc>
          <w:tcPr>
            <w:tcW w:type="dxa" w:w="3969"/>
            <w:shd w:val="clear" w:color="auto" w:fill="FFFFFF"/>
          </w:tcPr>
          <w:p>
            <w:r>
              <w:rPr>
                <w:sz w:val="19"/>
              </w:rPr>
              <w:t>109 089</w:t>
            </w:r>
          </w:p>
        </w:tc>
        <w:tc>
          <w:tcPr>
            <w:tcW w:type="dxa" w:w="4535"/>
            <w:shd w:val="clear" w:color="auto" w:fill="FFFFFF"/>
          </w:tcPr>
          <w:p>
            <w:r>
              <w:rPr>
                <w:sz w:val="19"/>
              </w:rPr>
              <w:t>-2,1 % - cout divise par 7 en 5 ans</w:t>
            </w:r>
          </w:p>
        </w:tc>
      </w:tr>
    </w:tbl>
    <w:p/>
    <w:p>
      <w:pPr>
        <w:pStyle w:val="Heading2"/>
      </w:pPr>
      <w:r>
        <w:rPr>
          <w:rFonts w:ascii="Calibri" w:hAnsi="Calibri"/>
          <w:color w:val="2E74B5"/>
        </w:rPr>
        <w:t>5.6 Jugement evaluatif - Efficacite</w:t>
      </w:r>
    </w:p>
    <w:tbl>
      <w:tblPr>
        <w:tblStyle w:val="TableGrid"/>
        <w:tblW w:type="auto" w:w="0"/>
        <w:tblLook w:firstColumn="1" w:firstRow="1" w:lastColumn="0" w:lastRow="0" w:noHBand="0" w:noVBand="1" w:val="04A0"/>
      </w:tblPr>
      <w:tblGrid>
        <w:gridCol w:w="3079"/>
        <w:gridCol w:w="3079"/>
        <w:gridCol w:w="3079"/>
      </w:tblGrid>
      <w:tr>
        <w:tc>
          <w:tcPr>
            <w:tcW w:type="dxa" w:w="2835"/>
            <w:shd w:val="clear" w:color="auto" w:fill="1F3864"/>
          </w:tcPr>
          <w:p>
            <w:r>
              <w:rPr>
                <w:b/>
                <w:color w:val="FFFFFF"/>
                <w:sz w:val="19"/>
              </w:rPr>
              <w:t>Dimension</w:t>
            </w:r>
          </w:p>
        </w:tc>
        <w:tc>
          <w:tcPr>
            <w:tcW w:type="dxa" w:w="2268"/>
            <w:shd w:val="clear" w:color="auto" w:fill="1F3864"/>
          </w:tcPr>
          <w:p>
            <w:r>
              <w:rPr>
                <w:b/>
                <w:color w:val="FFFFFF"/>
                <w:sz w:val="19"/>
              </w:rPr>
              <w:t>Jugement</w:t>
            </w:r>
          </w:p>
        </w:tc>
        <w:tc>
          <w:tcPr>
            <w:tcW w:type="dxa" w:w="5102"/>
            <w:shd w:val="clear" w:color="auto" w:fill="1F3864"/>
          </w:tcPr>
          <w:p>
            <w:r>
              <w:rPr>
                <w:b/>
                <w:color w:val="FFFFFF"/>
                <w:sz w:val="19"/>
              </w:rPr>
              <w:t>Justification</w:t>
            </w:r>
          </w:p>
        </w:tc>
      </w:tr>
      <w:tr>
        <w:tc>
          <w:tcPr>
            <w:tcW w:type="dxa" w:w="2835"/>
            <w:shd w:val="clear" w:color="auto" w:fill="F2F2F2"/>
          </w:tcPr>
          <w:p>
            <w:r>
              <w:rPr>
                <w:b/>
                <w:sz w:val="19"/>
              </w:rPr>
              <w:t>Volume d'insertions</w:t>
            </w:r>
          </w:p>
        </w:tc>
        <w:tc>
          <w:tcPr>
            <w:tcW w:type="dxa" w:w="2268"/>
            <w:shd w:val="clear" w:color="auto" w:fill="F2F2F2"/>
          </w:tcPr>
          <w:p>
            <w:r>
              <w:rPr>
                <w:sz w:val="19"/>
              </w:rPr>
              <w:t>ELEVE</w:t>
            </w:r>
          </w:p>
        </w:tc>
        <w:tc>
          <w:tcPr>
            <w:tcW w:type="dxa" w:w="5102"/>
            <w:shd w:val="clear" w:color="auto" w:fill="F2F2F2"/>
          </w:tcPr>
          <w:p>
            <w:r>
              <w:rPr>
                <w:sz w:val="19"/>
              </w:rPr>
              <w:t>9 263 insertions - depasse la cible initiale de 8 000</w:t>
            </w:r>
          </w:p>
        </w:tc>
      </w:tr>
      <w:tr>
        <w:tc>
          <w:tcPr>
            <w:tcW w:type="dxa" w:w="2835"/>
            <w:shd w:val="clear" w:color="auto" w:fill="FFFFFF"/>
          </w:tcPr>
          <w:p>
            <w:r>
              <w:rPr>
                <w:b/>
                <w:sz w:val="19"/>
              </w:rPr>
              <w:t>Mobilisation entreprises</w:t>
            </w:r>
          </w:p>
        </w:tc>
        <w:tc>
          <w:tcPr>
            <w:tcW w:type="dxa" w:w="2268"/>
            <w:shd w:val="clear" w:color="auto" w:fill="FFFFFF"/>
          </w:tcPr>
          <w:p>
            <w:r>
              <w:rPr>
                <w:sz w:val="19"/>
              </w:rPr>
              <w:t>ELEVE</w:t>
            </w:r>
          </w:p>
        </w:tc>
        <w:tc>
          <w:tcPr>
            <w:tcW w:type="dxa" w:w="5102"/>
            <w:shd w:val="clear" w:color="auto" w:fill="FFFFFF"/>
          </w:tcPr>
          <w:p>
            <w:r>
              <w:rPr>
                <w:sz w:val="19"/>
              </w:rPr>
              <w:t>2 067 entreprises ; 111,8 % des previsions 2025</w:t>
            </w:r>
          </w:p>
        </w:tc>
      </w:tr>
      <w:tr>
        <w:tc>
          <w:tcPr>
            <w:tcW w:type="dxa" w:w="2835"/>
            <w:shd w:val="clear" w:color="auto" w:fill="F2F2F2"/>
          </w:tcPr>
          <w:p>
            <w:r>
              <w:rPr>
                <w:b/>
                <w:sz w:val="19"/>
              </w:rPr>
              <w:t>Couverture geographique</w:t>
            </w:r>
          </w:p>
        </w:tc>
        <w:tc>
          <w:tcPr>
            <w:tcW w:type="dxa" w:w="2268"/>
            <w:shd w:val="clear" w:color="auto" w:fill="F2F2F2"/>
          </w:tcPr>
          <w:p>
            <w:r>
              <w:rPr>
                <w:sz w:val="19"/>
              </w:rPr>
              <w:t>FAIBLE</w:t>
            </w:r>
          </w:p>
        </w:tc>
        <w:tc>
          <w:tcPr>
            <w:tcW w:type="dxa" w:w="5102"/>
            <w:shd w:val="clear" w:color="auto" w:fill="F2F2F2"/>
          </w:tcPr>
          <w:p>
            <w:r>
              <w:rPr>
                <w:sz w:val="19"/>
              </w:rPr>
              <w:t>85,5 % des insertions dans 2 departements sur 12</w:t>
            </w:r>
          </w:p>
        </w:tc>
      </w:tr>
      <w:tr>
        <w:tc>
          <w:tcPr>
            <w:tcW w:type="dxa" w:w="2835"/>
            <w:shd w:val="clear" w:color="auto" w:fill="FFFFFF"/>
          </w:tcPr>
          <w:p>
            <w:r>
              <w:rPr>
                <w:b/>
                <w:sz w:val="19"/>
              </w:rPr>
              <w:t>Couverture sectorielle</w:t>
            </w:r>
          </w:p>
        </w:tc>
        <w:tc>
          <w:tcPr>
            <w:tcW w:type="dxa" w:w="2268"/>
            <w:shd w:val="clear" w:color="auto" w:fill="FFFFFF"/>
          </w:tcPr>
          <w:p>
            <w:r>
              <w:rPr>
                <w:sz w:val="19"/>
              </w:rPr>
              <w:t>MOYEN</w:t>
            </w:r>
          </w:p>
        </w:tc>
        <w:tc>
          <w:tcPr>
            <w:tcW w:type="dxa" w:w="5102"/>
            <w:shd w:val="clear" w:color="auto" w:fill="FFFFFF"/>
          </w:tcPr>
          <w:p>
            <w:r>
              <w:rPr>
                <w:sz w:val="19"/>
              </w:rPr>
              <w:t>TIC, hotellerie, energies renouvelables sous-representes</w:t>
            </w:r>
          </w:p>
        </w:tc>
      </w:tr>
      <w:tr>
        <w:tc>
          <w:tcPr>
            <w:tcW w:type="dxa" w:w="2835"/>
            <w:shd w:val="clear" w:color="auto" w:fill="F2F2F2"/>
          </w:tcPr>
          <w:p>
            <w:r>
              <w:rPr>
                <w:b/>
                <w:sz w:val="19"/>
              </w:rPr>
              <w:t>Execution financiere</w:t>
            </w:r>
          </w:p>
        </w:tc>
        <w:tc>
          <w:tcPr>
            <w:tcW w:type="dxa" w:w="2268"/>
            <w:shd w:val="clear" w:color="auto" w:fill="F2F2F2"/>
          </w:tcPr>
          <w:p>
            <w:r>
              <w:rPr>
                <w:sz w:val="19"/>
              </w:rPr>
              <w:t>MOYEN</w:t>
            </w:r>
          </w:p>
        </w:tc>
        <w:tc>
          <w:tcPr>
            <w:tcW w:type="dxa" w:w="5102"/>
            <w:shd w:val="clear" w:color="auto" w:fill="F2F2F2"/>
          </w:tcPr>
          <w:p>
            <w:r>
              <w:rPr>
                <w:sz w:val="19"/>
              </w:rPr>
              <w:t>Taux cumule 79,6 % ; variations annuelles importantes</w:t>
            </w:r>
          </w:p>
        </w:tc>
      </w:tr>
      <w:tr>
        <w:tc>
          <w:tcPr>
            <w:tcW w:type="dxa" w:w="2835"/>
            <w:shd w:val="clear" w:color="auto" w:fill="FFFFFF"/>
          </w:tcPr>
          <w:p>
            <w:r>
              <w:rPr>
                <w:b/>
                <w:sz w:val="19"/>
              </w:rPr>
              <w:t>Qualite systeme S-E</w:t>
            </w:r>
          </w:p>
        </w:tc>
        <w:tc>
          <w:tcPr>
            <w:tcW w:type="dxa" w:w="2268"/>
            <w:shd w:val="clear" w:color="auto" w:fill="FFFFFF"/>
          </w:tcPr>
          <w:p>
            <w:r>
              <w:rPr>
                <w:sz w:val="19"/>
              </w:rPr>
              <w:t>MOYEN A ELEVE</w:t>
            </w:r>
          </w:p>
        </w:tc>
        <w:tc>
          <w:tcPr>
            <w:tcW w:type="dxa" w:w="5102"/>
            <w:shd w:val="clear" w:color="auto" w:fill="FFFFFF"/>
          </w:tcPr>
          <w:p>
            <w:r>
              <w:rPr>
                <w:sz w:val="19"/>
              </w:rPr>
              <w:t>Plateforme fonctionnelle ; absence donnees retention post-programme</w:t>
            </w:r>
          </w:p>
        </w:tc>
      </w:tr>
      <w:tr>
        <w:tc>
          <w:tcPr>
            <w:tcW w:type="dxa" w:w="2835"/>
            <w:shd w:val="clear" w:color="auto" w:fill="F2F2F2"/>
          </w:tcPr>
          <w:p>
            <w:r>
              <w:rPr>
                <w:b/>
                <w:sz w:val="19"/>
              </w:rPr>
              <w:t>JUGEMENT GLOBAL</w:t>
            </w:r>
          </w:p>
        </w:tc>
        <w:tc>
          <w:tcPr>
            <w:tcW w:type="dxa" w:w="2268"/>
            <w:shd w:val="clear" w:color="auto" w:fill="F2F2F2"/>
          </w:tcPr>
          <w:p>
            <w:r>
              <w:rPr>
                <w:sz w:val="19"/>
              </w:rPr>
              <w:t>MOYEN A ELEVE</w:t>
            </w:r>
          </w:p>
        </w:tc>
        <w:tc>
          <w:tcPr>
            <w:tcW w:type="dxa" w:w="5102"/>
            <w:shd w:val="clear" w:color="auto" w:fill="F2F2F2"/>
          </w:tcPr>
          <w:p>
            <w:r>
              <w:rPr>
                <w:sz w:val="19"/>
              </w:rPr>
              <w:t>Objectifs atteints en volume ; defis sur l'equite geographique</w:t>
            </w:r>
          </w:p>
        </w:tc>
      </w:tr>
    </w:tbl>
    <w:p/>
    <w:p>
      <w:r>
        <w:br w:type="page"/>
      </w:r>
    </w:p>
    <w:p>
      <w:pPr>
        <w:pStyle w:val="Heading1"/>
      </w:pPr>
      <w:r>
        <w:rPr>
          <w:rFonts w:ascii="Calibri" w:hAnsi="Calibri"/>
          <w:color w:val="1F3864"/>
        </w:rPr>
        <w:t>6. CONCLUSIONS ET RECOMMANDATIONS</w:t>
      </w:r>
    </w:p>
    <w:p>
      <w:pPr>
        <w:pStyle w:val="Heading2"/>
      </w:pPr>
      <w:r>
        <w:rPr>
          <w:rFonts w:ascii="Calibri" w:hAnsi="Calibri"/>
          <w:color w:val="2E74B5"/>
        </w:rPr>
        <w:t>6.1 Synthese des jugements evaluatifs</w:t>
      </w:r>
    </w:p>
    <w:tbl>
      <w:tblPr>
        <w:tblStyle w:val="TableGrid"/>
        <w:tblW w:type="auto" w:w="0"/>
        <w:tblLook w:firstColumn="1" w:firstRow="1" w:lastColumn="0" w:lastRow="0" w:noHBand="0" w:noVBand="1" w:val="04A0"/>
      </w:tblPr>
      <w:tblGrid>
        <w:gridCol w:w="3079"/>
        <w:gridCol w:w="3079"/>
        <w:gridCol w:w="3079"/>
      </w:tblGrid>
      <w:tr>
        <w:tc>
          <w:tcPr>
            <w:tcW w:type="dxa" w:w="2835"/>
            <w:shd w:val="clear" w:color="auto" w:fill="1F3864"/>
          </w:tcPr>
          <w:p>
            <w:r>
              <w:rPr>
                <w:b/>
                <w:color w:val="FFFFFF"/>
                <w:sz w:val="19"/>
              </w:rPr>
              <w:t>Critere OCDE/CAD</w:t>
            </w:r>
          </w:p>
        </w:tc>
        <w:tc>
          <w:tcPr>
            <w:tcW w:type="dxa" w:w="2835"/>
            <w:shd w:val="clear" w:color="auto" w:fill="1F3864"/>
          </w:tcPr>
          <w:p>
            <w:r>
              <w:rPr>
                <w:b/>
                <w:color w:val="FFFFFF"/>
                <w:sz w:val="19"/>
              </w:rPr>
              <w:t>Jugement global</w:t>
            </w:r>
          </w:p>
        </w:tc>
        <w:tc>
          <w:tcPr>
            <w:tcW w:type="dxa" w:w="2835"/>
            <w:shd w:val="clear" w:color="auto" w:fill="1F3864"/>
          </w:tcPr>
          <w:p>
            <w:r>
              <w:rPr>
                <w:b/>
                <w:color w:val="FFFFFF"/>
                <w:sz w:val="19"/>
              </w:rPr>
              <w:t>Niveau de confiance</w:t>
            </w:r>
          </w:p>
        </w:tc>
      </w:tr>
      <w:tr>
        <w:tc>
          <w:tcPr>
            <w:tcW w:type="dxa" w:w="2835"/>
            <w:shd w:val="clear" w:color="auto" w:fill="F2F2F2"/>
          </w:tcPr>
          <w:p>
            <w:r>
              <w:rPr>
                <w:b/>
                <w:sz w:val="19"/>
              </w:rPr>
              <w:t>Pertinence</w:t>
            </w:r>
          </w:p>
        </w:tc>
        <w:tc>
          <w:tcPr>
            <w:tcW w:type="dxa" w:w="2835"/>
            <w:shd w:val="clear" w:color="auto" w:fill="F2F2F2"/>
          </w:tcPr>
          <w:p>
            <w:r>
              <w:rPr>
                <w:sz w:val="19"/>
              </w:rPr>
              <w:t>ELEVE</w:t>
            </w:r>
          </w:p>
        </w:tc>
        <w:tc>
          <w:tcPr>
            <w:tcW w:type="dxa" w:w="2835"/>
            <w:shd w:val="clear" w:color="auto" w:fill="F2F2F2"/>
          </w:tcPr>
          <w:p>
            <w:r>
              <w:rPr>
                <w:sz w:val="19"/>
              </w:rPr>
              <w:t>Eleve</w:t>
            </w:r>
          </w:p>
        </w:tc>
      </w:tr>
      <w:tr>
        <w:tc>
          <w:tcPr>
            <w:tcW w:type="dxa" w:w="2835"/>
            <w:shd w:val="clear" w:color="auto" w:fill="FFFFFF"/>
          </w:tcPr>
          <w:p>
            <w:r>
              <w:rPr>
                <w:b/>
                <w:sz w:val="19"/>
              </w:rPr>
              <w:t>Coherence</w:t>
            </w:r>
          </w:p>
        </w:tc>
        <w:tc>
          <w:tcPr>
            <w:tcW w:type="dxa" w:w="2835"/>
            <w:shd w:val="clear" w:color="auto" w:fill="FFFFFF"/>
          </w:tcPr>
          <w:p>
            <w:r>
              <w:rPr>
                <w:sz w:val="19"/>
              </w:rPr>
              <w:t>ELEVE</w:t>
            </w:r>
          </w:p>
        </w:tc>
        <w:tc>
          <w:tcPr>
            <w:tcW w:type="dxa" w:w="2835"/>
            <w:shd w:val="clear" w:color="auto" w:fill="FFFFFF"/>
          </w:tcPr>
          <w:p>
            <w:r>
              <w:rPr>
                <w:sz w:val="19"/>
              </w:rPr>
              <w:t>Moyen a eleve</w:t>
            </w:r>
          </w:p>
        </w:tc>
      </w:tr>
      <w:tr>
        <w:tc>
          <w:tcPr>
            <w:tcW w:type="dxa" w:w="2835"/>
            <w:shd w:val="clear" w:color="auto" w:fill="F2F2F2"/>
          </w:tcPr>
          <w:p>
            <w:r>
              <w:rPr>
                <w:b/>
                <w:sz w:val="19"/>
              </w:rPr>
              <w:t>Efficacite</w:t>
            </w:r>
          </w:p>
        </w:tc>
        <w:tc>
          <w:tcPr>
            <w:tcW w:type="dxa" w:w="2835"/>
            <w:shd w:val="clear" w:color="auto" w:fill="F2F2F2"/>
          </w:tcPr>
          <w:p>
            <w:r>
              <w:rPr>
                <w:sz w:val="19"/>
              </w:rPr>
              <w:t>MOYEN A ELEVE</w:t>
            </w:r>
          </w:p>
        </w:tc>
        <w:tc>
          <w:tcPr>
            <w:tcW w:type="dxa" w:w="2835"/>
            <w:shd w:val="clear" w:color="auto" w:fill="F2F2F2"/>
          </w:tcPr>
          <w:p>
            <w:r>
              <w:rPr>
                <w:sz w:val="19"/>
              </w:rPr>
              <w:t>Eleve</w:t>
            </w:r>
          </w:p>
        </w:tc>
      </w:tr>
    </w:tbl>
    <w:p/>
    <w:p>
      <w:pPr>
        <w:pStyle w:val="Heading2"/>
      </w:pPr>
      <w:r>
        <w:rPr>
          <w:rFonts w:ascii="Calibri" w:hAnsi="Calibri"/>
          <w:color w:val="2E74B5"/>
        </w:rPr>
        <w:t>6.2 Recommandations relatives a la Pertinence</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567"/>
            <w:shd w:val="clear" w:color="auto" w:fill="1F3864"/>
          </w:tcPr>
          <w:p>
            <w:r>
              <w:rPr>
                <w:b/>
                <w:color w:val="FFFFFF"/>
                <w:sz w:val="19"/>
              </w:rPr>
              <w:t>N°</w:t>
            </w:r>
          </w:p>
        </w:tc>
        <w:tc>
          <w:tcPr>
            <w:tcW w:type="dxa" w:w="4535"/>
            <w:shd w:val="clear" w:color="auto" w:fill="1F3864"/>
          </w:tcPr>
          <w:p>
            <w:r>
              <w:rPr>
                <w:b/>
                <w:color w:val="FFFFFF"/>
                <w:sz w:val="19"/>
              </w:rPr>
              <w:t>Recommandation</w:t>
            </w:r>
          </w:p>
        </w:tc>
        <w:tc>
          <w:tcPr>
            <w:tcW w:type="dxa" w:w="1134"/>
            <w:shd w:val="clear" w:color="auto" w:fill="1F3864"/>
          </w:tcPr>
          <w:p>
            <w:r>
              <w:rPr>
                <w:b/>
                <w:color w:val="FFFFFF"/>
                <w:sz w:val="19"/>
              </w:rPr>
              <w:t>Priorite</w:t>
            </w:r>
          </w:p>
        </w:tc>
        <w:tc>
          <w:tcPr>
            <w:tcW w:type="dxa" w:w="2268"/>
            <w:shd w:val="clear" w:color="auto" w:fill="1F3864"/>
          </w:tcPr>
          <w:p>
            <w:r>
              <w:rPr>
                <w:b/>
                <w:color w:val="FFFFFF"/>
                <w:sz w:val="19"/>
              </w:rPr>
              <w:t>Acteur</w:t>
            </w:r>
          </w:p>
        </w:tc>
        <w:tc>
          <w:tcPr>
            <w:tcW w:type="dxa" w:w="1701"/>
            <w:shd w:val="clear" w:color="auto" w:fill="1F3864"/>
          </w:tcPr>
          <w:p>
            <w:r>
              <w:rPr>
                <w:b/>
                <w:color w:val="FFFFFF"/>
                <w:sz w:val="19"/>
              </w:rPr>
              <w:t>Echeance</w:t>
            </w:r>
          </w:p>
        </w:tc>
      </w:tr>
      <w:tr>
        <w:tc>
          <w:tcPr>
            <w:tcW w:type="dxa" w:w="567"/>
            <w:shd w:val="clear" w:color="auto" w:fill="F2F2F2"/>
          </w:tcPr>
          <w:p>
            <w:r>
              <w:rPr>
                <w:b/>
                <w:sz w:val="19"/>
              </w:rPr>
              <w:t>R1</w:t>
            </w:r>
          </w:p>
        </w:tc>
        <w:tc>
          <w:tcPr>
            <w:tcW w:type="dxa" w:w="4535"/>
            <w:shd w:val="clear" w:color="auto" w:fill="F2F2F2"/>
          </w:tcPr>
          <w:p>
            <w:r>
              <w:rPr>
                <w:sz w:val="19"/>
              </w:rPr>
              <w:t>Conduire une analyse actualisee de l'adequation formation-emploi par filiere et region pour ajuster les quotas de qualifications par cohorte.</w:t>
            </w:r>
          </w:p>
        </w:tc>
        <w:tc>
          <w:tcPr>
            <w:tcW w:type="dxa" w:w="1134"/>
            <w:shd w:val="clear" w:color="auto" w:fill="F2F2F2"/>
          </w:tcPr>
          <w:p>
            <w:r>
              <w:rPr>
                <w:sz w:val="19"/>
              </w:rPr>
              <w:t>Haute</w:t>
            </w:r>
          </w:p>
        </w:tc>
        <w:tc>
          <w:tcPr>
            <w:tcW w:type="dxa" w:w="2268"/>
            <w:shd w:val="clear" w:color="auto" w:fill="F2F2F2"/>
          </w:tcPr>
          <w:p>
            <w:r>
              <w:rPr>
                <w:sz w:val="19"/>
              </w:rPr>
              <w:t>Coordination PSIE / ANPE / INSAE</w:t>
            </w:r>
          </w:p>
        </w:tc>
        <w:tc>
          <w:tcPr>
            <w:tcW w:type="dxa" w:w="1701"/>
            <w:shd w:val="clear" w:color="auto" w:fill="F2F2F2"/>
          </w:tcPr>
          <w:p>
            <w:r>
              <w:rPr>
                <w:sz w:val="19"/>
              </w:rPr>
              <w:t>2026</w:t>
            </w:r>
          </w:p>
        </w:tc>
      </w:tr>
      <w:tr>
        <w:tc>
          <w:tcPr>
            <w:tcW w:type="dxa" w:w="567"/>
            <w:shd w:val="clear" w:color="auto" w:fill="FFFFFF"/>
          </w:tcPr>
          <w:p>
            <w:r>
              <w:rPr>
                <w:b/>
                <w:sz w:val="19"/>
              </w:rPr>
              <w:t>R2</w:t>
            </w:r>
          </w:p>
        </w:tc>
        <w:tc>
          <w:tcPr>
            <w:tcW w:type="dxa" w:w="4535"/>
            <w:shd w:val="clear" w:color="auto" w:fill="FFFFFF"/>
          </w:tcPr>
          <w:p>
            <w:r>
              <w:rPr>
                <w:sz w:val="19"/>
              </w:rPr>
              <w:t>Explorer l'extension du plafond d'age a 40 ans pour les chomeurs de longue duree.</w:t>
            </w:r>
          </w:p>
        </w:tc>
        <w:tc>
          <w:tcPr>
            <w:tcW w:type="dxa" w:w="1134"/>
            <w:shd w:val="clear" w:color="auto" w:fill="FFFFFF"/>
          </w:tcPr>
          <w:p>
            <w:r>
              <w:rPr>
                <w:sz w:val="19"/>
              </w:rPr>
              <w:t>Moyenne</w:t>
            </w:r>
          </w:p>
        </w:tc>
        <w:tc>
          <w:tcPr>
            <w:tcW w:type="dxa" w:w="2268"/>
            <w:shd w:val="clear" w:color="auto" w:fill="FFFFFF"/>
          </w:tcPr>
          <w:p>
            <w:r>
              <w:rPr>
                <w:sz w:val="19"/>
              </w:rPr>
              <w:t>Comite de pilotage / Min. Emploi</w:t>
            </w:r>
          </w:p>
        </w:tc>
        <w:tc>
          <w:tcPr>
            <w:tcW w:type="dxa" w:w="1701"/>
            <w:shd w:val="clear" w:color="auto" w:fill="FFFFFF"/>
          </w:tcPr>
          <w:p>
            <w:r>
              <w:rPr>
                <w:sz w:val="19"/>
              </w:rPr>
              <w:t>Moyen terme</w:t>
            </w:r>
          </w:p>
        </w:tc>
      </w:tr>
    </w:tbl>
    <w:p/>
    <w:p>
      <w:pPr>
        <w:pStyle w:val="Heading2"/>
      </w:pPr>
      <w:r>
        <w:rPr>
          <w:rFonts w:ascii="Calibri" w:hAnsi="Calibri"/>
          <w:color w:val="2E74B5"/>
        </w:rPr>
        <w:t>6.3 Recommandations relatives a la Coherence</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567"/>
            <w:shd w:val="clear" w:color="auto" w:fill="1F3864"/>
          </w:tcPr>
          <w:p>
            <w:r>
              <w:rPr>
                <w:b/>
                <w:color w:val="FFFFFF"/>
                <w:sz w:val="19"/>
              </w:rPr>
              <w:t>N°</w:t>
            </w:r>
          </w:p>
        </w:tc>
        <w:tc>
          <w:tcPr>
            <w:tcW w:type="dxa" w:w="4535"/>
            <w:shd w:val="clear" w:color="auto" w:fill="1F3864"/>
          </w:tcPr>
          <w:p>
            <w:r>
              <w:rPr>
                <w:b/>
                <w:color w:val="FFFFFF"/>
                <w:sz w:val="19"/>
              </w:rPr>
              <w:t>Recommandation</w:t>
            </w:r>
          </w:p>
        </w:tc>
        <w:tc>
          <w:tcPr>
            <w:tcW w:type="dxa" w:w="1134"/>
            <w:shd w:val="clear" w:color="auto" w:fill="1F3864"/>
          </w:tcPr>
          <w:p>
            <w:r>
              <w:rPr>
                <w:b/>
                <w:color w:val="FFFFFF"/>
                <w:sz w:val="19"/>
              </w:rPr>
              <w:t>Priorite</w:t>
            </w:r>
          </w:p>
        </w:tc>
        <w:tc>
          <w:tcPr>
            <w:tcW w:type="dxa" w:w="2268"/>
            <w:shd w:val="clear" w:color="auto" w:fill="1F3864"/>
          </w:tcPr>
          <w:p>
            <w:r>
              <w:rPr>
                <w:b/>
                <w:color w:val="FFFFFF"/>
                <w:sz w:val="19"/>
              </w:rPr>
              <w:t>Acteur</w:t>
            </w:r>
          </w:p>
        </w:tc>
        <w:tc>
          <w:tcPr>
            <w:tcW w:type="dxa" w:w="1701"/>
            <w:shd w:val="clear" w:color="auto" w:fill="1F3864"/>
          </w:tcPr>
          <w:p>
            <w:r>
              <w:rPr>
                <w:b/>
                <w:color w:val="FFFFFF"/>
                <w:sz w:val="19"/>
              </w:rPr>
              <w:t>Echeance</w:t>
            </w:r>
          </w:p>
        </w:tc>
      </w:tr>
      <w:tr>
        <w:tc>
          <w:tcPr>
            <w:tcW w:type="dxa" w:w="567"/>
            <w:shd w:val="clear" w:color="auto" w:fill="F2F2F2"/>
          </w:tcPr>
          <w:p>
            <w:r>
              <w:rPr>
                <w:b/>
                <w:sz w:val="19"/>
              </w:rPr>
              <w:t>R3</w:t>
            </w:r>
          </w:p>
        </w:tc>
        <w:tc>
          <w:tcPr>
            <w:tcW w:type="dxa" w:w="4535"/>
            <w:shd w:val="clear" w:color="auto" w:fill="F2F2F2"/>
          </w:tcPr>
          <w:p>
            <w:r>
              <w:rPr>
                <w:sz w:val="19"/>
              </w:rPr>
              <w:t>Formaliser un avenant au cadre logique et au budget pour la revision salariale (+20-25 %) et la prolongation au-dela de 2025, avec des cibles actualisees.</w:t>
            </w:r>
          </w:p>
        </w:tc>
        <w:tc>
          <w:tcPr>
            <w:tcW w:type="dxa" w:w="1134"/>
            <w:shd w:val="clear" w:color="auto" w:fill="F2F2F2"/>
          </w:tcPr>
          <w:p>
            <w:r>
              <w:rPr>
                <w:sz w:val="19"/>
              </w:rPr>
              <w:t>Haute</w:t>
            </w:r>
          </w:p>
        </w:tc>
        <w:tc>
          <w:tcPr>
            <w:tcW w:type="dxa" w:w="2268"/>
            <w:shd w:val="clear" w:color="auto" w:fill="F2F2F2"/>
          </w:tcPr>
          <w:p>
            <w:r>
              <w:rPr>
                <w:sz w:val="19"/>
              </w:rPr>
              <w:t>Coordination PSIE / BAI</w:t>
            </w:r>
          </w:p>
        </w:tc>
        <w:tc>
          <w:tcPr>
            <w:tcW w:type="dxa" w:w="1701"/>
            <w:shd w:val="clear" w:color="auto" w:fill="F2F2F2"/>
          </w:tcPr>
          <w:p>
            <w:r>
              <w:rPr>
                <w:sz w:val="19"/>
              </w:rPr>
              <w:t>2026</w:t>
            </w:r>
          </w:p>
        </w:tc>
      </w:tr>
      <w:tr>
        <w:tc>
          <w:tcPr>
            <w:tcW w:type="dxa" w:w="567"/>
            <w:shd w:val="clear" w:color="auto" w:fill="FFFFFF"/>
          </w:tcPr>
          <w:p>
            <w:r>
              <w:rPr>
                <w:b/>
                <w:sz w:val="19"/>
              </w:rPr>
              <w:t>R4</w:t>
            </w:r>
          </w:p>
        </w:tc>
        <w:tc>
          <w:tcPr>
            <w:tcW w:type="dxa" w:w="4535"/>
            <w:shd w:val="clear" w:color="auto" w:fill="FFFFFF"/>
          </w:tcPr>
          <w:p>
            <w:r>
              <w:rPr>
                <w:sz w:val="19"/>
              </w:rPr>
              <w:t>Mettre en place un mecanisme de coordination avec les autres programmes d'emploi (FNPEEJ, etc.) pour eviter les doublons.</w:t>
            </w:r>
          </w:p>
        </w:tc>
        <w:tc>
          <w:tcPr>
            <w:tcW w:type="dxa" w:w="1134"/>
            <w:shd w:val="clear" w:color="auto" w:fill="FFFFFF"/>
          </w:tcPr>
          <w:p>
            <w:r>
              <w:rPr>
                <w:sz w:val="19"/>
              </w:rPr>
              <w:t>Moyenne</w:t>
            </w:r>
          </w:p>
        </w:tc>
        <w:tc>
          <w:tcPr>
            <w:tcW w:type="dxa" w:w="2268"/>
            <w:shd w:val="clear" w:color="auto" w:fill="FFFFFF"/>
          </w:tcPr>
          <w:p>
            <w:r>
              <w:rPr>
                <w:sz w:val="19"/>
              </w:rPr>
              <w:t>ANPE / Min. Emploi</w:t>
            </w:r>
          </w:p>
        </w:tc>
        <w:tc>
          <w:tcPr>
            <w:tcW w:type="dxa" w:w="1701"/>
            <w:shd w:val="clear" w:color="auto" w:fill="FFFFFF"/>
          </w:tcPr>
          <w:p>
            <w:r>
              <w:rPr>
                <w:sz w:val="19"/>
              </w:rPr>
              <w:t>Moyen terme</w:t>
            </w:r>
          </w:p>
        </w:tc>
      </w:tr>
    </w:tbl>
    <w:p/>
    <w:p>
      <w:pPr>
        <w:pStyle w:val="Heading2"/>
      </w:pPr>
      <w:r>
        <w:rPr>
          <w:rFonts w:ascii="Calibri" w:hAnsi="Calibri"/>
          <w:color w:val="2E74B5"/>
        </w:rPr>
        <w:t>6.4 Recommandations relatives a l'Efficacite</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567"/>
            <w:shd w:val="clear" w:color="auto" w:fill="1F3864"/>
          </w:tcPr>
          <w:p>
            <w:r>
              <w:rPr>
                <w:b/>
                <w:color w:val="FFFFFF"/>
                <w:sz w:val="19"/>
              </w:rPr>
              <w:t>N°</w:t>
            </w:r>
          </w:p>
        </w:tc>
        <w:tc>
          <w:tcPr>
            <w:tcW w:type="dxa" w:w="4535"/>
            <w:shd w:val="clear" w:color="auto" w:fill="1F3864"/>
          </w:tcPr>
          <w:p>
            <w:r>
              <w:rPr>
                <w:b/>
                <w:color w:val="FFFFFF"/>
                <w:sz w:val="19"/>
              </w:rPr>
              <w:t>Recommandation</w:t>
            </w:r>
          </w:p>
        </w:tc>
        <w:tc>
          <w:tcPr>
            <w:tcW w:type="dxa" w:w="1134"/>
            <w:shd w:val="clear" w:color="auto" w:fill="1F3864"/>
          </w:tcPr>
          <w:p>
            <w:r>
              <w:rPr>
                <w:b/>
                <w:color w:val="FFFFFF"/>
                <w:sz w:val="19"/>
              </w:rPr>
              <w:t>Priorite</w:t>
            </w:r>
          </w:p>
        </w:tc>
        <w:tc>
          <w:tcPr>
            <w:tcW w:type="dxa" w:w="2268"/>
            <w:shd w:val="clear" w:color="auto" w:fill="1F3864"/>
          </w:tcPr>
          <w:p>
            <w:r>
              <w:rPr>
                <w:b/>
                <w:color w:val="FFFFFF"/>
                <w:sz w:val="19"/>
              </w:rPr>
              <w:t>Acteur</w:t>
            </w:r>
          </w:p>
        </w:tc>
        <w:tc>
          <w:tcPr>
            <w:tcW w:type="dxa" w:w="1701"/>
            <w:shd w:val="clear" w:color="auto" w:fill="1F3864"/>
          </w:tcPr>
          <w:p>
            <w:r>
              <w:rPr>
                <w:b/>
                <w:color w:val="FFFFFF"/>
                <w:sz w:val="19"/>
              </w:rPr>
              <w:t>Echeance</w:t>
            </w:r>
          </w:p>
        </w:tc>
      </w:tr>
      <w:tr>
        <w:tc>
          <w:tcPr>
            <w:tcW w:type="dxa" w:w="567"/>
            <w:shd w:val="clear" w:color="auto" w:fill="F2F2F2"/>
          </w:tcPr>
          <w:p>
            <w:r>
              <w:rPr>
                <w:b/>
                <w:sz w:val="19"/>
              </w:rPr>
              <w:t>R5</w:t>
            </w:r>
          </w:p>
        </w:tc>
        <w:tc>
          <w:tcPr>
            <w:tcW w:type="dxa" w:w="4535"/>
            <w:shd w:val="clear" w:color="auto" w:fill="F2F2F2"/>
          </w:tcPr>
          <w:p>
            <w:r>
              <w:rPr>
                <w:sz w:val="19"/>
              </w:rPr>
              <w:t>Developper une strategie de deconcentration geographique - objectif : porter les insertions hors Littoral/Atlantique a &gt;= 25 % d'ici fin 2026 (contre 14,5 % au 30 sept. 2025).</w:t>
            </w:r>
          </w:p>
        </w:tc>
        <w:tc>
          <w:tcPr>
            <w:tcW w:type="dxa" w:w="1134"/>
            <w:shd w:val="clear" w:color="auto" w:fill="F2F2F2"/>
          </w:tcPr>
          <w:p>
            <w:r>
              <w:rPr>
                <w:sz w:val="19"/>
              </w:rPr>
              <w:t>HAUTE</w:t>
            </w:r>
          </w:p>
        </w:tc>
        <w:tc>
          <w:tcPr>
            <w:tcW w:type="dxa" w:w="2268"/>
            <w:shd w:val="clear" w:color="auto" w:fill="F2F2F2"/>
          </w:tcPr>
          <w:p>
            <w:r>
              <w:rPr>
                <w:sz w:val="19"/>
              </w:rPr>
              <w:t>Coordination PSIE / ANPE</w:t>
            </w:r>
          </w:p>
        </w:tc>
        <w:tc>
          <w:tcPr>
            <w:tcW w:type="dxa" w:w="1701"/>
            <w:shd w:val="clear" w:color="auto" w:fill="F2F2F2"/>
          </w:tcPr>
          <w:p>
            <w:r>
              <w:rPr>
                <w:sz w:val="19"/>
              </w:rPr>
              <w:t>2026</w:t>
            </w:r>
          </w:p>
        </w:tc>
      </w:tr>
      <w:tr>
        <w:tc>
          <w:tcPr>
            <w:tcW w:type="dxa" w:w="567"/>
            <w:shd w:val="clear" w:color="auto" w:fill="FFFFFF"/>
          </w:tcPr>
          <w:p>
            <w:r>
              <w:rPr>
                <w:b/>
                <w:sz w:val="19"/>
              </w:rPr>
              <w:t>R6</w:t>
            </w:r>
          </w:p>
        </w:tc>
        <w:tc>
          <w:tcPr>
            <w:tcW w:type="dxa" w:w="4535"/>
            <w:shd w:val="clear" w:color="auto" w:fill="FFFFFF"/>
          </w:tcPr>
          <w:p>
            <w:r>
              <w:rPr>
                <w:sz w:val="19"/>
              </w:rPr>
              <w:t>Renforcer la prospection dans les secteurs sous-representes (TIC, hotellerie, energies renouvelables) via des partenariats avec les associations professionnelles.</w:t>
            </w:r>
          </w:p>
        </w:tc>
        <w:tc>
          <w:tcPr>
            <w:tcW w:type="dxa" w:w="1134"/>
            <w:shd w:val="clear" w:color="auto" w:fill="FFFFFF"/>
          </w:tcPr>
          <w:p>
            <w:r>
              <w:rPr>
                <w:sz w:val="19"/>
              </w:rPr>
              <w:t>Haute</w:t>
            </w:r>
          </w:p>
        </w:tc>
        <w:tc>
          <w:tcPr>
            <w:tcW w:type="dxa" w:w="2268"/>
            <w:shd w:val="clear" w:color="auto" w:fill="FFFFFF"/>
          </w:tcPr>
          <w:p>
            <w:r>
              <w:rPr>
                <w:sz w:val="19"/>
              </w:rPr>
              <w:t>Coordination PSIE / ANPE</w:t>
            </w:r>
          </w:p>
        </w:tc>
        <w:tc>
          <w:tcPr>
            <w:tcW w:type="dxa" w:w="1701"/>
            <w:shd w:val="clear" w:color="auto" w:fill="FFFFFF"/>
          </w:tcPr>
          <w:p>
            <w:r>
              <w:rPr>
                <w:sz w:val="19"/>
              </w:rPr>
              <w:t>2026</w:t>
            </w:r>
          </w:p>
        </w:tc>
      </w:tr>
      <w:tr>
        <w:tc>
          <w:tcPr>
            <w:tcW w:type="dxa" w:w="567"/>
            <w:shd w:val="clear" w:color="auto" w:fill="F2F2F2"/>
          </w:tcPr>
          <w:p>
            <w:r>
              <w:rPr>
                <w:b/>
                <w:sz w:val="19"/>
              </w:rPr>
              <w:t>R7</w:t>
            </w:r>
          </w:p>
        </w:tc>
        <w:tc>
          <w:tcPr>
            <w:tcW w:type="dxa" w:w="4535"/>
            <w:shd w:val="clear" w:color="auto" w:fill="F2F2F2"/>
          </w:tcPr>
          <w:p>
            <w:r>
              <w:rPr>
                <w:sz w:val="19"/>
              </w:rPr>
              <w:t>Formaliser et operationnaliser le suivi des alumni (6, 12, 24 mois post-programme) pour renseigner les taux de retention et alimenter l'evaluation d'impact.</w:t>
            </w:r>
          </w:p>
        </w:tc>
        <w:tc>
          <w:tcPr>
            <w:tcW w:type="dxa" w:w="1134"/>
            <w:shd w:val="clear" w:color="auto" w:fill="F2F2F2"/>
          </w:tcPr>
          <w:p>
            <w:r>
              <w:rPr>
                <w:sz w:val="19"/>
              </w:rPr>
              <w:t>HAUTE</w:t>
            </w:r>
          </w:p>
        </w:tc>
        <w:tc>
          <w:tcPr>
            <w:tcW w:type="dxa" w:w="2268"/>
            <w:shd w:val="clear" w:color="auto" w:fill="F2F2F2"/>
          </w:tcPr>
          <w:p>
            <w:r>
              <w:rPr>
                <w:sz w:val="19"/>
              </w:rPr>
              <w:t>Coordination PSIE / Specialiste S-E</w:t>
            </w:r>
          </w:p>
        </w:tc>
        <w:tc>
          <w:tcPr>
            <w:tcW w:type="dxa" w:w="1701"/>
            <w:shd w:val="clear" w:color="auto" w:fill="F2F2F2"/>
          </w:tcPr>
          <w:p>
            <w:r>
              <w:rPr>
                <w:sz w:val="19"/>
              </w:rPr>
              <w:t>2026</w:t>
            </w:r>
          </w:p>
        </w:tc>
      </w:tr>
      <w:tr>
        <w:tc>
          <w:tcPr>
            <w:tcW w:type="dxa" w:w="567"/>
            <w:shd w:val="clear" w:color="auto" w:fill="FFFFFF"/>
          </w:tcPr>
          <w:p>
            <w:r>
              <w:rPr>
                <w:b/>
                <w:sz w:val="19"/>
              </w:rPr>
              <w:t>R8</w:t>
            </w:r>
          </w:p>
        </w:tc>
        <w:tc>
          <w:tcPr>
            <w:tcW w:type="dxa" w:w="4535"/>
            <w:shd w:val="clear" w:color="auto" w:fill="FFFFFF"/>
          </w:tcPr>
          <w:p>
            <w:r>
              <w:rPr>
                <w:sz w:val="19"/>
              </w:rPr>
              <w:t>Renforcer les mecanismes de suivi et de sanction des entreprises ne respectant pas les clauses contractuelles (licenciements injustifies pendant l'immersion).</w:t>
            </w:r>
          </w:p>
        </w:tc>
        <w:tc>
          <w:tcPr>
            <w:tcW w:type="dxa" w:w="1134"/>
            <w:shd w:val="clear" w:color="auto" w:fill="FFFFFF"/>
          </w:tcPr>
          <w:p>
            <w:r>
              <w:rPr>
                <w:sz w:val="19"/>
              </w:rPr>
              <w:t>Haute</w:t>
            </w:r>
          </w:p>
        </w:tc>
        <w:tc>
          <w:tcPr>
            <w:tcW w:type="dxa" w:w="2268"/>
            <w:shd w:val="clear" w:color="auto" w:fill="FFFFFF"/>
          </w:tcPr>
          <w:p>
            <w:r>
              <w:rPr>
                <w:sz w:val="19"/>
              </w:rPr>
              <w:t>Comite technique PSIE / ANPE</w:t>
            </w:r>
          </w:p>
        </w:tc>
        <w:tc>
          <w:tcPr>
            <w:tcW w:type="dxa" w:w="1701"/>
            <w:shd w:val="clear" w:color="auto" w:fill="FFFFFF"/>
          </w:tcPr>
          <w:p>
            <w:r>
              <w:rPr>
                <w:sz w:val="19"/>
              </w:rPr>
              <w:t>2026</w:t>
            </w:r>
          </w:p>
        </w:tc>
      </w:tr>
      <w:tr>
        <w:tc>
          <w:tcPr>
            <w:tcW w:type="dxa" w:w="567"/>
            <w:shd w:val="clear" w:color="auto" w:fill="F2F2F2"/>
          </w:tcPr>
          <w:p>
            <w:r>
              <w:rPr>
                <w:b/>
                <w:sz w:val="19"/>
              </w:rPr>
              <w:t>R9</w:t>
            </w:r>
          </w:p>
        </w:tc>
        <w:tc>
          <w:tcPr>
            <w:tcW w:type="dxa" w:w="4535"/>
            <w:shd w:val="clear" w:color="auto" w:fill="F2F2F2"/>
          </w:tcPr>
          <w:p>
            <w:r>
              <w:rPr>
                <w:sz w:val="19"/>
              </w:rPr>
              <w:t>Mettre en place une enquete annuelle de satisfaction des beneficiaires et des entreprises.</w:t>
            </w:r>
          </w:p>
        </w:tc>
        <w:tc>
          <w:tcPr>
            <w:tcW w:type="dxa" w:w="1134"/>
            <w:shd w:val="clear" w:color="auto" w:fill="F2F2F2"/>
          </w:tcPr>
          <w:p>
            <w:r>
              <w:rPr>
                <w:sz w:val="19"/>
              </w:rPr>
              <w:t>Moyenne</w:t>
            </w:r>
          </w:p>
        </w:tc>
        <w:tc>
          <w:tcPr>
            <w:tcW w:type="dxa" w:w="2268"/>
            <w:shd w:val="clear" w:color="auto" w:fill="F2F2F2"/>
          </w:tcPr>
          <w:p>
            <w:r>
              <w:rPr>
                <w:sz w:val="19"/>
              </w:rPr>
              <w:t>Specialiste S-E / Coordination PSIE</w:t>
            </w:r>
          </w:p>
        </w:tc>
        <w:tc>
          <w:tcPr>
            <w:tcW w:type="dxa" w:w="1701"/>
            <w:shd w:val="clear" w:color="auto" w:fill="F2F2F2"/>
          </w:tcPr>
          <w:p>
            <w:r>
              <w:rPr>
                <w:sz w:val="19"/>
              </w:rPr>
              <w:t>Moyen terme</w:t>
            </w:r>
          </w:p>
        </w:tc>
      </w:tr>
    </w:tbl>
    <w:p/>
    <w:p>
      <w:r>
        <w:br w:type="page"/>
      </w:r>
    </w:p>
    <w:p>
      <w:pPr>
        <w:pStyle w:val="Heading1"/>
      </w:pPr>
      <w:r>
        <w:rPr>
          <w:rFonts w:ascii="Calibri" w:hAnsi="Calibri"/>
          <w:color w:val="1F3864"/>
        </w:rPr>
        <w:t>7. LIMITES ET CRITERES REPORTES EN PHASE 2</w:t>
      </w:r>
    </w:p>
    <w:p>
      <w:pPr>
        <w:pStyle w:val="Heading2"/>
      </w:pPr>
      <w:r>
        <w:rPr>
          <w:rFonts w:ascii="Calibri" w:hAnsi="Calibri"/>
          <w:color w:val="2E74B5"/>
        </w:rPr>
        <w:t>7.1 Limites de la presente evaluation</w:t>
      </w:r>
    </w:p>
    <w:p>
      <w:pPr>
        <w:pStyle w:val="ListBullet"/>
        <w:ind w:left="567"/>
      </w:pPr>
      <w:r>
        <w:t>Absence de donnees primaires : pas d'entretiens avec les beneficiaires ou l'equipe de coordination.</w:t>
      </w:r>
    </w:p>
    <w:p>
      <w:pPr>
        <w:pStyle w:val="ListBullet"/>
        <w:ind w:left="567"/>
      </w:pPr>
      <w:r>
        <w:t>Pas de donnees sur la retention post-programme : taux de maintien en emploi apres 24 mois non documente.</w:t>
      </w:r>
    </w:p>
    <w:p>
      <w:pPr>
        <w:pStyle w:val="ListBullet"/>
        <w:ind w:left="567"/>
      </w:pPr>
      <w:r>
        <w:t>Donnees statistiques du diagnostic (2015-2017) a actualiser.</w:t>
      </w:r>
    </w:p>
    <w:p>
      <w:pPr>
        <w:pStyle w:val="ListBullet"/>
        <w:ind w:left="567"/>
      </w:pPr>
      <w:r>
        <w:t>Biais de rapport : les documents officiels tendent a mettre en avant les succes.</w:t>
      </w:r>
    </w:p>
    <w:p>
      <w:pPr>
        <w:pStyle w:val="Heading2"/>
      </w:pPr>
      <w:r>
        <w:rPr>
          <w:rFonts w:ascii="Calibri" w:hAnsi="Calibri"/>
          <w:color w:val="2E74B5"/>
        </w:rPr>
        <w:t>7.2 Criteres reportes a la Phase 2</w:t>
      </w:r>
    </w:p>
    <w:tbl>
      <w:tblPr>
        <w:tblStyle w:val="TableGrid"/>
        <w:tblW w:type="auto" w:w="0"/>
        <w:tblLook w:firstColumn="1" w:firstRow="1" w:lastColumn="0" w:lastRow="0" w:noHBand="0" w:noVBand="1" w:val="04A0"/>
      </w:tblPr>
      <w:tblGrid>
        <w:gridCol w:w="3079"/>
        <w:gridCol w:w="3079"/>
        <w:gridCol w:w="3079"/>
      </w:tblGrid>
      <w:tr>
        <w:tc>
          <w:tcPr>
            <w:tcW w:type="dxa" w:w="1701"/>
            <w:shd w:val="clear" w:color="auto" w:fill="1F3864"/>
          </w:tcPr>
          <w:p>
            <w:r>
              <w:rPr>
                <w:b/>
                <w:color w:val="FFFFFF"/>
                <w:sz w:val="19"/>
              </w:rPr>
              <w:t>Critere</w:t>
            </w:r>
          </w:p>
        </w:tc>
        <w:tc>
          <w:tcPr>
            <w:tcW w:type="dxa" w:w="3969"/>
            <w:shd w:val="clear" w:color="auto" w:fill="1F3864"/>
          </w:tcPr>
          <w:p>
            <w:r>
              <w:rPr>
                <w:b/>
                <w:color w:val="FFFFFF"/>
                <w:sz w:val="19"/>
              </w:rPr>
              <w:t>Definition</w:t>
            </w:r>
          </w:p>
        </w:tc>
        <w:tc>
          <w:tcPr>
            <w:tcW w:type="dxa" w:w="3969"/>
            <w:shd w:val="clear" w:color="auto" w:fill="1F3864"/>
          </w:tcPr>
          <w:p>
            <w:r>
              <w:rPr>
                <w:b/>
                <w:color w:val="FFFFFF"/>
                <w:sz w:val="19"/>
              </w:rPr>
              <w:t>Donnees necessaires</w:t>
            </w:r>
          </w:p>
        </w:tc>
      </w:tr>
      <w:tr>
        <w:tc>
          <w:tcPr>
            <w:tcW w:type="dxa" w:w="1701"/>
            <w:shd w:val="clear" w:color="auto" w:fill="F2F2F2"/>
          </w:tcPr>
          <w:p>
            <w:r>
              <w:rPr>
                <w:b/>
                <w:sz w:val="19"/>
              </w:rPr>
              <w:t>Efficience</w:t>
            </w:r>
          </w:p>
        </w:tc>
        <w:tc>
          <w:tcPr>
            <w:tcW w:type="dxa" w:w="3969"/>
            <w:shd w:val="clear" w:color="auto" w:fill="F2F2F2"/>
          </w:tcPr>
          <w:p>
            <w:r>
              <w:rPr>
                <w:sz w:val="19"/>
              </w:rPr>
              <w:t>Rapport couts/resultats compare a des programmes similaires.</w:t>
            </w:r>
          </w:p>
        </w:tc>
        <w:tc>
          <w:tcPr>
            <w:tcW w:type="dxa" w:w="3969"/>
            <w:shd w:val="clear" w:color="auto" w:fill="F2F2F2"/>
          </w:tcPr>
          <w:p>
            <w:r>
              <w:rPr>
                <w:sz w:val="19"/>
              </w:rPr>
              <w:t>Donnees financieres detaillees ; couts programmes CEDEAO comparables.</w:t>
            </w:r>
          </w:p>
        </w:tc>
      </w:tr>
      <w:tr>
        <w:tc>
          <w:tcPr>
            <w:tcW w:type="dxa" w:w="1701"/>
            <w:shd w:val="clear" w:color="auto" w:fill="FFFFFF"/>
          </w:tcPr>
          <w:p>
            <w:r>
              <w:rPr>
                <w:b/>
                <w:sz w:val="19"/>
              </w:rPr>
              <w:t>Effets/Impacts</w:t>
            </w:r>
          </w:p>
        </w:tc>
        <w:tc>
          <w:tcPr>
            <w:tcW w:type="dxa" w:w="3969"/>
            <w:shd w:val="clear" w:color="auto" w:fill="FFFFFF"/>
          </w:tcPr>
          <w:p>
            <w:r>
              <w:rPr>
                <w:sz w:val="19"/>
              </w:rPr>
              <w:t>Changements a long terme chez les beneficiaires (maintien emploi, revenus).</w:t>
            </w:r>
          </w:p>
        </w:tc>
        <w:tc>
          <w:tcPr>
            <w:tcW w:type="dxa" w:w="3969"/>
            <w:shd w:val="clear" w:color="auto" w:fill="FFFFFF"/>
          </w:tcPr>
          <w:p>
            <w:r>
              <w:rPr>
                <w:sz w:val="19"/>
              </w:rPr>
              <w:t>Enquete alumni a 6, 12 et 24 mois ; donnees longitudinales.</w:t>
            </w:r>
          </w:p>
        </w:tc>
      </w:tr>
      <w:tr>
        <w:tc>
          <w:tcPr>
            <w:tcW w:type="dxa" w:w="1701"/>
            <w:shd w:val="clear" w:color="auto" w:fill="F2F2F2"/>
          </w:tcPr>
          <w:p>
            <w:r>
              <w:rPr>
                <w:b/>
                <w:sz w:val="19"/>
              </w:rPr>
              <w:t>Durabilite</w:t>
            </w:r>
          </w:p>
        </w:tc>
        <w:tc>
          <w:tcPr>
            <w:tcW w:type="dxa" w:w="3969"/>
            <w:shd w:val="clear" w:color="auto" w:fill="F2F2F2"/>
          </w:tcPr>
          <w:p>
            <w:r>
              <w:rPr>
                <w:sz w:val="19"/>
              </w:rPr>
              <w:t>Perennite des benefices apres la fin de la periode d'immersion.</w:t>
            </w:r>
          </w:p>
        </w:tc>
        <w:tc>
          <w:tcPr>
            <w:tcW w:type="dxa" w:w="3969"/>
            <w:shd w:val="clear" w:color="auto" w:fill="F2F2F2"/>
          </w:tcPr>
          <w:p>
            <w:r>
              <w:rPr>
                <w:sz w:val="19"/>
              </w:rPr>
              <w:t>Entretiens beneficiaires et entreprises ; suivi post-programme.</w:t>
            </w:r>
          </w:p>
        </w:tc>
      </w:tr>
      <w:tr>
        <w:tc>
          <w:tcPr>
            <w:tcW w:type="dxa" w:w="1701"/>
            <w:shd w:val="clear" w:color="auto" w:fill="FFFFFF"/>
          </w:tcPr>
          <w:p>
            <w:r>
              <w:rPr>
                <w:b/>
                <w:sz w:val="19"/>
              </w:rPr>
              <w:t>Genre</w:t>
            </w:r>
          </w:p>
        </w:tc>
        <w:tc>
          <w:tcPr>
            <w:tcW w:type="dxa" w:w="3969"/>
            <w:shd w:val="clear" w:color="auto" w:fill="FFFFFF"/>
          </w:tcPr>
          <w:p>
            <w:r>
              <w:rPr>
                <w:sz w:val="19"/>
              </w:rPr>
              <w:t>Equite hommes-femmes dans l'acces, les secteurs et les resultats.</w:t>
            </w:r>
          </w:p>
        </w:tc>
        <w:tc>
          <w:tcPr>
            <w:tcW w:type="dxa" w:w="3969"/>
            <w:shd w:val="clear" w:color="auto" w:fill="FFFFFF"/>
          </w:tcPr>
          <w:p>
            <w:r>
              <w:rPr>
                <w:sz w:val="19"/>
              </w:rPr>
              <w:t>Donnees desagregees par sexe (non disponibles actuellement).</w:t>
            </w:r>
          </w:p>
        </w:tc>
      </w:tr>
    </w:tbl>
    <w:p/>
    <w:p>
      <w:r>
        <w:br w:type="page"/>
      </w:r>
    </w:p>
    <w:p>
      <w:pPr>
        <w:pStyle w:val="Heading1"/>
      </w:pPr>
      <w:r>
        <w:rPr>
          <w:rFonts w:ascii="Calibri" w:hAnsi="Calibri"/>
          <w:color w:val="1F3864"/>
        </w:rPr>
        <w:t>ANNEXE - LISTE DES DOCUMENTS CONSULTES</w:t>
      </w:r>
    </w:p>
    <w:tbl>
      <w:tblPr>
        <w:tblStyle w:val="TableGrid"/>
        <w:tblW w:type="auto" w:w="0"/>
        <w:tblLook w:firstColumn="1" w:firstRow="1" w:lastColumn="0" w:lastRow="0" w:noHBand="0" w:noVBand="1" w:val="04A0"/>
      </w:tblPr>
      <w:tblGrid>
        <w:gridCol w:w="2309"/>
        <w:gridCol w:w="2309"/>
        <w:gridCol w:w="2309"/>
        <w:gridCol w:w="2309"/>
      </w:tblGrid>
      <w:tr>
        <w:tc>
          <w:tcPr>
            <w:tcW w:type="dxa" w:w="567"/>
            <w:shd w:val="clear" w:color="auto" w:fill="1F3864"/>
          </w:tcPr>
          <w:p>
            <w:r>
              <w:rPr>
                <w:b/>
                <w:color w:val="FFFFFF"/>
                <w:sz w:val="19"/>
              </w:rPr>
              <w:t>N°</w:t>
            </w:r>
          </w:p>
        </w:tc>
        <w:tc>
          <w:tcPr>
            <w:tcW w:type="dxa" w:w="5669"/>
            <w:shd w:val="clear" w:color="auto" w:fill="1F3864"/>
          </w:tcPr>
          <w:p>
            <w:r>
              <w:rPr>
                <w:b/>
                <w:color w:val="FFFFFF"/>
                <w:sz w:val="19"/>
              </w:rPr>
              <w:t>Intitule du document</w:t>
            </w:r>
          </w:p>
        </w:tc>
        <w:tc>
          <w:tcPr>
            <w:tcW w:type="dxa" w:w="2268"/>
            <w:shd w:val="clear" w:color="auto" w:fill="1F3864"/>
          </w:tcPr>
          <w:p>
            <w:r>
              <w:rPr>
                <w:b/>
                <w:color w:val="FFFFFF"/>
                <w:sz w:val="19"/>
              </w:rPr>
              <w:t>Type</w:t>
            </w:r>
          </w:p>
        </w:tc>
        <w:tc>
          <w:tcPr>
            <w:tcW w:type="dxa" w:w="1701"/>
            <w:shd w:val="clear" w:color="auto" w:fill="1F3864"/>
          </w:tcPr>
          <w:p>
            <w:r>
              <w:rPr>
                <w:b/>
                <w:color w:val="FFFFFF"/>
                <w:sz w:val="19"/>
              </w:rPr>
              <w:t>Date</w:t>
            </w:r>
          </w:p>
        </w:tc>
      </w:tr>
      <w:tr>
        <w:tc>
          <w:tcPr>
            <w:tcW w:type="dxa" w:w="567"/>
            <w:shd w:val="clear" w:color="auto" w:fill="F2F2F2"/>
          </w:tcPr>
          <w:p>
            <w:r>
              <w:rPr>
                <w:b/>
                <w:sz w:val="19"/>
              </w:rPr>
              <w:t>1</w:t>
            </w:r>
          </w:p>
        </w:tc>
        <w:tc>
          <w:tcPr>
            <w:tcW w:type="dxa" w:w="5669"/>
            <w:shd w:val="clear" w:color="auto" w:fill="F2F2F2"/>
          </w:tcPr>
          <w:p>
            <w:r>
              <w:rPr>
                <w:sz w:val="19"/>
              </w:rPr>
              <w:t>Prodoc PSIE-BeninF (revu) 03.04.20.pdf</w:t>
            </w:r>
          </w:p>
        </w:tc>
        <w:tc>
          <w:tcPr>
            <w:tcW w:type="dxa" w:w="2268"/>
            <w:shd w:val="clear" w:color="auto" w:fill="F2F2F2"/>
          </w:tcPr>
          <w:p>
            <w:r>
              <w:rPr>
                <w:sz w:val="19"/>
              </w:rPr>
              <w:t>Document de programme</w:t>
            </w:r>
          </w:p>
        </w:tc>
        <w:tc>
          <w:tcPr>
            <w:tcW w:type="dxa" w:w="1701"/>
            <w:shd w:val="clear" w:color="auto" w:fill="F2F2F2"/>
          </w:tcPr>
          <w:p>
            <w:r>
              <w:rPr>
                <w:sz w:val="19"/>
              </w:rPr>
              <w:t>Mars 2020</w:t>
            </w:r>
          </w:p>
        </w:tc>
      </w:tr>
      <w:tr>
        <w:tc>
          <w:tcPr>
            <w:tcW w:type="dxa" w:w="567"/>
            <w:shd w:val="clear" w:color="auto" w:fill="FFFFFF"/>
          </w:tcPr>
          <w:p>
            <w:r>
              <w:rPr>
                <w:b/>
                <w:sz w:val="19"/>
              </w:rPr>
              <w:t>2</w:t>
            </w:r>
          </w:p>
        </w:tc>
        <w:tc>
          <w:tcPr>
            <w:tcW w:type="dxa" w:w="5669"/>
            <w:shd w:val="clear" w:color="auto" w:fill="FFFFFF"/>
          </w:tcPr>
          <w:p>
            <w:r>
              <w:rPr>
                <w:sz w:val="19"/>
              </w:rPr>
              <w:t>Cadre Logique PSIE.pdf</w:t>
            </w:r>
          </w:p>
        </w:tc>
        <w:tc>
          <w:tcPr>
            <w:tcW w:type="dxa" w:w="2268"/>
            <w:shd w:val="clear" w:color="auto" w:fill="FFFFFF"/>
          </w:tcPr>
          <w:p>
            <w:r>
              <w:rPr>
                <w:sz w:val="19"/>
              </w:rPr>
              <w:t>Cadre de resultats</w:t>
            </w:r>
          </w:p>
        </w:tc>
        <w:tc>
          <w:tcPr>
            <w:tcW w:type="dxa" w:w="1701"/>
            <w:shd w:val="clear" w:color="auto" w:fill="FFFFFF"/>
          </w:tcPr>
          <w:p>
            <w:r>
              <w:rPr>
                <w:sz w:val="19"/>
              </w:rPr>
              <w:t>2020</w:t>
            </w:r>
          </w:p>
        </w:tc>
      </w:tr>
      <w:tr>
        <w:tc>
          <w:tcPr>
            <w:tcW w:type="dxa" w:w="567"/>
            <w:shd w:val="clear" w:color="auto" w:fill="F2F2F2"/>
          </w:tcPr>
          <w:p>
            <w:r>
              <w:rPr>
                <w:b/>
                <w:sz w:val="19"/>
              </w:rPr>
              <w:t>3</w:t>
            </w:r>
          </w:p>
        </w:tc>
        <w:tc>
          <w:tcPr>
            <w:tcW w:type="dxa" w:w="5669"/>
            <w:shd w:val="clear" w:color="auto" w:fill="F2F2F2"/>
          </w:tcPr>
          <w:p>
            <w:r>
              <w:rPr>
                <w:sz w:val="19"/>
              </w:rPr>
              <w:t>Rapport actualise de mise en oeuvre du PSIE juil. 2020 - sept. 2025 (oct. 2025)</w:t>
            </w:r>
          </w:p>
        </w:tc>
        <w:tc>
          <w:tcPr>
            <w:tcW w:type="dxa" w:w="2268"/>
            <w:shd w:val="clear" w:color="auto" w:fill="F2F2F2"/>
          </w:tcPr>
          <w:p>
            <w:r>
              <w:rPr>
                <w:sz w:val="19"/>
              </w:rPr>
              <w:t>Rapport d'activites</w:t>
            </w:r>
          </w:p>
        </w:tc>
        <w:tc>
          <w:tcPr>
            <w:tcW w:type="dxa" w:w="1701"/>
            <w:shd w:val="clear" w:color="auto" w:fill="F2F2F2"/>
          </w:tcPr>
          <w:p>
            <w:r>
              <w:rPr>
                <w:sz w:val="19"/>
              </w:rPr>
              <w:t>Octobre 2025</w:t>
            </w:r>
          </w:p>
        </w:tc>
      </w:tr>
    </w:tbl>
    <w:p/>
    <w:sectPr w:rsidR="00FC693F" w:rsidRPr="0006063C" w:rsidSect="00034616">
      <w:footerReference w:type="default" r:id="rId9"/>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6"/>
      </w:rPr>
      <w:t>Evaluation du PSIE - Benin  |  Criteres OCDE/CAD : Pertinence / Coherence / Efficacite  |  Fevrier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