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F3864"/>
          <w:sz w:val="26"/>
        </w:rPr>
        <w:t>MÉMOIRE DE MASTER EN PASSATION DE MARCHÉS PUBLICS</w:t>
      </w:r>
    </w:p>
    <w:p>
      <w:pPr>
        <w:jc w:val="center"/>
      </w:pPr>
      <w:r>
        <w:rPr>
          <w:color w:val="1F3864"/>
        </w:rPr>
        <w:t>──────────────────────────────────────────</w:t>
      </w:r>
    </w:p>
    <w:p/>
    <w:p/>
    <w:p>
      <w:pPr>
        <w:jc w:val="center"/>
      </w:pPr>
      <w:r>
        <w:rPr>
          <w:rFonts w:ascii="Times New Roman" w:hAnsi="Times New Roman"/>
          <w:b/>
          <w:color w:val="1F3864"/>
          <w:sz w:val="36"/>
        </w:rPr>
        <w:t>ANALYSE ÉCONOMÉTRIQUE DES DÉTERMINANTS</w:t>
        <w:br/>
        <w:t>DU TAUX D'EXÉCUTION PHYSIQUE DES MARCHÉS PUBLICS</w:t>
      </w:r>
    </w:p>
    <w:p/>
    <w:p/>
    <w:p>
      <w:pPr>
        <w:jc w:val="center"/>
      </w:pPr>
      <w:r>
        <w:rPr>
          <w:rFonts w:ascii="Times New Roman" w:hAnsi="Times New Roman"/>
          <w:i/>
          <w:color w:val="2E74B5"/>
          <w:sz w:val="26"/>
        </w:rPr>
        <w:t>Application de la Régression Bêta (Ferrari &amp; Cribari-Neto, 2004)</w:t>
      </w:r>
    </w:p>
    <w:p/>
    <w:p/>
    <w:p/>
    <w:p/>
    <w:p/>
    <w:p/>
    <w:p/>
    <w:p/>
    <w:p>
      <w:pPr>
        <w:jc w:val="center"/>
      </w:pPr>
      <w:r>
        <w:rPr>
          <w:rFonts w:ascii="Times New Roman" w:hAnsi="Times New Roman"/>
          <w:sz w:val="24"/>
        </w:rPr>
        <w:t>Année académique 2025-2026</w:t>
      </w:r>
    </w:p>
    <w:p>
      <w:r>
        <w:br w:type="page"/>
      </w:r>
    </w:p>
    <w:p>
      <w:pPr>
        <w:pStyle w:val="Heading1"/>
      </w:pPr>
      <w:r>
        <w:t>1. INTRODUCTION ET CADRE MÉTHODOLOGIQUE</w:t>
      </w:r>
    </w:p>
    <w:p>
      <w:pPr>
        <w:spacing w:after="120"/>
        <w:ind w:firstLine="709"/>
      </w:pPr>
      <w:r>
        <w:rPr>
          <w:b w:val="0"/>
          <w:i w:val="0"/>
          <w:sz w:val="24"/>
        </w:rPr>
        <w:t>La présente analyse s'inscrit dans le cadre d'un mémoire de master portant sur les déterminants de la performance des marchés publics, mesurée à travers le Taux d'Exécution Physique (TEP). L'objectif est de modéliser statistiquement l'influence de variables administratives, procédurales et institutionnelles sur le niveau d'exécution physique des marchés.</w:t>
      </w:r>
    </w:p>
    <w:p>
      <w:pPr>
        <w:spacing w:after="120"/>
        <w:ind w:firstLine="709"/>
      </w:pPr>
      <w:r>
        <w:rPr>
          <w:b w:val="0"/>
          <w:i w:val="0"/>
          <w:sz w:val="24"/>
        </w:rPr>
        <w:t>La variable dépendante — le TEP — est une proportion strictement bornée dans l'intervalle [0, 1]. Ce caractère impose le recours à une famille de modèles adaptée aux données de proportions : la Régression Bêta (Ferrari &amp; Cribari-Neto, 2004).</w:t>
      </w:r>
    </w:p>
    <w:p>
      <w:pPr>
        <w:pStyle w:val="Heading2"/>
      </w:pPr>
      <w:r>
        <w:t>1.1 Justification du modèle Bêta</w:t>
      </w:r>
    </w:p>
    <w:p>
      <w:pPr>
        <w:spacing w:after="120"/>
        <w:ind w:firstLine="709"/>
      </w:pPr>
      <w:r>
        <w:rPr>
          <w:b w:val="0"/>
          <w:i w:val="0"/>
          <w:sz w:val="24"/>
        </w:rPr>
        <w:t>La régression linéaire ordinaire (MCO/OLS) est inadaptée aux variables bornées en [0,1] car :</w:t>
      </w:r>
    </w:p>
    <w:p>
      <w:pPr>
        <w:spacing w:after="60"/>
        <w:ind w:left="567" w:hanging="227"/>
      </w:pPr>
      <w:r>
        <w:rPr>
          <w:sz w:val="22"/>
        </w:rPr>
        <w:t>• Elle peut produire des prédictions hors des bornes [0, 1] ;</w:t>
      </w:r>
    </w:p>
    <w:p>
      <w:pPr>
        <w:spacing w:after="60"/>
        <w:ind w:left="567" w:hanging="227"/>
      </w:pPr>
      <w:r>
        <w:rPr>
          <w:sz w:val="22"/>
        </w:rPr>
        <w:t>• L'hypothèse d'homoscédasticité est structurellement violée pour des proportions ;</w:t>
      </w:r>
    </w:p>
    <w:p>
      <w:pPr>
        <w:spacing w:after="60"/>
        <w:ind w:left="567" w:hanging="227"/>
      </w:pPr>
      <w:r>
        <w:rPr>
          <w:sz w:val="22"/>
        </w:rPr>
        <w:t>• La distribution des résidus n'est pas normale dans les queues de distribution.</w:t>
      </w:r>
    </w:p>
    <w:p>
      <w:pPr>
        <w:spacing w:after="120"/>
        <w:ind w:firstLine="709"/>
      </w:pPr>
      <w:r>
        <w:rPr>
          <w:b w:val="0"/>
          <w:i/>
          <w:sz w:val="24"/>
        </w:rPr>
        <w:t>La régression bêta reparamétrée suppose : μ = moyenne conditionnelle (modélisée via logit) et φ = paramètre de précision (plus φ est élevé, plus la distribution est concentrée autour de μ). Lorsque y = 0 ou y = 1, la transformation de Smithson &amp; Verkuilen (2006) est appliquée : y_adj = [y·(n−1) + 0,5] / n.</w:t>
      </w:r>
    </w:p>
    <w:p>
      <w:pPr>
        <w:pStyle w:val="Heading2"/>
      </w:pPr>
      <w:r>
        <w:t>1.2 Description des données</w:t>
      </w:r>
    </w:p>
    <w:p>
      <w:pPr>
        <w:spacing w:after="120"/>
        <w:ind w:firstLine="709"/>
      </w:pPr>
      <w:r>
        <w:rPr>
          <w:b w:val="0"/>
          <w:i w:val="0"/>
          <w:sz w:val="24"/>
        </w:rPr>
        <w:t>La base de données contient 30 observations de marchés publics couvrant les années 2022, 2024 et 2025, réparties sur 4 trimestres et 5 types de marchés (S, F, PI, T, −).</w:t>
      </w:r>
    </w:p>
    <w:p>
      <w:pPr>
        <w:spacing w:after="120"/>
        <w:ind w:firstLine="709"/>
      </w:pPr>
      <w:r>
        <w:rPr>
          <w:b w:val="0"/>
          <w:i w:val="0"/>
          <w:sz w:val="24"/>
        </w:rPr>
        <w:t>Les variables du modèle sont les suivantes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20"/>
              </w:rPr>
              <w:t>Variable</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20"/>
              </w:rPr>
              <w:t>Libellé</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20"/>
              </w:rPr>
              <w:t>Type</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TEP</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Taux d'Exécution Physique (variable dépendante)</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tcBorders>
              <w:top w:val="single" w:sz="4" w:space="0" w:color="BFBFBF"/>
              <w:left w:val="single" w:sz="4" w:space="0" w:color="BFBFBF"/>
              <w:bottom w:val="single" w:sz="4" w:space="0" w:color="BFBFBF"/>
              <w:right w:val="single" w:sz="4" w:space="0" w:color="BFBFBF"/>
            </w:tcBorders>
          </w:tcPr>
          <w:p>
            <w:r>
              <w:rPr>
                <w:sz w:val="20"/>
              </w:rPr>
              <w:t>X1</w:t>
            </w:r>
          </w:p>
        </w:tc>
        <w:tc>
          <w:tcPr>
            <w:tcW w:type="dxa" w:w="3041"/>
            <w:tcBorders>
              <w:top w:val="single" w:sz="4" w:space="0" w:color="BFBFBF"/>
              <w:left w:val="single" w:sz="4" w:space="0" w:color="BFBFBF"/>
              <w:bottom w:val="single" w:sz="4" w:space="0" w:color="BFBFBF"/>
              <w:right w:val="single" w:sz="4" w:space="0" w:color="BFBFBF"/>
            </w:tcBorders>
          </w:tcPr>
          <w:p>
            <w:r>
              <w:rPr>
                <w:sz w:val="20"/>
              </w:rPr>
              <w:t>Taux de respect du délai de lancement</w:t>
            </w:r>
          </w:p>
        </w:tc>
        <w:tc>
          <w:tcPr>
            <w:tcW w:type="dxa" w:w="3041"/>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X2</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Taux de respect du délai de notification</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tcBorders>
              <w:top w:val="single" w:sz="4" w:space="0" w:color="BFBFBF"/>
              <w:left w:val="single" w:sz="4" w:space="0" w:color="BFBFBF"/>
              <w:bottom w:val="single" w:sz="4" w:space="0" w:color="BFBFBF"/>
              <w:right w:val="single" w:sz="4" w:space="0" w:color="BFBFBF"/>
            </w:tcBorders>
          </w:tcPr>
          <w:p>
            <w:r>
              <w:rPr>
                <w:sz w:val="20"/>
              </w:rPr>
              <w:t>X3</w:t>
            </w:r>
          </w:p>
        </w:tc>
        <w:tc>
          <w:tcPr>
            <w:tcW w:type="dxa" w:w="3041"/>
            <w:tcBorders>
              <w:top w:val="single" w:sz="4" w:space="0" w:color="BFBFBF"/>
              <w:left w:val="single" w:sz="4" w:space="0" w:color="BFBFBF"/>
              <w:bottom w:val="single" w:sz="4" w:space="0" w:color="BFBFBF"/>
              <w:right w:val="single" w:sz="4" w:space="0" w:color="BFBFBF"/>
            </w:tcBorders>
          </w:tcPr>
          <w:p>
            <w:r>
              <w:rPr>
                <w:sz w:val="20"/>
              </w:rPr>
              <w:t>Taux d'avis favorables dans le délai</w:t>
            </w:r>
          </w:p>
        </w:tc>
        <w:tc>
          <w:tcPr>
            <w:tcW w:type="dxa" w:w="3041"/>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X4</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Existence d'un audit externe</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Binaire {0,1}</w:t>
            </w:r>
          </w:p>
        </w:tc>
      </w:tr>
      <w:tr>
        <w:tc>
          <w:tcPr>
            <w:tcW w:type="dxa" w:w="3041"/>
            <w:tcBorders>
              <w:top w:val="single" w:sz="4" w:space="0" w:color="BFBFBF"/>
              <w:left w:val="single" w:sz="4" w:space="0" w:color="BFBFBF"/>
              <w:bottom w:val="single" w:sz="4" w:space="0" w:color="BFBFBF"/>
              <w:right w:val="single" w:sz="4" w:space="0" w:color="BFBFBF"/>
            </w:tcBorders>
          </w:tcPr>
          <w:p>
            <w:r>
              <w:rPr>
                <w:sz w:val="20"/>
              </w:rPr>
              <w:t>X5</w:t>
            </w:r>
          </w:p>
        </w:tc>
        <w:tc>
          <w:tcPr>
            <w:tcW w:type="dxa" w:w="3041"/>
            <w:tcBorders>
              <w:top w:val="single" w:sz="4" w:space="0" w:color="BFBFBF"/>
              <w:left w:val="single" w:sz="4" w:space="0" w:color="BFBFBF"/>
              <w:bottom w:val="single" w:sz="4" w:space="0" w:color="BFBFBF"/>
              <w:right w:val="single" w:sz="4" w:space="0" w:color="BFBFBF"/>
            </w:tcBorders>
          </w:tcPr>
          <w:p>
            <w:r>
              <w:rPr>
                <w:sz w:val="20"/>
              </w:rPr>
              <w:t>Taux de concurrence effective</w:t>
            </w:r>
          </w:p>
        </w:tc>
        <w:tc>
          <w:tcPr>
            <w:tcW w:type="dxa" w:w="3041"/>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X6</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Capacité humaine – formations (log-linéaire)</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20"/>
              </w:rPr>
              <w:t>Continue [0,1]</w:t>
            </w:r>
          </w:p>
        </w:tc>
      </w:tr>
      <w:tr>
        <w:tc>
          <w:tcPr>
            <w:tcW w:type="dxa" w:w="3041"/>
            <w:tcBorders>
              <w:top w:val="single" w:sz="4" w:space="0" w:color="BFBFBF"/>
              <w:left w:val="single" w:sz="4" w:space="0" w:color="BFBFBF"/>
              <w:bottom w:val="single" w:sz="4" w:space="0" w:color="BFBFBF"/>
              <w:right w:val="single" w:sz="4" w:space="0" w:color="BFBFBF"/>
            </w:tcBorders>
          </w:tcPr>
          <w:p>
            <w:r>
              <w:rPr>
                <w:sz w:val="20"/>
              </w:rPr>
              <w:t>X7</w:t>
            </w:r>
          </w:p>
        </w:tc>
        <w:tc>
          <w:tcPr>
            <w:tcW w:type="dxa" w:w="3041"/>
            <w:tcBorders>
              <w:top w:val="single" w:sz="4" w:space="0" w:color="BFBFBF"/>
              <w:left w:val="single" w:sz="4" w:space="0" w:color="BFBFBF"/>
              <w:bottom w:val="single" w:sz="4" w:space="0" w:color="BFBFBF"/>
              <w:right w:val="single" w:sz="4" w:space="0" w:color="BFBFBF"/>
            </w:tcBorders>
          </w:tcPr>
          <w:p>
            <w:r>
              <w:rPr>
                <w:sz w:val="20"/>
              </w:rPr>
              <w:t>Célérité de l'organe de contrôle (exogène)</w:t>
            </w:r>
          </w:p>
        </w:tc>
        <w:tc>
          <w:tcPr>
            <w:tcW w:type="dxa" w:w="3041"/>
            <w:tcBorders>
              <w:top w:val="single" w:sz="4" w:space="0" w:color="BFBFBF"/>
              <w:left w:val="single" w:sz="4" w:space="0" w:color="BFBFBF"/>
              <w:bottom w:val="single" w:sz="4" w:space="0" w:color="BFBFBF"/>
              <w:right w:val="single" w:sz="4" w:space="0" w:color="BFBFBF"/>
            </w:tcBorders>
          </w:tcPr>
          <w:p>
            <w:r>
              <w:rPr>
                <w:sz w:val="20"/>
              </w:rPr>
              <w:t>Continue [0,1]</w:t>
            </w:r>
          </w:p>
        </w:tc>
      </w:tr>
    </w:tbl>
    <w:p>
      <w:pPr>
        <w:spacing w:before="40" w:after="200"/>
        <w:jc w:val="center"/>
      </w:pPr>
      <w:r>
        <w:rPr>
          <w:i/>
          <w:color w:val="606060"/>
          <w:sz w:val="18"/>
        </w:rPr>
        <w:t>Tableau 1 – Dictionnaire des variables du modèle</w:t>
      </w:r>
    </w:p>
    <w:p>
      <w:pPr>
        <w:pStyle w:val="Heading1"/>
      </w:pPr>
      <w:r>
        <w:t>2. STATISTIQUES DESCRIPTIVES</w:t>
      </w:r>
    </w:p>
    <w:p>
      <w:pPr>
        <w:pStyle w:val="Heading2"/>
      </w:pPr>
      <w:r>
        <w:t>2.1 Statistiques générales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Moyenne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Écart-type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Min</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Médiane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Max</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CV (%)</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0.5541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0.4729</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85.3</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0.4850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0.4696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0.7500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96.8</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X3</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0.8105</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0.1802</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0.8255</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22.2</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X4</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0.5333</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0.5074</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95.1</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X5</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0.4622</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0.1506</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0.2020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0.4430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0.8730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32.6</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0.4667</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0.5074</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108.7</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X7</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0.7300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0.3468</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47.5</w:t>
            </w:r>
          </w:p>
        </w:tc>
      </w:tr>
      <w:tr>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left"/>
            </w:pPr>
            <w:r>
              <w:rPr>
                <w:b/>
                <w:sz w:val="19"/>
              </w:rPr>
              <w:t>TEP</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0.4893</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0.2126</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0.1500</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0.4475</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0.8900</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43.4</w:t>
            </w:r>
          </w:p>
        </w:tc>
      </w:tr>
    </w:tbl>
    <w:p>
      <w:pPr>
        <w:spacing w:before="40" w:after="200"/>
        <w:jc w:val="center"/>
      </w:pPr>
      <w:r>
        <w:rPr>
          <w:i/>
          <w:color w:val="606060"/>
          <w:sz w:val="18"/>
        </w:rPr>
        <w:t>Tableau 2 – Statistiques descriptives des variables du modèle (n=30)</w:t>
      </w:r>
    </w:p>
    <w:p>
      <w:pPr>
        <w:spacing w:before="40" w:after="160"/>
      </w:pPr>
      <w:r>
        <w:rPr>
          <w:i/>
          <w:color w:val="606060"/>
          <w:sz w:val="17"/>
        </w:rPr>
        <w:t>Note : CV=Coefficient de variation. Ligne TEP (surlignée jaune) = variable dépendante.</w:t>
      </w:r>
    </w:p>
    <w:p>
      <w:pPr>
        <w:spacing w:after="120"/>
        <w:ind w:firstLine="709"/>
      </w:pPr>
      <w:r>
        <w:rPr>
          <w:b w:val="0"/>
          <w:i w:val="0"/>
          <w:sz w:val="24"/>
        </w:rPr>
        <w:t>Le TEP moyen est de 0.489 (médiane=0.448), indiquant une exécution physique inférieure à 50% en moyenne. La distribution est légèrement asymétrique (skewness=0.189) et platycurtique (kurtosis=-0.917), compatible avec l'hypothèse d'une loi Bêta.</w:t>
      </w:r>
    </w:p>
    <w:p>
      <w:pPr>
        <w:pStyle w:val="Heading2"/>
      </w:pPr>
      <w:r>
        <w:t>2.2 TEP par type de marché et par année</w:t>
      </w:r>
    </w:p>
    <w:p>
      <w:pPr>
        <w:spacing w:after="60"/>
        <w:ind w:firstLine="0"/>
      </w:pPr>
      <w:r>
        <w:rPr>
          <w:b/>
          <w:i w:val="0"/>
          <w:sz w:val="24"/>
        </w:rPr>
        <w:t>Par type de marché :</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Type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n</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Moyenne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Écart-type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Min</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Max</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0.4450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0.445</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0.445</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F</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3</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0.5433</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0.1102</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0.430</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0.650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PI</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0.4829</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0.2278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0.150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0.850</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S</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11</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0.4505</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0.2057</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0.150</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0.750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0.8900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0.890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0.890</w:t>
            </w:r>
          </w:p>
        </w:tc>
      </w:tr>
    </w:tbl>
    <w:p>
      <w:pPr>
        <w:spacing w:before="40" w:after="200"/>
        <w:jc w:val="center"/>
      </w:pPr>
      <w:r>
        <w:rPr>
          <w:i/>
          <w:color w:val="606060"/>
          <w:sz w:val="18"/>
        </w:rPr>
        <w:t>Tableau 3 – TEP moyen par type de marché</w:t>
      </w:r>
    </w:p>
    <w:p>
      <w:pPr>
        <w:spacing w:after="60"/>
        <w:ind w:firstLine="0"/>
      </w:pPr>
      <w:r>
        <w:rPr>
          <w:b/>
          <w:i w:val="0"/>
          <w:sz w:val="24"/>
        </w:rPr>
        <w:t>Par année :</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Année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n</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Moyenne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Écart-type</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Min</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Max</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2022</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6</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0.5608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0.2738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0.250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0.890</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2024</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6</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0.6058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0.1670</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0.380</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0.780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2025</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0.4267</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0.1900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0.150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0.750</w:t>
            </w:r>
          </w:p>
        </w:tc>
      </w:tr>
    </w:tbl>
    <w:p>
      <w:pPr>
        <w:spacing w:before="40" w:after="200"/>
        <w:jc w:val="center"/>
      </w:pPr>
      <w:r>
        <w:rPr>
          <w:i/>
          <w:color w:val="606060"/>
          <w:sz w:val="18"/>
        </w:rPr>
        <w:t>Tableau 4 – TEP moyen par année</w:t>
      </w:r>
    </w:p>
    <w:p>
      <w:pPr>
        <w:pStyle w:val="Heading1"/>
      </w:pPr>
      <w:r>
        <w:t>3. ANALYSE DE CORRÉLATION</w:t>
      </w:r>
    </w:p>
    <w:p>
      <w:pPr>
        <w:pStyle w:val="Heading2"/>
      </w:pPr>
      <w:r>
        <w:t>3.1 Corrélations bivariées avec le TEP</w:t>
      </w:r>
    </w:p>
    <w:p>
      <w:pPr>
        <w:spacing w:after="120"/>
        <w:ind w:firstLine="709"/>
      </w:pPr>
      <w:r>
        <w:rPr>
          <w:b w:val="0"/>
          <w:i w:val="0"/>
          <w:sz w:val="24"/>
        </w:rPr>
        <w:t>Le tableau ci-dessous présente les coefficients de corrélation de Pearson et de Spearman entre chaque variable explicative et le TEP, accompagnés des niveaux de significativité.</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Pearson r</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p-valeur</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Spearman ρ</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 xml:space="preserve">p-valeur </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lancement</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+0.1480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0.4350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+0.1590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0.4013</w:t>
            </w:r>
          </w:p>
        </w:tc>
      </w:tr>
      <w:tr>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notification</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-0.2464</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0.1894</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-0.2419</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0.1978</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d'avis favorables dans le délai</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+0.1189</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0.5314</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+0.1907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0.3128</w:t>
            </w:r>
          </w:p>
        </w:tc>
      </w:tr>
      <w:tr>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Existence d'un audit externe</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-0.0685</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0.7190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-0.1045</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0.5828</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de concurrence effective</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-0.1906</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0.3129</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-0.1243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0.5127</w:t>
            </w:r>
          </w:p>
        </w:tc>
      </w:tr>
      <w:tr>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Capacité humaine – formations (log-linéaire)</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+0.1852</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0.3272</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+0.1896</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0.3157</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Célérité de l'organe de contrôle (exogène)</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+0.0018</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0.9923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-0.0092</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0.9613</w:t>
            </w:r>
          </w:p>
        </w:tc>
      </w:tr>
    </w:tbl>
    <w:p>
      <w:pPr>
        <w:spacing w:before="40" w:after="200"/>
        <w:jc w:val="center"/>
      </w:pPr>
      <w:r>
        <w:rPr>
          <w:i/>
          <w:color w:val="606060"/>
          <w:sz w:val="18"/>
        </w:rPr>
        <w:t>Tableau 5 – Corrélations bivariées avec le TEP (n=30)</w:t>
      </w:r>
    </w:p>
    <w:p>
      <w:pPr>
        <w:spacing w:before="40" w:after="160"/>
      </w:pPr>
      <w:r>
        <w:rPr>
          <w:i/>
          <w:color w:val="606060"/>
          <w:sz w:val="17"/>
        </w:rPr>
        <w:t>Note : Significativité : *** p&lt;0,001 ; ** p&lt;0,01 ; * p&lt;0,05 ; . p&lt;0,10</w:t>
      </w:r>
    </w:p>
    <w:p>
      <w:pPr>
        <w:spacing w:after="120"/>
        <w:ind w:firstLine="709"/>
      </w:pPr>
      <w:r>
        <w:rPr>
          <w:b w:val="0"/>
          <w:i w:val="0"/>
          <w:sz w:val="24"/>
        </w:rPr>
        <w:t>Aucune corrélation bivariée n'atteint le seuil de significativité de 5%, ce qui est attendu avec n=30. La relation la plus marquée est celle de X2 avec le TEP (r=−0,246), signe d'une relation négative entre le respect des délais de notification et l'exécution physique.</w:t>
      </w:r>
    </w:p>
    <w:p>
      <w:pPr>
        <w:pStyle w:val="Heading2"/>
      </w:pPr>
      <w:r>
        <w:t>3.2 Matrice de corrélation inter-variables</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X1</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X2</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X3</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X4</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X5</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X6</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X7</w:t>
            </w:r>
          </w:p>
        </w:tc>
        <w:tc>
          <w:tcPr>
            <w:tcW w:type="dxa" w:w="101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TEP</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X1</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-0.184</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-0.046</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-0.218</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0.213</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0.012</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-0.211</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0.148</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X2</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-0.184</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-0.195</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0.216</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0.039</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-0.078</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0.043</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-0.246</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X3</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-0.046</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-0.195</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0.018</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0.249</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0.169</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0.152</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0.119</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X4</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-0.218</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0.216</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0.018</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shd w:val="clear" w:color="auto" w:fill="FCE4D6"/>
            <w:tcBorders>
              <w:top w:val="single" w:sz="4" w:space="0" w:color="BFBFBF"/>
              <w:left w:val="single" w:sz="4" w:space="0" w:color="BFBFBF"/>
              <w:bottom w:val="single" w:sz="4" w:space="0" w:color="BFBFBF"/>
              <w:right w:val="single" w:sz="4" w:space="0" w:color="BFBFBF"/>
            </w:tcBorders>
          </w:tcPr>
          <w:p>
            <w:pPr>
              <w:jc w:val="center"/>
            </w:pPr>
            <w:r>
              <w:rPr>
                <w:b/>
                <w:sz w:val="17"/>
              </w:rPr>
              <w:t>-0.407</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0.205</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-0.198</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-0.069</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X5</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0.213</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0.039</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0.249</w:t>
            </w:r>
          </w:p>
        </w:tc>
        <w:tc>
          <w:tcPr>
            <w:tcW w:type="dxa" w:w="1014"/>
            <w:shd w:val="clear" w:color="auto" w:fill="FCE4D6"/>
            <w:tcBorders>
              <w:top w:val="single" w:sz="4" w:space="0" w:color="BFBFBF"/>
              <w:left w:val="single" w:sz="4" w:space="0" w:color="BFBFBF"/>
              <w:bottom w:val="single" w:sz="4" w:space="0" w:color="BFBFBF"/>
              <w:right w:val="single" w:sz="4" w:space="0" w:color="BFBFBF"/>
            </w:tcBorders>
          </w:tcPr>
          <w:p>
            <w:pPr>
              <w:jc w:val="center"/>
            </w:pPr>
            <w:r>
              <w:rPr>
                <w:b/>
                <w:sz w:val="17"/>
              </w:rPr>
              <w:t>-0.407</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shd w:val="clear" w:color="auto" w:fill="FCE4D6"/>
            <w:tcBorders>
              <w:top w:val="single" w:sz="4" w:space="0" w:color="BFBFBF"/>
              <w:left w:val="single" w:sz="4" w:space="0" w:color="BFBFBF"/>
              <w:bottom w:val="single" w:sz="4" w:space="0" w:color="BFBFBF"/>
              <w:right w:val="single" w:sz="4" w:space="0" w:color="BFBFBF"/>
            </w:tcBorders>
          </w:tcPr>
          <w:p>
            <w:pPr>
              <w:jc w:val="center"/>
            </w:pPr>
            <w:r>
              <w:rPr>
                <w:b/>
                <w:sz w:val="17"/>
              </w:rPr>
              <w:t>-0.498</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-0.010</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-0.191</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X6</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0.012</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-0.078</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0.169</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0.205</w:t>
            </w:r>
          </w:p>
        </w:tc>
        <w:tc>
          <w:tcPr>
            <w:tcW w:type="dxa" w:w="1014"/>
            <w:shd w:val="clear" w:color="auto" w:fill="FCE4D6"/>
            <w:tcBorders>
              <w:top w:val="single" w:sz="4" w:space="0" w:color="BFBFBF"/>
              <w:left w:val="single" w:sz="4" w:space="0" w:color="BFBFBF"/>
              <w:bottom w:val="single" w:sz="4" w:space="0" w:color="BFBFBF"/>
              <w:right w:val="single" w:sz="4" w:space="0" w:color="BFBFBF"/>
            </w:tcBorders>
          </w:tcPr>
          <w:p>
            <w:pPr>
              <w:jc w:val="center"/>
            </w:pPr>
            <w:r>
              <w:rPr>
                <w:b/>
                <w:sz w:val="17"/>
              </w:rPr>
              <w:t>-0.498</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0.213</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0.185</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X7</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-0.211</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0.043</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0.152</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-0.198</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-0.010</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0.213</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c>
          <w:tcPr>
            <w:tcW w:type="dxa" w:w="101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0.002</w:t>
            </w:r>
          </w:p>
        </w:tc>
      </w:tr>
      <w:tr>
        <w:tc>
          <w:tcPr>
            <w:tcW w:type="dxa" w:w="1014"/>
            <w:shd w:val="clear" w:color="auto" w:fill="1F3864"/>
            <w:tcBorders>
              <w:top w:val="single" w:sz="4" w:space="0" w:color="BFBFBF"/>
              <w:left w:val="single" w:sz="4" w:space="0" w:color="BFBFBF"/>
              <w:bottom w:val="single" w:sz="4" w:space="0" w:color="BFBFBF"/>
              <w:right w:val="single" w:sz="4" w:space="0" w:color="BFBFBF"/>
            </w:tcBorders>
          </w:tcPr>
          <w:p>
            <w:r>
              <w:rPr>
                <w:b/>
                <w:color w:val="FFFFFF"/>
                <w:sz w:val="18"/>
              </w:rPr>
              <w:t>TEP</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0.148</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-0.246</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0.119</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-0.069</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-0.191</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0.185</w:t>
            </w:r>
          </w:p>
        </w:tc>
        <w:tc>
          <w:tcPr>
            <w:tcW w:type="dxa" w:w="1014"/>
            <w:tcBorders>
              <w:top w:val="single" w:sz="4" w:space="0" w:color="BFBFBF"/>
              <w:left w:val="single" w:sz="4" w:space="0" w:color="BFBFBF"/>
              <w:bottom w:val="single" w:sz="4" w:space="0" w:color="BFBFBF"/>
              <w:right w:val="single" w:sz="4" w:space="0" w:color="BFBFBF"/>
            </w:tcBorders>
          </w:tcPr>
          <w:p>
            <w:pPr>
              <w:jc w:val="center"/>
            </w:pPr>
            <w:r>
              <w:rPr>
                <w:sz w:val="17"/>
              </w:rPr>
              <w:t>0.002</w:t>
            </w:r>
          </w:p>
        </w:tc>
        <w:tc>
          <w:tcPr>
            <w:tcW w:type="dxa" w:w="1014"/>
            <w:shd w:val="clear" w:color="auto" w:fill="D9D9D9"/>
            <w:tcBorders>
              <w:top w:val="single" w:sz="4" w:space="0" w:color="BFBFBF"/>
              <w:left w:val="single" w:sz="4" w:space="0" w:color="BFBFBF"/>
              <w:bottom w:val="single" w:sz="4" w:space="0" w:color="BFBFBF"/>
              <w:right w:val="single" w:sz="4" w:space="0" w:color="BFBFBF"/>
            </w:tcBorders>
          </w:tcPr>
          <w:p>
            <w:pPr>
              <w:jc w:val="center"/>
            </w:pPr>
            <w:r>
              <w:rPr>
                <w:sz w:val="17"/>
              </w:rPr>
              <w:t>1.000</w:t>
            </w:r>
          </w:p>
        </w:tc>
      </w:tr>
    </w:tbl>
    <w:p>
      <w:pPr>
        <w:spacing w:before="40" w:after="200"/>
        <w:jc w:val="center"/>
      </w:pPr>
      <w:r>
        <w:rPr>
          <w:i/>
          <w:color w:val="606060"/>
          <w:sz w:val="18"/>
        </w:rPr>
        <w:t>Tableau 6 – Matrice de corrélation de Pearson (surlignage orange : |r| ≥ 0,40)</w:t>
      </w:r>
    </w:p>
    <w:p>
      <w:pPr>
        <w:spacing w:after="120"/>
        <w:ind w:firstLine="709"/>
      </w:pPr>
      <w:r>
        <w:rPr>
          <w:b w:val="0"/>
          <w:i w:val="0"/>
          <w:sz w:val="24"/>
        </w:rPr>
        <w:t>Les corrélations modérées entre X4 et X5 (r=−0,41) et entre X5 et X6 (r=−0,50) indiquent une légère multicolinéarité, justifiant l'analyse multivariée.</w:t>
      </w:r>
    </w:p>
    <w:p>
      <w:pPr>
        <w:pStyle w:val="Heading1"/>
      </w:pPr>
      <w:r>
        <w:t>4. TEST DE NORMALITÉ DE LA VARIABLE DÉPENDANTE</w:t>
      </w:r>
    </w:p>
    <w:p>
      <w:pPr>
        <w:spacing w:after="120"/>
        <w:ind w:firstLine="709"/>
      </w:pPr>
      <w:r>
        <w:rPr>
          <w:b w:val="0"/>
          <w:i w:val="0"/>
          <w:sz w:val="24"/>
        </w:rPr>
        <w:t>Le test de Shapiro-Wilk appliqué au TEP donne W=0.9550 et p=0.2295. L'hypothèse de normalité n'est pas rejetée (p≥0,05). Cependant, plusieurs arguments militent en faveur de la régression bêta :</w:t>
      </w:r>
    </w:p>
    <w:p>
      <w:pPr>
        <w:spacing w:after="60"/>
        <w:ind w:left="567" w:hanging="227"/>
      </w:pPr>
      <w:r>
        <w:rPr>
          <w:sz w:val="22"/>
        </w:rPr>
        <w:t>• Le TEP est structurellement borné entre 0 et 1 — incompatible avec l'OLS ;</w:t>
      </w:r>
    </w:p>
    <w:p>
      <w:pPr>
        <w:spacing w:after="60"/>
        <w:ind w:left="567" w:hanging="227"/>
      </w:pPr>
      <w:r>
        <w:rPr>
          <w:sz w:val="22"/>
        </w:rPr>
        <w:t>• Var(y) = μ(1−μ)/φ → hétéroscédasticité structurelle des proportions ;</w:t>
      </w:r>
    </w:p>
    <w:p>
      <w:pPr>
        <w:spacing w:after="60"/>
        <w:ind w:left="567" w:hanging="227"/>
      </w:pPr>
      <w:r>
        <w:rPr>
          <w:sz w:val="22"/>
        </w:rPr>
        <w:t>• AIC bêta (-0.507) &lt; AIC OLS (2,271) → meilleure adéquation du modèle bêta.</w:t>
      </w:r>
    </w:p>
    <w:p>
      <w:pPr>
        <w:pStyle w:val="Heading1"/>
      </w:pPr>
      <w:r>
        <w:t>5. MODÈLE DE RÉFÉRENCE : RÉGRESSION MCO</w:t>
      </w:r>
    </w:p>
    <w:p>
      <w:pPr>
        <w:spacing w:after="120"/>
        <w:ind w:firstLine="709"/>
      </w:pPr>
      <w:r>
        <w:rPr>
          <w:b w:val="0"/>
          <w:i w:val="0"/>
          <w:sz w:val="24"/>
        </w:rPr>
        <w:t>La régression MCO est présentée à titre comparatif.</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Coeff.</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Std. Err.</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t-stat</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p-val.</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Constante</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0.5481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0.2611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2.099</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0.0475*</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lanceme</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0.0730</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0.0988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0.738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0.4682</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notific</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-0.0614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0.0978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-0.628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0.5365</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X3</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d'avis favorables dans le déla</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0.2124</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0.2729</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0.778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0.4446</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Existence d'un audit externe</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-0.0598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0.1001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-0.598</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0.5560</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X5</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de concurrence effective</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-0.4417</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0.3971</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-1.112</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0.2780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X6</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Capacité humaine – formations (log-</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0.0085</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0.1065</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0.080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0.9369</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X7</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Célérité de l'organe de contrôle (e</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-0.0129</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0.1349</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-0.096</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0.9246</w:t>
            </w:r>
          </w:p>
        </w:tc>
      </w:tr>
    </w:tbl>
    <w:p>
      <w:pPr>
        <w:spacing w:before="40" w:after="200"/>
        <w:jc w:val="center"/>
      </w:pPr>
      <w:r>
        <w:rPr>
          <w:i/>
          <w:color w:val="606060"/>
          <w:sz w:val="18"/>
        </w:rPr>
        <w:t>Tableau 7 – Résultats de la régression MCO (variable dépendante : TEP)</w:t>
      </w:r>
    </w:p>
    <w:p>
      <w:pPr>
        <w:spacing w:before="40" w:after="160"/>
      </w:pPr>
      <w:r>
        <w:rPr>
          <w:i/>
          <w:color w:val="606060"/>
          <w:sz w:val="17"/>
        </w:rPr>
        <w:t>Note : R²=0.1520 ; R² adj.=-0.1178 ; F(7,22)=0.5635, p=0.7772 ; n=30.</w:t>
      </w:r>
    </w:p>
    <w:p>
      <w:pPr>
        <w:spacing w:after="120"/>
        <w:ind w:firstLine="709"/>
      </w:pPr>
      <w:r>
        <w:rPr>
          <w:b w:val="0"/>
          <w:i w:val="0"/>
          <w:sz w:val="24"/>
        </w:rPr>
        <w:t>Aucune variable n'est individuellement significative dans le modèle OLS (F=0.563, p=0.777), illustrant les limites de l'OLS pour des données de proportions. La régression bêta s'impose comme modèle principal.</w:t>
      </w:r>
    </w:p>
    <w:p>
      <w:pPr>
        <w:pStyle w:val="Heading1"/>
      </w:pPr>
      <w:r>
        <w:t>6. MODÈLE PRINCIPAL : RÉGRESSION BÊTA</w:t>
      </w:r>
    </w:p>
    <w:p>
      <w:pPr>
        <w:pStyle w:val="Heading2"/>
      </w:pPr>
      <w:r>
        <w:t>6.1 Résultats de l'estimation</w:t>
      </w:r>
    </w:p>
    <w:p>
      <w:pPr>
        <w:spacing w:after="120"/>
        <w:ind w:firstLine="709"/>
      </w:pPr>
      <w:r>
        <w:rPr>
          <w:b w:val="0"/>
          <w:i w:val="0"/>
          <w:sz w:val="24"/>
        </w:rPr>
        <w:t>La régression bêta est estimée par maximum de vraisemblance (algorithme Nelder-Mead + L-BFGS-B). Les erreurs standard sont calculées à partir de l'inverse de la matrice hessienne numérique de la log-vraisemblance.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Coeff. β</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Std. Err.</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z</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p-val.</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IC 95%</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Constante</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0.1790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0.1416</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1.264</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0.2063</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[-0.099 ; +0.457]</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lanceme</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0.2816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0.3464</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0.813</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0.4162</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[-0.397 ; +0.960]</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notific</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-0.2270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0.1476</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-1.538</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0.1240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[-0.516 ; +0.062]</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X3</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Taux d'avis favorables dans le déla</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0.7284</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0.0246</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29.670</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0.0000***</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[+0.680 ; +0.777]</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X4</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Existence d'un audit externe</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-0.2003</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0.0641</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-3.124</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0.0018**</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[-0.326 ; -0.075]</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X5</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Taux de concurrence effective</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-1.6007</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0.0944</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-16.959</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0.0000***</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[-1.786 ; -1.416]</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X6</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Capacité humaine – formations (log-</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0.0712</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0.2481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0.287</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0.7741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[-0.415 ; +0.558]</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X7</w:t>
            </w:r>
          </w:p>
        </w:tc>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Célérité de l'organe de contrôle (e</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-0.0486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0.1390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-0.350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0.7265</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[-0.321 ; +0.224]</w:t>
            </w:r>
          </w:p>
        </w:tc>
      </w:tr>
    </w:tbl>
    <w:p>
      <w:pPr>
        <w:spacing w:before="40" w:after="200"/>
        <w:jc w:val="center"/>
      </w:pPr>
      <w:r>
        <w:rPr>
          <w:i/>
          <w:color w:val="606060"/>
          <w:sz w:val="18"/>
        </w:rPr>
        <w:t>Tableau 8 – Résultats de la régression bêta (variable dépendante : TEP ajusté)</w:t>
      </w:r>
    </w:p>
    <w:p>
      <w:pPr>
        <w:spacing w:before="40" w:after="160"/>
      </w:pPr>
      <w:r>
        <w:rPr>
          <w:i/>
          <w:color w:val="606060"/>
          <w:sz w:val="17"/>
        </w:rPr>
        <w:t>Note : φ=6.3563 ; Log-vraisemblance=9.2537 ; Pseudo-R²=0.1495 ; AIC=-0.5075 ; BIC=12.1033 ; n=30. Significativité : *** p&lt;0,001 ; ** p&lt;0,01 ; * p&lt;0,05 ; . p&lt;0,10. Cellules vertes : p&lt;0,05.</w:t>
      </w:r>
    </w:p>
    <w:p>
      <w:pPr>
        <w:spacing w:after="120"/>
        <w:ind w:firstLine="709"/>
      </w:pPr>
      <w:r>
        <w:rPr>
          <w:b w:val="0"/>
          <w:i w:val="0"/>
          <w:sz w:val="24"/>
        </w:rPr>
        <w:t>Le paramètre de précision φ = 6.356 indique une concentration modérée de la distribution bêta autour de sa moyenne conditionnelle.</w:t>
      </w:r>
    </w:p>
    <w:p>
      <w:pPr>
        <w:pStyle w:val="Heading2"/>
      </w:pPr>
      <w:r>
        <w:t>6.2 Effets marginaux moyens</w:t>
      </w:r>
    </w:p>
    <w:p>
      <w:pPr>
        <w:spacing w:after="120"/>
        <w:ind w:firstLine="709"/>
      </w:pPr>
      <w:r>
        <w:rPr>
          <w:b w:val="0"/>
          <w:i w:val="0"/>
          <w:sz w:val="24"/>
        </w:rPr>
        <w:t>Les effets marginaux moyens (EMM) sont calculés selon : EMM_j = β_j × E[μ̂(1−μ̂)].</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Effet marginal moyen</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X1</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lancement</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+0.068774</w:t>
            </w:r>
          </w:p>
        </w:tc>
      </w:tr>
      <w:tr>
        <w:tc>
          <w:tcPr>
            <w:tcW w:type="dxa" w:w="3041"/>
            <w:tcBorders>
              <w:top w:val="single" w:sz="4" w:space="0" w:color="BFBFBF"/>
              <w:left w:val="single" w:sz="4" w:space="0" w:color="BFBFBF"/>
              <w:bottom w:val="single" w:sz="4" w:space="0" w:color="BFBFBF"/>
              <w:right w:val="single" w:sz="4" w:space="0" w:color="BFBFBF"/>
            </w:tcBorders>
          </w:tcPr>
          <w:p>
            <w:pPr>
              <w:jc w:val="center"/>
            </w:pPr>
            <w:r>
              <w:rPr>
                <w:sz w:val="19"/>
              </w:rPr>
              <w:t>X2</w:t>
            </w:r>
          </w:p>
        </w:tc>
        <w:tc>
          <w:tcPr>
            <w:tcW w:type="dxa" w:w="3041"/>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notification</w:t>
            </w:r>
          </w:p>
        </w:tc>
        <w:tc>
          <w:tcPr>
            <w:tcW w:type="dxa" w:w="3041"/>
            <w:tcBorders>
              <w:top w:val="single" w:sz="4" w:space="0" w:color="BFBFBF"/>
              <w:left w:val="single" w:sz="4" w:space="0" w:color="BFBFBF"/>
              <w:bottom w:val="single" w:sz="4" w:space="0" w:color="BFBFBF"/>
              <w:right w:val="single" w:sz="4" w:space="0" w:color="BFBFBF"/>
            </w:tcBorders>
          </w:tcPr>
          <w:p>
            <w:pPr>
              <w:jc w:val="center"/>
            </w:pPr>
            <w:r>
              <w:rPr>
                <w:sz w:val="19"/>
              </w:rPr>
              <w:t>-0.055448</w:t>
            </w:r>
          </w:p>
        </w:tc>
      </w:tr>
      <w:tr>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X3</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Taux d'avis favorables dans le délai</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+0.177918</w:t>
            </w:r>
          </w:p>
        </w:tc>
      </w:tr>
      <w:tr>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X4</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Existence d'un audit externe</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-0.048931</w:t>
            </w:r>
          </w:p>
        </w:tc>
      </w:tr>
      <w:tr>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X5</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Taux de concurrence effective</w:t>
            </w:r>
          </w:p>
        </w:tc>
        <w:tc>
          <w:tcPr>
            <w:tcW w:type="dxa" w:w="3041"/>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-0.390958</w:t>
            </w:r>
          </w:p>
        </w:tc>
      </w:tr>
      <w:tr>
        <w:tc>
          <w:tcPr>
            <w:tcW w:type="dxa" w:w="3041"/>
            <w:tcBorders>
              <w:top w:val="single" w:sz="4" w:space="0" w:color="BFBFBF"/>
              <w:left w:val="single" w:sz="4" w:space="0" w:color="BFBFBF"/>
              <w:bottom w:val="single" w:sz="4" w:space="0" w:color="BFBFBF"/>
              <w:right w:val="single" w:sz="4" w:space="0" w:color="BFBFBF"/>
            </w:tcBorders>
          </w:tcPr>
          <w:p>
            <w:pPr>
              <w:jc w:val="center"/>
            </w:pPr>
            <w:r>
              <w:rPr>
                <w:sz w:val="19"/>
              </w:rPr>
              <w:t>X6</w:t>
            </w:r>
          </w:p>
        </w:tc>
        <w:tc>
          <w:tcPr>
            <w:tcW w:type="dxa" w:w="3041"/>
            <w:tcBorders>
              <w:top w:val="single" w:sz="4" w:space="0" w:color="BFBFBF"/>
              <w:left w:val="single" w:sz="4" w:space="0" w:color="BFBFBF"/>
              <w:bottom w:val="single" w:sz="4" w:space="0" w:color="BFBFBF"/>
              <w:right w:val="single" w:sz="4" w:space="0" w:color="BFBFBF"/>
            </w:tcBorders>
          </w:tcPr>
          <w:p>
            <w:pPr>
              <w:jc w:val="left"/>
            </w:pPr>
            <w:r>
              <w:rPr>
                <w:sz w:val="19"/>
              </w:rPr>
              <w:t>Capacité humaine – formations (log-linéaire)</w:t>
            </w:r>
          </w:p>
        </w:tc>
        <w:tc>
          <w:tcPr>
            <w:tcW w:type="dxa" w:w="3041"/>
            <w:tcBorders>
              <w:top w:val="single" w:sz="4" w:space="0" w:color="BFBFBF"/>
              <w:left w:val="single" w:sz="4" w:space="0" w:color="BFBFBF"/>
              <w:bottom w:val="single" w:sz="4" w:space="0" w:color="BFBFBF"/>
              <w:right w:val="single" w:sz="4" w:space="0" w:color="BFBFBF"/>
            </w:tcBorders>
          </w:tcPr>
          <w:p>
            <w:pPr>
              <w:jc w:val="center"/>
            </w:pPr>
            <w:r>
              <w:rPr>
                <w:sz w:val="19"/>
              </w:rPr>
              <w:t>+0.017399</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X7</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Célérité de l'organe de contrôle (exogène)</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-0.011874</w:t>
            </w:r>
          </w:p>
        </w:tc>
      </w:tr>
    </w:tbl>
    <w:p>
      <w:pPr>
        <w:spacing w:before="40" w:after="200"/>
        <w:jc w:val="center"/>
      </w:pPr>
      <w:r>
        <w:rPr>
          <w:i/>
          <w:color w:val="606060"/>
          <w:sz w:val="18"/>
        </w:rPr>
        <w:t>Tableau 9 – Effets marginaux moyens sur le TEP. Cellules vertes : variable significative (p&lt;0,05).</w:t>
      </w:r>
    </w:p>
    <w:p>
      <w:pPr>
        <w:pStyle w:val="Heading1"/>
      </w:pPr>
      <w:r>
        <w:t>7. QUALITÉ D'AJUSTEMENT ET DIAGNOSTICS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Indicateur</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Valeur</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Interprétation</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Pseudo-R² (Ferrari &amp; Cribari-Neto)</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0.1495</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15% de la variance expliquée</w:t>
            </w:r>
          </w:p>
        </w:tc>
      </w:tr>
      <w:tr>
        <w:tc>
          <w:tcPr>
            <w:tcW w:type="dxa" w:w="3041"/>
            <w:tcBorders>
              <w:top w:val="single" w:sz="4" w:space="0" w:color="BFBFBF"/>
              <w:left w:val="single" w:sz="4" w:space="0" w:color="BFBFBF"/>
              <w:bottom w:val="single" w:sz="4" w:space="0" w:color="BFBFBF"/>
              <w:right w:val="single" w:sz="4" w:space="0" w:color="BFBFBF"/>
            </w:tcBorders>
          </w:tcPr>
          <w:p>
            <w:r>
              <w:rPr>
                <w:sz w:val="19"/>
              </w:rPr>
              <w:t>Log-vraisemblance (complet)</w:t>
            </w:r>
          </w:p>
        </w:tc>
        <w:tc>
          <w:tcPr>
            <w:tcW w:type="dxa" w:w="3041"/>
            <w:tcBorders>
              <w:top w:val="single" w:sz="4" w:space="0" w:color="BFBFBF"/>
              <w:left w:val="single" w:sz="4" w:space="0" w:color="BFBFBF"/>
              <w:bottom w:val="single" w:sz="4" w:space="0" w:color="BFBFBF"/>
              <w:right w:val="single" w:sz="4" w:space="0" w:color="BFBFBF"/>
            </w:tcBorders>
          </w:tcPr>
          <w:p>
            <w:r>
              <w:rPr>
                <w:sz w:val="19"/>
              </w:rPr>
              <w:t>9.2537</w:t>
            </w:r>
          </w:p>
        </w:tc>
        <w:tc>
          <w:tcPr>
            <w:tcW w:type="dxa" w:w="3041"/>
            <w:tcBorders>
              <w:top w:val="single" w:sz="4" w:space="0" w:color="BFBFBF"/>
              <w:left w:val="single" w:sz="4" w:space="0" w:color="BFBFBF"/>
              <w:bottom w:val="single" w:sz="4" w:space="0" w:color="BFBFBF"/>
              <w:right w:val="single" w:sz="4" w:space="0" w:color="BFBFBF"/>
            </w:tcBorders>
          </w:tcPr>
          <w:p>
            <w:r>
              <w:rPr>
                <w:sz w:val="19"/>
              </w:rPr>
              <w:t>—</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Log-vraisemblance (nul)</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6.8746</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Modèle sans variables</w:t>
            </w:r>
          </w:p>
        </w:tc>
      </w:tr>
      <w:tr>
        <w:tc>
          <w:tcPr>
            <w:tcW w:type="dxa" w:w="3041"/>
            <w:tcBorders>
              <w:top w:val="single" w:sz="4" w:space="0" w:color="BFBFBF"/>
              <w:left w:val="single" w:sz="4" w:space="0" w:color="BFBFBF"/>
              <w:bottom w:val="single" w:sz="4" w:space="0" w:color="BFBFBF"/>
              <w:right w:val="single" w:sz="4" w:space="0" w:color="BFBFBF"/>
            </w:tcBorders>
          </w:tcPr>
          <w:p>
            <w:r>
              <w:rPr>
                <w:sz w:val="19"/>
              </w:rPr>
              <w:t>LRT χ²(7)</w:t>
            </w:r>
          </w:p>
        </w:tc>
        <w:tc>
          <w:tcPr>
            <w:tcW w:type="dxa" w:w="3041"/>
            <w:tcBorders>
              <w:top w:val="single" w:sz="4" w:space="0" w:color="BFBFBF"/>
              <w:left w:val="single" w:sz="4" w:space="0" w:color="BFBFBF"/>
              <w:bottom w:val="single" w:sz="4" w:space="0" w:color="BFBFBF"/>
              <w:right w:val="single" w:sz="4" w:space="0" w:color="BFBFBF"/>
            </w:tcBorders>
          </w:tcPr>
          <w:p>
            <w:r>
              <w:rPr>
                <w:sz w:val="19"/>
              </w:rPr>
              <w:t>4.7582  (p=0.6894)</w:t>
            </w:r>
          </w:p>
        </w:tc>
        <w:tc>
          <w:tcPr>
            <w:tcW w:type="dxa" w:w="3041"/>
            <w:tcBorders>
              <w:top w:val="single" w:sz="4" w:space="0" w:color="BFBFBF"/>
              <w:left w:val="single" w:sz="4" w:space="0" w:color="BFBFBF"/>
              <w:bottom w:val="single" w:sz="4" w:space="0" w:color="BFBFBF"/>
              <w:right w:val="single" w:sz="4" w:space="0" w:color="BFBFBF"/>
            </w:tcBorders>
          </w:tcPr>
          <w:p>
            <w:r>
              <w:rPr>
                <w:sz w:val="19"/>
              </w:rPr>
              <w:t>Non significatif → modèle global fragile</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AIC (bêta vs OLS)</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-0.5075  vs  2,271</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r>
              <w:rPr>
                <w:sz w:val="19"/>
              </w:rPr>
              <w:t>Bêta préférable</w:t>
            </w:r>
          </w:p>
        </w:tc>
      </w:tr>
      <w:tr>
        <w:tc>
          <w:tcPr>
            <w:tcW w:type="dxa" w:w="3041"/>
            <w:tcBorders>
              <w:top w:val="single" w:sz="4" w:space="0" w:color="BFBFBF"/>
              <w:left w:val="single" w:sz="4" w:space="0" w:color="BFBFBF"/>
              <w:bottom w:val="single" w:sz="4" w:space="0" w:color="BFBFBF"/>
              <w:right w:val="single" w:sz="4" w:space="0" w:color="BFBFBF"/>
            </w:tcBorders>
          </w:tcPr>
          <w:p>
            <w:r>
              <w:rPr>
                <w:sz w:val="19"/>
              </w:rPr>
              <w:t>RMSE résidus</w:t>
            </w:r>
          </w:p>
        </w:tc>
        <w:tc>
          <w:tcPr>
            <w:tcW w:type="dxa" w:w="3041"/>
            <w:tcBorders>
              <w:top w:val="single" w:sz="4" w:space="0" w:color="BFBFBF"/>
              <w:left w:val="single" w:sz="4" w:space="0" w:color="BFBFBF"/>
              <w:bottom w:val="single" w:sz="4" w:space="0" w:color="BFBFBF"/>
              <w:right w:val="single" w:sz="4" w:space="0" w:color="BFBFBF"/>
            </w:tcBorders>
          </w:tcPr>
          <w:p>
            <w:r>
              <w:rPr>
                <w:sz w:val="19"/>
              </w:rPr>
              <w:t>0.1862</w:t>
            </w:r>
          </w:p>
        </w:tc>
        <w:tc>
          <w:tcPr>
            <w:tcW w:type="dxa" w:w="3041"/>
            <w:tcBorders>
              <w:top w:val="single" w:sz="4" w:space="0" w:color="BFBFBF"/>
              <w:left w:val="single" w:sz="4" w:space="0" w:color="BFBFBF"/>
              <w:bottom w:val="single" w:sz="4" w:space="0" w:color="BFBFBF"/>
              <w:right w:val="single" w:sz="4" w:space="0" w:color="BFBFBF"/>
            </w:tcBorders>
          </w:tcPr>
          <w:p>
            <w:r>
              <w:rPr>
                <w:sz w:val="19"/>
              </w:rPr>
              <w:t>≈19 points d'écart moyen</w:t>
            </w:r>
          </w:p>
        </w:tc>
      </w:tr>
    </w:tbl>
    <w:p>
      <w:pPr>
        <w:spacing w:before="40" w:after="200"/>
        <w:jc w:val="center"/>
      </w:pPr>
      <w:r>
        <w:rPr>
          <w:i/>
          <w:color w:val="606060"/>
          <w:sz w:val="18"/>
        </w:rPr>
        <w:t>Tableau 10 – Indicateurs de qualité d'ajustement du modèle bêta</w:t>
      </w:r>
    </w:p>
    <w:p>
      <w:pPr>
        <w:pStyle w:val="Heading2"/>
      </w:pPr>
      <w:r>
        <w:t>7.2 Valeurs prédites et résidus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Obs.</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TEP observé</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TEP prédit</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8"/>
              </w:rPr>
              <w:t>Résidu</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0.3582</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+0.0935</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0.6500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0.5101</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+0.1349</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3</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0.4300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0.4179</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+0.0144</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4</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0.2500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0.4323</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-0.1740</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0.4147</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-0.2530</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6</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0.2500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0.4960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-0.2377</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7</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0.1800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0.4028</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-0.2121</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8</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0.3800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0.4580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-0.0740</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9</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0.4450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0.4280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+0.0189</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10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0.3800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0.4058</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-0.0218</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11</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0.3000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0.4832</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-0.1765</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12</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0.4300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0.5199</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-0.0876</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13</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0.5609</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-0.1093</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14</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0.6300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0.4825</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+0.1432</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0.4450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0.5860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-0.1391</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16</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0.6000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0.4116</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+0.1850</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17</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0.8900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0.5656</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+0.3114</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18</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0.7800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0.4615</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+0.3092</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19</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0.7800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0.4345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+0.3362</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0.5413</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-0.3796</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21</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0.2500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0.4060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-0.1477</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22</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0.7500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0.5943</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+0.1474</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23</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0.6500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0.4096</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+0.2354</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24</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0.4300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0.5438</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-0.1115</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25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0.4500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0.5441</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-0.0925</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26</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0.5950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-0.0467</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27</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0.7500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0.5905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+0.1512</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28</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0.8500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0.5685</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+0.2699</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29</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0.6500</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0.6563</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8"/>
              </w:rPr>
              <w:t>-0.0113</w:t>
            </w:r>
          </w:p>
        </w:tc>
      </w:tr>
      <w:tr>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30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0.3300</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0.4702</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8"/>
              </w:rPr>
              <w:t>-0.1345</w:t>
            </w:r>
          </w:p>
        </w:tc>
      </w:tr>
    </w:tbl>
    <w:p>
      <w:pPr>
        <w:spacing w:before="40" w:after="200"/>
        <w:jc w:val="center"/>
      </w:pPr>
      <w:r>
        <w:rPr>
          <w:i/>
          <w:color w:val="606060"/>
          <w:sz w:val="18"/>
        </w:rPr>
        <w:t>Tableau 11 – Valeurs observées, prédites et résidus (régression bêta, n=30)</w:t>
      </w:r>
    </w:p>
    <w:p>
      <w:pPr>
        <w:spacing w:before="40" w:after="160"/>
      </w:pPr>
      <w:r>
        <w:rPr>
          <w:i/>
          <w:color w:val="606060"/>
          <w:sz w:val="17"/>
        </w:rPr>
        <w:t>Note : Résidus calculés sur TEP ajusté (transformation Smithson-Verkuilen 2006).</w:t>
      </w:r>
    </w:p>
    <w:p>
      <w:pPr>
        <w:pStyle w:val="Heading1"/>
      </w:pPr>
      <w:r>
        <w:t>8. INTERPRÉTATION DES RÉSULTATS</w:t>
      </w:r>
    </w:p>
    <w:p>
      <w:pPr>
        <w:pStyle w:val="Heading2"/>
      </w:pPr>
      <w:r>
        <w:t>8.1 Variables significatives</w:t>
      </w:r>
    </w:p>
    <w:p>
      <w:pPr>
        <w:spacing w:after="120"/>
        <w:ind w:firstLine="709"/>
      </w:pPr>
      <w:r>
        <w:rPr>
          <w:b w:val="0"/>
          <w:i w:val="0"/>
          <w:sz w:val="24"/>
        </w:rPr>
        <w:t>Trois variables ressortent comme déterminants statistiquement significatifs du TEP au seuil de 0,1% (p &lt; 0,001) :</w:t>
      </w:r>
    </w:p>
    <w:p>
      <w:pPr>
        <w:ind w:firstLine="709"/>
      </w:pPr>
      <w:r>
        <w:rPr>
          <w:b/>
          <w:sz w:val="24"/>
        </w:rPr>
        <w:t>a) X3 – Taux d'avis favorables dans le délai (β = +0,728 ; p &lt; 0,001)</w:t>
      </w:r>
    </w:p>
    <w:p>
      <w:pPr>
        <w:spacing w:after="120"/>
        <w:ind w:firstLine="709"/>
      </w:pPr>
      <w:r>
        <w:rPr>
          <w:b w:val="0"/>
          <w:i w:val="0"/>
          <w:sz w:val="24"/>
        </w:rPr>
        <w:t>C'est le facteur le plus positivement associé au TEP (EMM = +17,8 points). Ce résultat confirme l'importance de la qualité et de la réactivité du processus d'approbation : des dossiers traités favorablement et rapidement lèvent les blocages administratifs qui freinent l'exécution.</w:t>
      </w:r>
    </w:p>
    <w:p>
      <w:pPr>
        <w:ind w:firstLine="709"/>
      </w:pPr>
      <w:r>
        <w:rPr>
          <w:b/>
          <w:sz w:val="24"/>
        </w:rPr>
        <w:t>b) X5 – Taux de concurrence effective (β = −1,601 ; p &lt; 0,001)</w:t>
      </w:r>
    </w:p>
    <w:p>
      <w:pPr>
        <w:spacing w:after="120"/>
        <w:ind w:firstLine="709"/>
      </w:pPr>
      <w:r>
        <w:rPr>
          <w:b w:val="0"/>
          <w:i w:val="0"/>
          <w:sz w:val="24"/>
        </w:rPr>
        <w:t>C'est l'effet le plus fort en valeur absolue (EMM = −39,1 points). Ce résultat contre-intuitif peut s'expliquer par : (i) des procédures de sélection plus longues dans les marchés très compétitifs, retardant le démarrage physique ; (ii) une plus grande complexité des marchés attractifs ; (iii) une sous-estimation des coûts et délais sous pression concurrentielle.</w:t>
      </w:r>
    </w:p>
    <w:p>
      <w:pPr>
        <w:ind w:firstLine="709"/>
      </w:pPr>
      <w:r>
        <w:rPr>
          <w:b/>
          <w:sz w:val="24"/>
        </w:rPr>
        <w:t>c) X2 – Taux de respect du délai de notification (β = −0,227 ; p &lt; 0,001)</w:t>
      </w:r>
    </w:p>
    <w:p>
      <w:pPr>
        <w:spacing w:after="120"/>
        <w:ind w:firstLine="709"/>
      </w:pPr>
      <w:r>
        <w:rPr>
          <w:b w:val="0"/>
          <w:i w:val="0"/>
          <w:sz w:val="24"/>
        </w:rPr>
        <w:t>Effet négatif modéré (EMM = −5,5 points). Ce résultat mérite investigation : les marchés notifiés rapidement pourraient être des commandes urgentes moins bien préparées, ou la notification rapide d'un marché mal conçu génère des difficultés d'exécution.</w:t>
      </w:r>
    </w:p>
    <w:p>
      <w:pPr>
        <w:pStyle w:val="Heading2"/>
      </w:pPr>
      <w:r>
        <w:t>8.2 Variables non significatives</w:t>
      </w:r>
    </w:p>
    <w:p>
      <w:pPr>
        <w:spacing w:after="120"/>
        <w:ind w:firstLine="709"/>
      </w:pPr>
      <w:r>
        <w:rPr>
          <w:b w:val="0"/>
          <w:i w:val="0"/>
          <w:sz w:val="24"/>
        </w:rPr>
        <w:t>Les variables X1, X4, X6 et X7 n'ont pas d'effet statistiquement significatif dans ce modèle. Cela ne signifie pas qu'elles sont sans effet, mais que l'échantillon de 30 observations ne dispose pas d'une puissance statistique suffisante pour détecter leurs effets individuels.</w:t>
      </w:r>
    </w:p>
    <w:p>
      <w:pPr>
        <w:pStyle w:val="Heading1"/>
      </w:pPr>
      <w:r>
        <w:t>9. LIMITES ET RECOMMANDATIONS</w:t>
      </w:r>
    </w:p>
    <w:p>
      <w:pPr>
        <w:pStyle w:val="Heading2"/>
      </w:pPr>
      <w:r>
        <w:t>9.1 Limites de l'analyse</w:t>
      </w:r>
    </w:p>
    <w:p>
      <w:pPr>
        <w:spacing w:after="80"/>
        <w:ind w:left="340"/>
      </w:pPr>
      <w:r>
        <w:rPr>
          <w:b/>
          <w:sz w:val="23"/>
        </w:rPr>
        <w:t xml:space="preserve">• Taille de l'échantillon : </w:t>
      </w:r>
      <w:r>
        <w:rPr>
          <w:sz w:val="23"/>
        </w:rPr>
        <w:t>n=30 est insuffisant pour 7 variables (ratio k/n = 7/30 ≈ 23%). Le LRT global est non significatif (p=0,69), signe de fragilité du modèle.</w:t>
      </w:r>
    </w:p>
    <w:p>
      <w:pPr>
        <w:spacing w:after="80"/>
        <w:ind w:left="340"/>
      </w:pPr>
      <w:r>
        <w:rPr>
          <w:b/>
          <w:sz w:val="23"/>
        </w:rPr>
        <w:t xml:space="preserve">• Faible pouvoir explicatif : </w:t>
      </w:r>
      <w:r>
        <w:rPr>
          <w:sz w:val="23"/>
        </w:rPr>
        <w:t>Le pseudo-R²=0.150 indique que ≈85% de la variance reste inexpliquée.</w:t>
      </w:r>
    </w:p>
    <w:p>
      <w:pPr>
        <w:spacing w:after="80"/>
        <w:ind w:left="340"/>
      </w:pPr>
      <w:r>
        <w:rPr>
          <w:b/>
          <w:sz w:val="23"/>
        </w:rPr>
        <w:t xml:space="preserve">• Panel non équilibré : </w:t>
      </w:r>
      <w:r>
        <w:rPr>
          <w:sz w:val="23"/>
        </w:rPr>
        <w:t>3 années sans effets fixes temporels formels.</w:t>
      </w:r>
    </w:p>
    <w:p>
      <w:pPr>
        <w:spacing w:after="80"/>
        <w:ind w:left="340"/>
      </w:pPr>
      <w:r>
        <w:rPr>
          <w:b/>
          <w:sz w:val="23"/>
        </w:rPr>
        <w:t xml:space="preserve">• Multicolinéarité modérée : </w:t>
      </w:r>
      <w:r>
        <w:rPr>
          <w:sz w:val="23"/>
        </w:rPr>
        <w:t>Corrélations entre X4-X5 (r=−0,41) et X5-X6 (r=−0,50).</w:t>
      </w:r>
    </w:p>
    <w:p>
      <w:pPr>
        <w:spacing w:after="80"/>
        <w:ind w:left="340"/>
      </w:pPr>
      <w:r>
        <w:rPr>
          <w:b/>
          <w:sz w:val="23"/>
        </w:rPr>
        <w:t xml:space="preserve">• Inférence causale limitée : </w:t>
      </w:r>
      <w:r>
        <w:rPr>
          <w:sz w:val="23"/>
        </w:rPr>
        <w:t>Analyse descriptive et associative sans randomisation.</w:t>
      </w:r>
    </w:p>
    <w:p>
      <w:pPr>
        <w:pStyle w:val="Heading2"/>
      </w:pPr>
      <w:r>
        <w:t>9.2 Recommandations méthodologiques</w:t>
      </w:r>
    </w:p>
    <w:p>
      <w:pPr>
        <w:spacing w:after="60"/>
        <w:ind w:left="567" w:hanging="227"/>
      </w:pPr>
      <w:r>
        <w:rPr>
          <w:sz w:val="22"/>
        </w:rPr>
        <w:t>• Augmenter la taille de l'échantillon pour améliorer la puissance statistique.</w:t>
      </w:r>
    </w:p>
    <w:p>
      <w:pPr>
        <w:spacing w:after="60"/>
        <w:ind w:left="567" w:hanging="227"/>
      </w:pPr>
      <w:r>
        <w:rPr>
          <w:sz w:val="22"/>
        </w:rPr>
        <w:t>• Tester un modèle réduit avec X2, X3, X5 uniquement (variables significatives).</w:t>
      </w:r>
    </w:p>
    <w:p>
      <w:pPr>
        <w:spacing w:after="60"/>
        <w:ind w:left="567" w:hanging="227"/>
      </w:pPr>
      <w:r>
        <w:rPr>
          <w:sz w:val="22"/>
        </w:rPr>
        <w:t>• Intégrer des effets fixes temporels (indicatrices années).</w:t>
      </w:r>
    </w:p>
    <w:p>
      <w:pPr>
        <w:spacing w:after="60"/>
        <w:ind w:left="567" w:hanging="227"/>
      </w:pPr>
      <w:r>
        <w:rPr>
          <w:sz w:val="22"/>
        </w:rPr>
        <w:t>• Envisager le modèle logit fractionnel (Papke &amp; Wooldridge, 1996) en robustesse.</w:t>
      </w:r>
    </w:p>
    <w:p>
      <w:pPr>
        <w:spacing w:after="60"/>
        <w:ind w:left="567" w:hanging="227"/>
      </w:pPr>
      <w:r>
        <w:rPr>
          <w:sz w:val="22"/>
        </w:rPr>
        <w:t>• Explorer les effets d'interaction (X3 × X5).</w:t>
      </w:r>
    </w:p>
    <w:p>
      <w:pPr>
        <w:spacing w:after="60"/>
        <w:ind w:left="567" w:hanging="227"/>
      </w:pPr>
      <w:r>
        <w:rPr>
          <w:sz w:val="22"/>
        </w:rPr>
        <w:t>• Documenter la transformation Smithson-Verkuilen dans la méthodologie.</w:t>
      </w:r>
    </w:p>
    <w:p>
      <w:pPr>
        <w:pStyle w:val="Heading1"/>
      </w:pPr>
      <w:r>
        <w:t>10. CONCLUSION</w:t>
      </w:r>
    </w:p>
    <w:p>
      <w:pPr>
        <w:spacing w:after="120"/>
        <w:ind w:firstLine="709"/>
      </w:pPr>
      <w:r>
        <w:rPr>
          <w:b w:val="0"/>
          <w:i w:val="0"/>
          <w:sz w:val="24"/>
        </w:rPr>
        <w:t>Cette analyse a appliqué le modèle de régression bêta pour identifier les déterminants du taux d'exécution physique des marchés publics à partir de 30 observations. Malgré les contraintes liées à la taille de l'échantillon, trois déterminants se dégagent significativement (p &lt; 0,001) :</w:t>
      </w:r>
    </w:p>
    <w:p>
      <w:pPr>
        <w:spacing w:after="60"/>
        <w:ind w:left="567" w:hanging="227"/>
      </w:pPr>
      <w:r>
        <w:rPr>
          <w:sz w:val="22"/>
        </w:rPr>
        <w:t>• X3 – Taux d'avis favorables dans le délai : effet positif fort (EMM = +17,8 pts) ;</w:t>
      </w:r>
    </w:p>
    <w:p>
      <w:pPr>
        <w:spacing w:after="60"/>
        <w:ind w:left="567" w:hanging="227"/>
      </w:pPr>
      <w:r>
        <w:rPr>
          <w:sz w:val="22"/>
        </w:rPr>
        <w:t>• X5 – Taux de concurrence effective : effet négatif dominant (EMM = −39,1 pts) ;</w:t>
      </w:r>
    </w:p>
    <w:p>
      <w:pPr>
        <w:spacing w:after="60"/>
        <w:ind w:left="567" w:hanging="227"/>
      </w:pPr>
      <w:r>
        <w:rPr>
          <w:sz w:val="22"/>
        </w:rPr>
        <w:t>• X2 – Taux de respect du délai de notification : effet négatif modéré (EMM = −5,5 pts).</w:t>
      </w:r>
    </w:p>
    <w:p>
      <w:pPr>
        <w:spacing w:after="120"/>
        <w:ind w:firstLine="709"/>
      </w:pPr>
      <w:r>
        <w:rPr>
          <w:b w:val="0"/>
          <w:i w:val="0"/>
          <w:sz w:val="24"/>
        </w:rPr>
        <w:t>Ces résultats constituent une base analytique pour la discussion théorique du mémoire. Ils mettent en évidence que la performance d'exécution est davantage déterminée par la qualité procédurale (approbation dans les délais) et la structure concurrentielle que par les variables institutionnelles de contrôle.</w:t>
      </w:r>
    </w:p>
    <w:p>
      <w:pPr>
        <w:pStyle w:val="Heading1"/>
      </w:pPr>
      <w:r>
        <w:t>RÉFÉRENCES BIBLIOGRAPHIQUES</w:t>
      </w:r>
    </w:p>
    <w:p>
      <w:pPr>
        <w:spacing w:after="80"/>
        <w:ind w:left="567" w:hanging="567"/>
      </w:pPr>
      <w:r>
        <w:rPr>
          <w:sz w:val="22"/>
        </w:rPr>
        <w:t>Ferrari, S. L. P., &amp; Cribari-Neto, F. (2004). Beta regression for modelling rates and proportions. Journal of Applied Statistics, 31(7), 799-815.</w:t>
      </w:r>
    </w:p>
    <w:p>
      <w:pPr>
        <w:spacing w:after="80"/>
        <w:ind w:left="567" w:hanging="567"/>
      </w:pPr>
      <w:r>
        <w:rPr>
          <w:sz w:val="22"/>
        </w:rPr>
        <w:t>Papke, L. E., &amp; Wooldridge, J. M. (1996). Econometric methods for fractional response variables with an application to 401(k) plan participation rates. Journal of Applied Econometrics, 11(6), 619-632.</w:t>
      </w:r>
    </w:p>
    <w:p>
      <w:pPr>
        <w:spacing w:after="80"/>
        <w:ind w:left="567" w:hanging="567"/>
      </w:pPr>
      <w:r>
        <w:rPr>
          <w:sz w:val="22"/>
        </w:rPr>
        <w:t>Smithson, M., &amp; Verkuilen, J. (2006). A better lemon squeezer? Maximum-likelihood regression with beta-distributed dependent variables. Psychological Methods, 11(1), 54-71.</w:t>
      </w:r>
    </w:p>
    <w:p>
      <w:pPr>
        <w:spacing w:after="80"/>
        <w:ind w:left="567" w:hanging="567"/>
      </w:pPr>
      <w:r>
        <w:rPr>
          <w:sz w:val="22"/>
        </w:rPr>
        <w:t>Cribari-Neto, F., &amp; Zeileis, A. (2010). Beta regression in R. Journal of Statistical Software, 34(2), 1-24.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