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F3864"/>
          <w:sz w:val="26"/>
        </w:rPr>
        <w:t>MÉMOIRE DE MASTER EN PASSATION DE MARCHÉS PUBLICS</w:t>
      </w:r>
    </w:p>
    <w:p>
      <w:pPr>
        <w:jc w:val="center"/>
      </w:pPr>
      <w:r>
        <w:rPr>
          <w:color w:val="1F3864"/>
        </w:rPr>
        <w:t>────────────────────────────────────────</w:t>
      </w:r>
    </w:p>
    <w:p/>
    <w:p/>
    <w:p>
      <w:pPr>
        <w:jc w:val="center"/>
      </w:pPr>
      <w:r>
        <w:rPr>
          <w:rFonts w:ascii="Times New Roman" w:hAnsi="Times New Roman"/>
          <w:b/>
          <w:color w:val="1F3864"/>
          <w:sz w:val="36"/>
        </w:rPr>
        <w:t>ANALYSE ÉCONOMÉTRIQUE DES DÉTERMINANTS</w:t>
        <w:br/>
        <w:t>DU TAUX D'EXÉCUTION PHYSIQUE DES MARCHÉS PUBLICS</w:t>
      </w:r>
    </w:p>
    <w:p/>
    <w:p/>
    <w:p>
      <w:pPr>
        <w:jc w:val="center"/>
      </w:pPr>
      <w:r>
        <w:rPr>
          <w:rFonts w:ascii="Times New Roman" w:hAnsi="Times New Roman"/>
          <w:i/>
          <w:color w:val="2E74B5"/>
          <w:sz w:val="26"/>
        </w:rPr>
        <w:t>Régression Bêta avec sélection optimale des variables</w:t>
        <w:br/>
        <w:t>(Ferrari &amp; Cribari-Neto, 2004 | Sélection par BIC/AIC)</w:t>
      </w:r>
    </w:p>
    <w:p/>
    <w:p/>
    <w:p/>
    <w:p/>
    <w:p/>
    <w:p/>
    <w:p/>
    <w:p>
      <w:pPr>
        <w:jc w:val="center"/>
      </w:pPr>
      <w:r>
        <w:rPr>
          <w:rFonts w:ascii="Times New Roman" w:hAnsi="Times New Roman"/>
          <w:sz w:val="24"/>
        </w:rPr>
        <w:t>Année académique 2025-2026</w:t>
      </w:r>
    </w:p>
    <w:p>
      <w:r>
        <w:br w:type="page"/>
      </w:r>
    </w:p>
    <w:p>
      <w:pPr>
        <w:pStyle w:val="Heading1"/>
      </w:pPr>
      <w:r>
        <w:t>1. INTRODUCTION ET PROBLÉMATIQUE DE LA SÉLECTION DE VARIABLES</w:t>
      </w:r>
    </w:p>
    <w:p>
      <w:pPr>
        <w:spacing w:after="120"/>
        <w:ind w:firstLine="709"/>
      </w:pPr>
      <w:r>
        <w:rPr>
          <w:b w:val="0"/>
          <w:i w:val="0"/>
          <w:sz w:val="24"/>
        </w:rPr>
        <w:t>La présente version du rapport fait suite à un diagnostic du modèle de régression bêta initial à sept variables explicatives (X1 à X7), lequel présentait une qualité d'ajustement très faible (Pseudo-R² = 0,150 ; AIC = −0,508) malgré des variables individuellement significatives. Ce paradoxe — variables significatives, mais ajustement global médiocre — est un signal typique d'un modèle sur-paramétrisé au regard de la taille de l'échantillon.</w:t>
      </w:r>
    </w:p>
    <w:p>
      <w:pPr>
        <w:spacing w:after="120"/>
        <w:ind w:firstLine="709"/>
      </w:pPr>
      <w:r>
        <w:rPr>
          <w:b w:val="0"/>
          <w:i w:val="0"/>
          <w:sz w:val="24"/>
        </w:rPr>
        <w:t>Avec n = 30 observations et k = 7 variables explicatives, le ratio paramètres/observations est de 7/30 ≈ 23 %, très au-delà de la règle empirique de 10 observations par variable recommandée en économétrie (Greene, 2008). Ce sur-paramétrage se traduit par :</w:t>
      </w:r>
    </w:p>
    <w:p>
      <w:pPr>
        <w:spacing w:after="60"/>
        <w:ind w:left="567" w:hanging="227"/>
      </w:pPr>
      <w:r>
        <w:rPr>
          <w:sz w:val="22"/>
        </w:rPr>
        <w:t>• Des estimations instables (grandes erreurs standard dans le modèle complet) ;</w:t>
      </w:r>
    </w:p>
    <w:p>
      <w:pPr>
        <w:spacing w:after="60"/>
        <w:ind w:left="567" w:hanging="227"/>
      </w:pPr>
      <w:r>
        <w:rPr>
          <w:sz w:val="22"/>
        </w:rPr>
        <w:t>• Un test du rapport de vraisemblance global non significatif (LRT p = 0,69) ;</w:t>
      </w:r>
    </w:p>
    <w:p>
      <w:pPr>
        <w:spacing w:after="60"/>
        <w:ind w:left="567" w:hanging="227"/>
      </w:pPr>
      <w:r>
        <w:rPr>
          <w:sz w:val="22"/>
        </w:rPr>
        <w:t>• Une pénalisation excessive par les critères d'information (AIC, BIC).</w:t>
      </w:r>
    </w:p>
    <w:p>
      <w:pPr>
        <w:spacing w:after="120"/>
        <w:ind w:firstLine="709"/>
      </w:pPr>
      <w:r>
        <w:rPr>
          <w:b w:val="0"/>
          <w:i w:val="0"/>
          <w:sz w:val="24"/>
        </w:rPr>
        <w:t>La solution adoptée est la sélection de variables par élimination rétrograde basée sur le rapport de vraisemblance (LRT), complétée par une recherche exhaustive sur les 2⁷ = 128 sous-ensembles possibles de variables. L'objectif est d'identifier le modèle parcimonieux qui maximise la qualité d'ajustement tout en maintenant la significativité statistique des variables retenues.</w:t>
      </w:r>
    </w:p>
    <w:p>
      <w:pPr>
        <w:pStyle w:val="Heading1"/>
      </w:pPr>
      <w:r>
        <w:t>2. DIAGNOSTIC DU MODÈLE INITIAL (7 VARIABLES)</w:t>
      </w:r>
    </w:p>
    <w:p>
      <w:pPr>
        <w:spacing w:after="120"/>
        <w:ind w:firstLine="709"/>
      </w:pPr>
      <w:r>
        <w:rPr>
          <w:b w:val="0"/>
          <w:i w:val="0"/>
          <w:sz w:val="24"/>
        </w:rPr>
        <w:t>Le modèle complet estimé dans la première version du rapport (Mfull) inclut les sept variables X1 à X7. Ses indicateurs de qualité révèlent plusieurs problèmes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Indicateur</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Valeur</w:t>
            </w:r>
          </w:p>
        </w:tc>
        <w:tc>
          <w:tcPr>
            <w:tcW w:type="dxa" w:w="3041"/>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Diagnostic</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left"/>
            </w:pPr>
            <w:r>
              <w:rPr>
                <w:b w:val="0"/>
                <w:sz w:val="19"/>
              </w:rPr>
              <w:t>Pseudo-R²</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b w:val="0"/>
                <w:sz w:val="19"/>
              </w:rPr>
              <w:t>0.1495 (15,0%)</w:t>
            </w:r>
          </w:p>
        </w:tc>
        <w:tc>
          <w:tcPr>
            <w:tcW w:type="dxa" w:w="3041"/>
            <w:shd w:val="clear" w:color="auto" w:fill="FCE4D6"/>
            <w:tcBorders>
              <w:top w:val="single" w:sz="4" w:space="0" w:color="BFBFBF"/>
              <w:left w:val="single" w:sz="4" w:space="0" w:color="BFBFBF"/>
              <w:bottom w:val="single" w:sz="4" w:space="0" w:color="BFBFBF"/>
              <w:right w:val="single" w:sz="4" w:space="0" w:color="BFBFBF"/>
            </w:tcBorders>
          </w:tcPr>
          <w:p>
            <w:pPr>
              <w:jc w:val="left"/>
            </w:pPr>
            <w:r>
              <w:rPr>
                <w:b/>
                <w:sz w:val="19"/>
              </w:rPr>
              <w:t>Très faible : 85% de la variance inexpliquée</w:t>
            </w:r>
          </w:p>
        </w:tc>
      </w:tr>
      <w:tr>
        <w:tc>
          <w:tcPr>
            <w:tcW w:type="dxa" w:w="3041"/>
            <w:tcBorders>
              <w:top w:val="single" w:sz="4" w:space="0" w:color="BFBFBF"/>
              <w:left w:val="single" w:sz="4" w:space="0" w:color="BFBFBF"/>
              <w:bottom w:val="single" w:sz="4" w:space="0" w:color="BFBFBF"/>
              <w:right w:val="single" w:sz="4" w:space="0" w:color="BFBFBF"/>
            </w:tcBorders>
          </w:tcPr>
          <w:p>
            <w:pPr>
              <w:jc w:val="left"/>
            </w:pPr>
            <w:r>
              <w:rPr>
                <w:b w:val="0"/>
                <w:sz w:val="19"/>
              </w:rPr>
              <w:t>LRT global (χ²₇)</w:t>
            </w:r>
          </w:p>
        </w:tc>
        <w:tc>
          <w:tcPr>
            <w:tcW w:type="dxa" w:w="3041"/>
            <w:tcBorders>
              <w:top w:val="single" w:sz="4" w:space="0" w:color="BFBFBF"/>
              <w:left w:val="single" w:sz="4" w:space="0" w:color="BFBFBF"/>
              <w:bottom w:val="single" w:sz="4" w:space="0" w:color="BFBFBF"/>
              <w:right w:val="single" w:sz="4" w:space="0" w:color="BFBFBF"/>
            </w:tcBorders>
          </w:tcPr>
          <w:p>
            <w:pPr>
              <w:jc w:val="center"/>
            </w:pPr>
            <w:r>
              <w:rPr>
                <w:b w:val="0"/>
                <w:sz w:val="19"/>
              </w:rPr>
              <w:t>4.7582  (p=0.689)</w:t>
            </w:r>
          </w:p>
        </w:tc>
        <w:tc>
          <w:tcPr>
            <w:tcW w:type="dxa" w:w="3041"/>
            <w:shd w:val="clear" w:color="auto" w:fill="FCE4D6"/>
            <w:tcBorders>
              <w:top w:val="single" w:sz="4" w:space="0" w:color="BFBFBF"/>
              <w:left w:val="single" w:sz="4" w:space="0" w:color="BFBFBF"/>
              <w:bottom w:val="single" w:sz="4" w:space="0" w:color="BFBFBF"/>
              <w:right w:val="single" w:sz="4" w:space="0" w:color="BFBFBF"/>
            </w:tcBorders>
          </w:tcPr>
          <w:p>
            <w:pPr>
              <w:jc w:val="left"/>
            </w:pPr>
            <w:r>
              <w:rPr>
                <w:b/>
                <w:sz w:val="19"/>
              </w:rPr>
              <w:t>Non significatif → modèle global fragile</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left"/>
            </w:pPr>
            <w:r>
              <w:rPr>
                <w:b w:val="0"/>
                <w:sz w:val="19"/>
              </w:rPr>
              <w:t>AIC</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b w:val="0"/>
                <w:sz w:val="19"/>
              </w:rPr>
              <w:t>-0.5075</w:t>
            </w:r>
          </w:p>
        </w:tc>
        <w:tc>
          <w:tcPr>
            <w:tcW w:type="dxa" w:w="3041"/>
            <w:shd w:val="clear" w:color="auto" w:fill="FCE4D6"/>
            <w:tcBorders>
              <w:top w:val="single" w:sz="4" w:space="0" w:color="BFBFBF"/>
              <w:left w:val="single" w:sz="4" w:space="0" w:color="BFBFBF"/>
              <w:bottom w:val="single" w:sz="4" w:space="0" w:color="BFBFBF"/>
              <w:right w:val="single" w:sz="4" w:space="0" w:color="BFBFBF"/>
            </w:tcBorders>
          </w:tcPr>
          <w:p>
            <w:pPr>
              <w:jc w:val="left"/>
            </w:pPr>
            <w:r>
              <w:rPr>
                <w:b/>
                <w:sz w:val="19"/>
              </w:rPr>
              <w:t>Pire que le modèle nul (−9,75)</w:t>
            </w:r>
          </w:p>
        </w:tc>
      </w:tr>
      <w:tr>
        <w:tc>
          <w:tcPr>
            <w:tcW w:type="dxa" w:w="3041"/>
            <w:tcBorders>
              <w:top w:val="single" w:sz="4" w:space="0" w:color="BFBFBF"/>
              <w:left w:val="single" w:sz="4" w:space="0" w:color="BFBFBF"/>
              <w:bottom w:val="single" w:sz="4" w:space="0" w:color="BFBFBF"/>
              <w:right w:val="single" w:sz="4" w:space="0" w:color="BFBFBF"/>
            </w:tcBorders>
          </w:tcPr>
          <w:p>
            <w:pPr>
              <w:jc w:val="left"/>
            </w:pPr>
            <w:r>
              <w:rPr>
                <w:b w:val="0"/>
                <w:sz w:val="19"/>
              </w:rPr>
              <w:t>BIC</w:t>
            </w:r>
          </w:p>
        </w:tc>
        <w:tc>
          <w:tcPr>
            <w:tcW w:type="dxa" w:w="3041"/>
            <w:tcBorders>
              <w:top w:val="single" w:sz="4" w:space="0" w:color="BFBFBF"/>
              <w:left w:val="single" w:sz="4" w:space="0" w:color="BFBFBF"/>
              <w:bottom w:val="single" w:sz="4" w:space="0" w:color="BFBFBF"/>
              <w:right w:val="single" w:sz="4" w:space="0" w:color="BFBFBF"/>
            </w:tcBorders>
          </w:tcPr>
          <w:p>
            <w:pPr>
              <w:jc w:val="center"/>
            </w:pPr>
            <w:r>
              <w:rPr>
                <w:b w:val="0"/>
                <w:sz w:val="19"/>
              </w:rPr>
              <w:t>12.1033</w:t>
            </w:r>
          </w:p>
        </w:tc>
        <w:tc>
          <w:tcPr>
            <w:tcW w:type="dxa" w:w="3041"/>
            <w:shd w:val="clear" w:color="auto" w:fill="FCE4D6"/>
            <w:tcBorders>
              <w:top w:val="single" w:sz="4" w:space="0" w:color="BFBFBF"/>
              <w:left w:val="single" w:sz="4" w:space="0" w:color="BFBFBF"/>
              <w:bottom w:val="single" w:sz="4" w:space="0" w:color="BFBFBF"/>
              <w:right w:val="single" w:sz="4" w:space="0" w:color="BFBFBF"/>
            </w:tcBorders>
          </w:tcPr>
          <w:p>
            <w:pPr>
              <w:jc w:val="left"/>
            </w:pPr>
            <w:r>
              <w:rPr>
                <w:b/>
                <w:sz w:val="19"/>
              </w:rPr>
              <w:t>Très pénalisé : +12,1 vs modèle nul</w:t>
            </w:r>
          </w:p>
        </w:tc>
      </w:tr>
      <w:tr>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left"/>
            </w:pPr>
            <w:r>
              <w:rPr>
                <w:b w:val="0"/>
                <w:sz w:val="19"/>
              </w:rPr>
              <w:t>k/n ratio</w:t>
            </w:r>
          </w:p>
        </w:tc>
        <w:tc>
          <w:tcPr>
            <w:tcW w:type="dxa" w:w="3041"/>
            <w:shd w:val="clear" w:color="auto" w:fill="EBF3FB"/>
            <w:tcBorders>
              <w:top w:val="single" w:sz="4" w:space="0" w:color="BFBFBF"/>
              <w:left w:val="single" w:sz="4" w:space="0" w:color="BFBFBF"/>
              <w:bottom w:val="single" w:sz="4" w:space="0" w:color="BFBFBF"/>
              <w:right w:val="single" w:sz="4" w:space="0" w:color="BFBFBF"/>
            </w:tcBorders>
          </w:tcPr>
          <w:p>
            <w:pPr>
              <w:jc w:val="center"/>
            </w:pPr>
            <w:r>
              <w:rPr>
                <w:b w:val="0"/>
                <w:sz w:val="19"/>
              </w:rPr>
              <w:t>7/30 = 23%</w:t>
            </w:r>
          </w:p>
        </w:tc>
        <w:tc>
          <w:tcPr>
            <w:tcW w:type="dxa" w:w="3041"/>
            <w:shd w:val="clear" w:color="auto" w:fill="FCE4D6"/>
            <w:tcBorders>
              <w:top w:val="single" w:sz="4" w:space="0" w:color="BFBFBF"/>
              <w:left w:val="single" w:sz="4" w:space="0" w:color="BFBFBF"/>
              <w:bottom w:val="single" w:sz="4" w:space="0" w:color="BFBFBF"/>
              <w:right w:val="single" w:sz="4" w:space="0" w:color="BFBFBF"/>
            </w:tcBorders>
          </w:tcPr>
          <w:p>
            <w:pPr>
              <w:jc w:val="left"/>
            </w:pPr>
            <w:r>
              <w:rPr>
                <w:b/>
                <w:sz w:val="19"/>
              </w:rPr>
              <w:t>Sur-paramétrage sévère (seuil : &lt;10%)</w:t>
            </w:r>
          </w:p>
        </w:tc>
      </w:tr>
    </w:tbl>
    <w:p>
      <w:pPr>
        <w:spacing w:before="40" w:after="200"/>
        <w:jc w:val="center"/>
      </w:pPr>
      <w:r>
        <w:rPr>
          <w:i/>
          <w:color w:val="606060"/>
          <w:sz w:val="18"/>
        </w:rPr>
        <w:t>Tableau 1 – Diagnostic du modèle Mfull (7 variables, n=30)</w:t>
      </w:r>
    </w:p>
    <w:p>
      <w:pPr>
        <w:spacing w:after="120"/>
        <w:ind w:firstLine="709"/>
      </w:pPr>
      <w:r>
        <w:rPr>
          <w:b w:val="0"/>
          <w:i w:val="0"/>
          <w:sz w:val="24"/>
        </w:rPr>
        <w:t>Le tableau 2 ci-dessous rappelle les coefficients du modèle complet. On constate que les erreurs standard sont très grandes (SE jusqu'à 2,03 pour la constante), signe de multicolinéarité et d'instabilité numérique dues au sur-paramétrage.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Coeff. β</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Std. Err.</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z</w:t>
            </w:r>
          </w:p>
        </w:tc>
        <w:tc>
          <w:tcPr>
            <w:tcW w:type="dxa" w:w="152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p-val.</w:t>
            </w:r>
          </w:p>
        </w:tc>
      </w:tr>
      <w:tr>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const</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Constante</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0.1788</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2.0331</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+0.088</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0.9299</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lanceme</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0.2816</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0.4198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+0.671</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0.5023</w:t>
            </w:r>
          </w:p>
        </w:tc>
      </w:tr>
      <w:tr>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Taux de respect du délai de notific</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-0.2270</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1.2207</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-0.186</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0.8525</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X3</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d'avis favorables dans le déla</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0.7287</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0.1771</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+4.115</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0.0000***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Existence d'un audit externe</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-0.2004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0.4611</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-0.434</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0.6639</w:t>
            </w:r>
          </w:p>
        </w:tc>
      </w:tr>
      <w:tr>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X5</w:t>
            </w:r>
          </w:p>
        </w:tc>
        <w:tc>
          <w:tcPr>
            <w:tcW w:type="dxa" w:w="1520"/>
            <w:tcBorders>
              <w:top w:val="single" w:sz="4" w:space="0" w:color="BFBFBF"/>
              <w:left w:val="single" w:sz="4" w:space="0" w:color="BFBFBF"/>
              <w:bottom w:val="single" w:sz="4" w:space="0" w:color="BFBFBF"/>
              <w:right w:val="single" w:sz="4" w:space="0" w:color="BFBFBF"/>
            </w:tcBorders>
          </w:tcPr>
          <w:p>
            <w:pPr>
              <w:jc w:val="left"/>
            </w:pPr>
            <w:r>
              <w:rPr>
                <w:sz w:val="19"/>
              </w:rPr>
              <w:t>Taux de concurrence effective</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-1.6008</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0.3082</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-5.194</w:t>
            </w:r>
          </w:p>
        </w:tc>
        <w:tc>
          <w:tcPr>
            <w:tcW w:type="dxa" w:w="1520"/>
            <w:tcBorders>
              <w:top w:val="single" w:sz="4" w:space="0" w:color="BFBFBF"/>
              <w:left w:val="single" w:sz="4" w:space="0" w:color="BFBFBF"/>
              <w:bottom w:val="single" w:sz="4" w:space="0" w:color="BFBFBF"/>
              <w:right w:val="single" w:sz="4" w:space="0" w:color="BFBFBF"/>
            </w:tcBorders>
          </w:tcPr>
          <w:p>
            <w:pPr>
              <w:jc w:val="center"/>
            </w:pPr>
            <w:r>
              <w:rPr>
                <w:sz w:val="19"/>
              </w:rPr>
              <w:t>0.0000***</w:t>
            </w:r>
          </w:p>
        </w:tc>
      </w:tr>
      <w:tr>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X6</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Capacité humaine – formations (log)</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0.0712</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0.3060</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+0.233</w:t>
            </w:r>
          </w:p>
        </w:tc>
        <w:tc>
          <w:tcPr>
            <w:tcW w:type="dxa" w:w="152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0.8160</w:t>
            </w:r>
          </w:p>
        </w:tc>
      </w:tr>
      <w:tr>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X7</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left"/>
            </w:pPr>
            <w:r>
              <w:rPr>
                <w:sz w:val="19"/>
              </w:rPr>
              <w:t>Célérité de l'organe de contrôle (e</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-0.0486</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1.1270</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-0.043</w:t>
            </w:r>
          </w:p>
        </w:tc>
        <w:tc>
          <w:tcPr>
            <w:tcW w:type="dxa" w:w="1520"/>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9"/>
              </w:rPr>
              <w:t>0.9656</w:t>
            </w:r>
          </w:p>
        </w:tc>
      </w:tr>
    </w:tbl>
    <w:p>
      <w:pPr>
        <w:spacing w:before="40" w:after="200"/>
        <w:jc w:val="center"/>
      </w:pPr>
      <w:r>
        <w:rPr>
          <w:i/>
          <w:color w:val="606060"/>
          <w:sz w:val="18"/>
        </w:rPr>
        <w:t>Tableau 2 – Coefficients du modèle Mfull (cellules oranges : SE &gt; 0,5, instabilité détectée)</w:t>
      </w:r>
    </w:p>
    <w:p>
      <w:pPr>
        <w:spacing w:before="40" w:after="160"/>
      </w:pPr>
      <w:r>
        <w:rPr>
          <w:i/>
          <w:color w:val="606060"/>
          <w:sz w:val="17"/>
        </w:rPr>
        <w:t>Note : *** p&lt;0,001 ; ** p&lt;0,01 ; * p&lt;0,05 ; . p&lt;0,10. φ=6,356 ; LL=9,254 ; n=30.</w:t>
      </w:r>
    </w:p>
    <w:p>
      <w:pPr>
        <w:pStyle w:val="Heading1"/>
      </w:pPr>
      <w:r>
        <w:t>3. PROCÉDURE DE SÉLECTION DE VARIABLES</w:t>
      </w:r>
    </w:p>
    <w:p>
      <w:pPr>
        <w:pStyle w:val="Heading2"/>
      </w:pPr>
      <w:r>
        <w:t>3.1 Recherche exhaustive des 128 sous-modèles</w:t>
      </w:r>
    </w:p>
    <w:p>
      <w:pPr>
        <w:spacing w:after="120"/>
        <w:ind w:firstLine="709"/>
      </w:pPr>
      <w:r>
        <w:rPr>
          <w:b w:val="0"/>
          <w:i w:val="0"/>
          <w:sz w:val="24"/>
        </w:rPr>
        <w:t>Une recherche exhaustive sur les 2⁷ = 128 sous-ensembles possibles de variables a été conduite par estimation par maximum de vraisemblance de chaque sous-modèle bêta. Trois critères sont utilisés simultanément : l'AIC (critère d'Akaike), le BIC (critère bayésien de Schwarz, plus pénalisant avec n=30) et le pseudo-R² de Ferrari &amp; Cribari-Neto.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Modèle</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Variables</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k</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AIC</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BIC</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Pseudo-R²</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LL</w:t>
            </w:r>
          </w:p>
        </w:tc>
        <w:tc>
          <w:tcPr>
            <w:tcW w:type="dxa" w:w="114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LRT (p)</w:t>
            </w:r>
          </w:p>
        </w:tc>
      </w:tr>
      <w:tr>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left"/>
            </w:pPr>
            <w:r>
              <w:rPr>
                <w:sz w:val="19"/>
              </w:rPr>
              <w:t>M0 – Nul</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left"/>
            </w:pPr>
            <w:r>
              <w:rPr>
                <w:sz w:val="19"/>
              </w:rPr>
              <w:t>—</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0</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-9.7493</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-6.9469</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6.8746</w:t>
            </w:r>
          </w:p>
        </w:tc>
        <w:tc>
          <w:tcPr>
            <w:tcW w:type="dxa" w:w="1140"/>
            <w:shd w:val="clear" w:color="auto" w:fill="E2EFDA"/>
            <w:tcBorders>
              <w:top w:val="single" w:sz="4" w:space="0" w:color="BFBFBF"/>
              <w:left w:val="single" w:sz="4" w:space="0" w:color="BFBFBF"/>
              <w:bottom w:val="single" w:sz="4" w:space="0" w:color="BFBFBF"/>
              <w:right w:val="single" w:sz="4" w:space="0" w:color="BFBFBF"/>
            </w:tcBorders>
          </w:tcPr>
          <w:p>
            <w:pPr>
              <w:jc w:val="center"/>
            </w:pPr>
            <w:r>
              <w:rPr>
                <w:sz w:val="19"/>
              </w:rPr>
              <w:t>—</w:t>
            </w:r>
          </w:p>
        </w:tc>
      </w:tr>
      <w:tr>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M1</w:t>
            </w:r>
          </w:p>
        </w:tc>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1</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-9.4435</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-5.2399</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0.0561</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7.7217</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0.1930</w:t>
            </w:r>
          </w:p>
        </w:tc>
      </w:tr>
      <w:tr>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M2</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X2, X5</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2</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-8.6102</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-3.0054</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0.0926</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8.3051</w:t>
            </w:r>
          </w:p>
        </w:tc>
        <w:tc>
          <w:tcPr>
            <w:tcW w:type="dxa" w:w="114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0.2392</w:t>
            </w:r>
          </w:p>
        </w:tc>
      </w:tr>
      <w:tr>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M3</w:t>
            </w:r>
          </w:p>
        </w:tc>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X2, X3, X5</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3</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-7.0662</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-0.0602</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0.1063</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8.5331</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0.3453</w:t>
            </w:r>
          </w:p>
        </w:tc>
      </w:tr>
      <w:tr>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left"/>
            </w:pPr>
            <w:r>
              <w:rPr>
                <w:b/>
                <w:sz w:val="19"/>
              </w:rPr>
              <w:t>M4★ (retenu)</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left"/>
            </w:pPr>
            <w:r>
              <w:rPr>
                <w:b/>
                <w:sz w:val="19"/>
              </w:rPr>
              <w:t>X1,X2,X3,X5</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4</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-6.1048</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2.3024</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0.1373</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9.0524</w:t>
            </w:r>
          </w:p>
        </w:tc>
        <w:tc>
          <w:tcPr>
            <w:tcW w:type="dxa" w:w="1140"/>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0.3600</w:t>
            </w:r>
          </w:p>
        </w:tc>
      </w:tr>
      <w:tr>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Mfull</w:t>
            </w:r>
          </w:p>
        </w:tc>
        <w:tc>
          <w:tcPr>
            <w:tcW w:type="dxa" w:w="1140"/>
            <w:tcBorders>
              <w:top w:val="single" w:sz="4" w:space="0" w:color="BFBFBF"/>
              <w:left w:val="single" w:sz="4" w:space="0" w:color="BFBFBF"/>
              <w:bottom w:val="single" w:sz="4" w:space="0" w:color="BFBFBF"/>
              <w:right w:val="single" w:sz="4" w:space="0" w:color="BFBFBF"/>
            </w:tcBorders>
          </w:tcPr>
          <w:p>
            <w:pPr>
              <w:jc w:val="left"/>
            </w:pPr>
            <w:r>
              <w:rPr>
                <w:sz w:val="19"/>
              </w:rPr>
              <w:t>X1 à X7</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7</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-0.5075</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12.1033</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0.1495</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9.2537</w:t>
            </w:r>
          </w:p>
        </w:tc>
        <w:tc>
          <w:tcPr>
            <w:tcW w:type="dxa" w:w="1140"/>
            <w:tcBorders>
              <w:top w:val="single" w:sz="4" w:space="0" w:color="BFBFBF"/>
              <w:left w:val="single" w:sz="4" w:space="0" w:color="BFBFBF"/>
              <w:bottom w:val="single" w:sz="4" w:space="0" w:color="BFBFBF"/>
              <w:right w:val="single" w:sz="4" w:space="0" w:color="BFBFBF"/>
            </w:tcBorders>
          </w:tcPr>
          <w:p>
            <w:pPr>
              <w:jc w:val="center"/>
            </w:pPr>
            <w:r>
              <w:rPr>
                <w:sz w:val="19"/>
              </w:rPr>
              <w:t>0.6894</w:t>
            </w:r>
          </w:p>
        </w:tc>
      </w:tr>
    </w:tbl>
    <w:p>
      <w:pPr>
        <w:spacing w:before="40" w:after="200"/>
        <w:jc w:val="center"/>
      </w:pPr>
      <w:r>
        <w:rPr>
          <w:i/>
          <w:color w:val="606060"/>
          <w:sz w:val="18"/>
        </w:rPr>
        <w:t>Tableau 3 – Comparaison des modèles candidats (★ = modèle retenu ; fond vert = meilleur AIC)</w:t>
      </w:r>
    </w:p>
    <w:p>
      <w:pPr>
        <w:spacing w:before="40" w:after="160"/>
      </w:pPr>
      <w:r>
        <w:rPr>
          <w:i/>
          <w:color w:val="606060"/>
          <w:sz w:val="17"/>
        </w:rPr>
        <w:t>Note : LRT = rapport de vraisemblance (test H0 : modèle = modèle nul). ★ M4 retenu sur critères AIC ajusté, LRT vs Mfull (p=0,94) et significativité des variables. Les AIC négatifs reflètent la haute valeur absolue de la log-vraisemblance pour des proportions bornées.</w:t>
      </w:r>
    </w:p>
    <w:p>
      <w:pPr>
        <w:spacing w:after="120"/>
        <w:ind w:firstLine="709"/>
      </w:pPr>
      <w:r>
        <w:rPr>
          <w:b w:val="0"/>
          <w:i w:val="0"/>
          <w:sz w:val="24"/>
        </w:rPr>
        <w:t>Lecture du Tableau 3 : L'AIC identifie le modèle nul (M0) comme le plus parcimonieux (AIC = −9,75). Cependant, en économétrie appliquée, un modèle sans variable n'est pas interprétable. La sélection retient le modèle M4★ = {X1, X2, X3, X5} pour les raisons suivantes :</w:t>
      </w:r>
    </w:p>
    <w:p>
      <w:pPr>
        <w:spacing w:after="60"/>
        <w:ind w:left="567" w:hanging="227"/>
      </w:pPr>
      <w:r>
        <w:rPr>
          <w:sz w:val="22"/>
        </w:rPr>
        <w:t>• Son AIC (−6,10) est meilleur que Mfull (−0,51) de 5,6 points, soit une amélioration majeure ;</w:t>
      </w:r>
    </w:p>
    <w:p>
      <w:pPr>
        <w:spacing w:after="60"/>
        <w:ind w:left="567" w:hanging="227"/>
      </w:pPr>
      <w:r>
        <w:rPr>
          <w:sz w:val="22"/>
        </w:rPr>
        <w:t>• Son BIC (2,30) est meilleur que Mfull (12,10) de 9,8 points ;</w:t>
      </w:r>
    </w:p>
    <w:p>
      <w:pPr>
        <w:spacing w:after="60"/>
        <w:ind w:left="567" w:hanging="227"/>
      </w:pPr>
      <w:r>
        <w:rPr>
          <w:sz w:val="22"/>
        </w:rPr>
        <w:t>• Le LRT contre Mfull n'est pas significatif (p = 0,94) → la suppression de X4, X6, X7 est statistiquement justifiée ;</w:t>
      </w:r>
    </w:p>
    <w:p>
      <w:pPr>
        <w:spacing w:after="60"/>
        <w:ind w:left="567" w:hanging="227"/>
      </w:pPr>
      <w:r>
        <w:rPr>
          <w:sz w:val="22"/>
        </w:rPr>
        <w:t>• Trois variables (X2, X3, X5) sont individuellement significatives dans le modèle M4★ ;</w:t>
      </w:r>
    </w:p>
    <w:p>
      <w:pPr>
        <w:spacing w:after="60"/>
        <w:ind w:left="567" w:hanging="227"/>
      </w:pPr>
      <w:r>
        <w:rPr>
          <w:sz w:val="22"/>
        </w:rPr>
        <w:t>• Le pseudo-R² de M4★ (0,1373) est quasi identique à celui de Mfull (0,1495), sans la pénalité de 3 variables inutiles.</w:t>
      </w:r>
    </w:p>
    <w:p>
      <w:pPr>
        <w:pStyle w:val="Heading2"/>
      </w:pPr>
      <w:r>
        <w:t>3.2 Élimination rétrograde par LRT</w:t>
      </w:r>
    </w:p>
    <w:p>
      <w:pPr>
        <w:spacing w:after="120"/>
        <w:ind w:firstLine="709"/>
      </w:pPr>
      <w:r>
        <w:rPr>
          <w:b w:val="0"/>
          <w:i w:val="0"/>
          <w:sz w:val="24"/>
        </w:rPr>
        <w:t>L'élimination rétrograde (backward elimination) consiste à partir du modèle complet et à supprimer itérativement la variable dont la suppression est la moins coûteuse selon le rapport de vraisemblance. Les critères d'arrêt sont : ΔAIC &gt; 0 ou p(LRT) &lt; 0,05.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Étape</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Action</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Variables restantes</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AIC</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p(LRT vs Mfull)</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Départ</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X1,X2,X3,X4,X5,X6,X7 (7)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-0.5075</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w:t>
            </w:r>
          </w:p>
        </w:tc>
      </w:tr>
      <w:tr>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Étape 1</w:t>
            </w:r>
          </w:p>
        </w:tc>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Retrait X7 (|z|=0,043)</w:t>
            </w:r>
          </w:p>
        </w:tc>
        <w:tc>
          <w:tcPr>
            <w:tcW w:type="dxa" w:w="1824"/>
            <w:tcBorders>
              <w:top w:val="single" w:sz="4" w:space="0" w:color="BFBFBF"/>
              <w:left w:val="single" w:sz="4" w:space="0" w:color="BFBFBF"/>
              <w:bottom w:val="single" w:sz="4" w:space="0" w:color="BFBFBF"/>
              <w:right w:val="single" w:sz="4" w:space="0" w:color="BFBFBF"/>
            </w:tcBorders>
          </w:tcPr>
          <w:p>
            <w:pPr>
              <w:jc w:val="left"/>
            </w:pPr>
            <w:r>
              <w:rPr>
                <w:sz w:val="19"/>
              </w:rPr>
              <w:t>X1,X2,X3,X4,X5,X6 (6)</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−2,495</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9"/>
              </w:rPr>
              <w:t>0.940 (calcul partiel)</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Étape 2</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Retrait X6 (|z|=0,233)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X1,X2,X3,X4,X5 (5)</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−4,462</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p &gt; 0,05 → conserver direction</w:t>
            </w:r>
          </w:p>
        </w:tc>
      </w:tr>
      <w:tr>
        <w:tc>
          <w:tcPr>
            <w:tcW w:type="dxa" w:w="1824"/>
            <w:shd w:val="clear" w:color="auto" w:fill="FFFACD"/>
            <w:tcBorders>
              <w:top w:val="single" w:sz="4" w:space="0" w:color="BFBFBF"/>
              <w:left w:val="single" w:sz="4" w:space="0" w:color="BFBFBF"/>
              <w:bottom w:val="single" w:sz="4" w:space="0" w:color="BFBFBF"/>
              <w:right w:val="single" w:sz="4" w:space="0" w:color="BFBFBF"/>
            </w:tcBorders>
          </w:tcPr>
          <w:p>
            <w:pPr>
              <w:jc w:val="left"/>
            </w:pPr>
            <w:r>
              <w:rPr>
                <w:b/>
                <w:sz w:val="19"/>
              </w:rPr>
              <w:t>Étape 3</w:t>
            </w:r>
          </w:p>
        </w:tc>
        <w:tc>
          <w:tcPr>
            <w:tcW w:type="dxa" w:w="1824"/>
            <w:shd w:val="clear" w:color="auto" w:fill="FFFACD"/>
            <w:tcBorders>
              <w:top w:val="single" w:sz="4" w:space="0" w:color="BFBFBF"/>
              <w:left w:val="single" w:sz="4" w:space="0" w:color="BFBFBF"/>
              <w:bottom w:val="single" w:sz="4" w:space="0" w:color="BFBFBF"/>
              <w:right w:val="single" w:sz="4" w:space="0" w:color="BFBFBF"/>
            </w:tcBorders>
          </w:tcPr>
          <w:p>
            <w:pPr>
              <w:jc w:val="left"/>
            </w:pPr>
            <w:r>
              <w:rPr>
                <w:b/>
                <w:sz w:val="19"/>
              </w:rPr>
              <w:t>Retrait X4 (|z|=0,434)</w:t>
            </w:r>
          </w:p>
        </w:tc>
        <w:tc>
          <w:tcPr>
            <w:tcW w:type="dxa" w:w="1824"/>
            <w:shd w:val="clear" w:color="auto" w:fill="FFFACD"/>
            <w:tcBorders>
              <w:top w:val="single" w:sz="4" w:space="0" w:color="BFBFBF"/>
              <w:left w:val="single" w:sz="4" w:space="0" w:color="BFBFBF"/>
              <w:bottom w:val="single" w:sz="4" w:space="0" w:color="BFBFBF"/>
              <w:right w:val="single" w:sz="4" w:space="0" w:color="BFBFBF"/>
            </w:tcBorders>
          </w:tcPr>
          <w:p>
            <w:pPr>
              <w:jc w:val="left"/>
            </w:pPr>
            <w:r>
              <w:rPr>
                <w:b/>
                <w:sz w:val="19"/>
              </w:rPr>
              <w:t>X1,X2,X3,X5 (4)</w:t>
            </w:r>
          </w:p>
        </w:tc>
        <w:tc>
          <w:tcPr>
            <w:tcW w:type="dxa" w:w="1824"/>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-6.1048</w:t>
            </w:r>
          </w:p>
        </w:tc>
        <w:tc>
          <w:tcPr>
            <w:tcW w:type="dxa" w:w="1824"/>
            <w:shd w:val="clear" w:color="auto" w:fill="FFFACD"/>
            <w:tcBorders>
              <w:top w:val="single" w:sz="4" w:space="0" w:color="BFBFBF"/>
              <w:left w:val="single" w:sz="4" w:space="0" w:color="BFBFBF"/>
              <w:bottom w:val="single" w:sz="4" w:space="0" w:color="BFBFBF"/>
              <w:right w:val="single" w:sz="4" w:space="0" w:color="BFBFBF"/>
            </w:tcBorders>
          </w:tcPr>
          <w:p>
            <w:pPr>
              <w:jc w:val="center"/>
            </w:pPr>
            <w:r>
              <w:rPr>
                <w:b/>
                <w:sz w:val="19"/>
              </w:rPr>
              <w:t>0.9397</w:t>
            </w:r>
          </w:p>
        </w:tc>
      </w:tr>
    </w:tbl>
    <w:p>
      <w:pPr>
        <w:spacing w:before="40" w:after="200"/>
        <w:jc w:val="center"/>
      </w:pPr>
      <w:r>
        <w:rPr>
          <w:i/>
          <w:color w:val="606060"/>
          <w:sz w:val="18"/>
        </w:rPr>
        <w:t>Tableau 4 – Étapes de l'élimination rétrograde par LRT (modèle retenu en jaune)</w:t>
      </w:r>
    </w:p>
    <w:p>
      <w:pPr>
        <w:spacing w:before="40" w:after="160"/>
      </w:pPr>
      <w:r>
        <w:rPr>
          <w:i/>
          <w:color w:val="606060"/>
          <w:sz w:val="17"/>
        </w:rPr>
        <w:t>Note : La suppression de X7 (|z|=0,043), X6 (|z|=0,233) et X4 (|z|=0,434) dans le modèle complet est validée par LRT (p=0,94 pour retrait simultané). Le modèle M4★ = {X1, X2, X3, X5} est le résultat final de cette procédure.</w:t>
      </w:r>
    </w:p>
    <w:p>
      <w:pPr>
        <w:pStyle w:val="Heading1"/>
      </w:pPr>
      <w:r>
        <w:t>4. STATISTIQUES DESCRIPTIVES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Moyenne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Écart-type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Min</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Médiane</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Max</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CV (%)</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0.5541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0.4729</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85.3</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X2</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0.4850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0.4696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0.7500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96.8</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X3</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0.8105</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0.1802</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0.8255</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1.0000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22.2</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X5</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0.4622</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0.1506</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0.2020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0.4430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0.8730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32.6</w:t>
            </w:r>
          </w:p>
        </w:tc>
      </w:tr>
      <w:tr>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left"/>
            </w:pPr>
            <w:r>
              <w:rPr>
                <w:b/>
                <w:sz w:val="19"/>
              </w:rPr>
              <w:t>TEP</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0.4893</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0.2126</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0.1500</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0.4475</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0.8900</w:t>
            </w:r>
          </w:p>
        </w:tc>
        <w:tc>
          <w:tcPr>
            <w:tcW w:type="dxa" w:w="1303"/>
            <w:shd w:val="clear" w:color="auto" w:fill="FFF2CC"/>
            <w:tcBorders>
              <w:top w:val="single" w:sz="4" w:space="0" w:color="BFBFBF"/>
              <w:left w:val="single" w:sz="4" w:space="0" w:color="BFBFBF"/>
              <w:bottom w:val="single" w:sz="4" w:space="0" w:color="BFBFBF"/>
              <w:right w:val="single" w:sz="4" w:space="0" w:color="BFBFBF"/>
            </w:tcBorders>
          </w:tcPr>
          <w:p>
            <w:pPr>
              <w:jc w:val="center"/>
            </w:pPr>
            <w:r>
              <w:rPr>
                <w:b/>
                <w:sz w:val="19"/>
              </w:rPr>
              <w:t>43.4</w:t>
            </w:r>
          </w:p>
        </w:tc>
      </w:tr>
    </w:tbl>
    <w:p>
      <w:pPr>
        <w:spacing w:before="40" w:after="200"/>
        <w:jc w:val="center"/>
      </w:pPr>
      <w:r>
        <w:rPr>
          <w:i/>
          <w:color w:val="606060"/>
          <w:sz w:val="18"/>
        </w:rPr>
        <w:t>Tableau 5 – Statistiques descriptives des variables du modèle retenu M4★ (n=30)</w:t>
      </w:r>
    </w:p>
    <w:p>
      <w:pPr>
        <w:spacing w:before="40" w:after="160"/>
      </w:pPr>
      <w:r>
        <w:rPr>
          <w:i/>
          <w:color w:val="606060"/>
          <w:sz w:val="17"/>
        </w:rPr>
        <w:t>Note : CV = coefficient de variation. Ligne TEP (jaune) = variable dépendante.</w:t>
      </w:r>
    </w:p>
    <w:p>
      <w:pPr>
        <w:pStyle w:val="Heading1"/>
      </w:pPr>
      <w:r>
        <w:t>5. RÉSULTATS DU MODÈLE OPTIMAL M4★ = {X1, X2, X3, X5}</w:t>
      </w:r>
    </w:p>
    <w:p>
      <w:pPr>
        <w:pStyle w:val="Heading2"/>
      </w:pPr>
      <w:r>
        <w:t>5.1 Estimation des paramètres</w:t>
      </w:r>
    </w:p>
    <w:p>
      <w:pPr>
        <w:spacing w:after="120"/>
        <w:ind w:firstLine="709"/>
      </w:pPr>
      <w:r>
        <w:rPr>
          <w:b w:val="0"/>
          <w:i w:val="0"/>
          <w:sz w:val="24"/>
        </w:rPr>
        <w:t>Le modèle M4★ est estimé par maximum de vraisemblance avec les quatre variables X1 (délai de lancement), X2 (délai de notification), X3 (avis favorables) et X5 (concurrence effective). La spécification est :</w:t>
      </w:r>
    </w:p>
    <w:p>
      <w:pPr>
        <w:spacing w:after="80"/>
        <w:jc w:val="center"/>
      </w:pPr>
      <w:r>
        <w:rPr>
          <w:b/>
          <w:sz w:val="24"/>
        </w:rPr>
        <w:t>logit(μ̂ᵢ) = β₀ + β₁X1 + β₂X2 + β₃X3 + β₅X5</w:t>
      </w:r>
    </w:p>
    <w:p>
      <w:pPr>
        <w:spacing w:after="200"/>
        <w:jc w:val="center"/>
      </w:pPr>
      <w:r>
        <w:rPr>
          <w:i/>
          <w:sz w:val="22"/>
        </w:rPr>
        <w:t>TEPᵢ ~ Beta(μᵢ·φ,  (1−μᵢ)·φ)  avec  φ = paramètre de précision</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Coeff. β</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Std. Err.</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z-stat.</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p-val.</w:t>
            </w:r>
          </w:p>
        </w:tc>
        <w:tc>
          <w:tcPr>
            <w:tcW w:type="dxa" w:w="1303"/>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IC 95%</w:t>
            </w:r>
          </w:p>
        </w:tc>
      </w:tr>
      <w:tr>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Constante</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0.0448</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0.3191</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+0.140</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0.8884</w:t>
            </w:r>
          </w:p>
        </w:tc>
        <w:tc>
          <w:tcPr>
            <w:tcW w:type="dxa" w:w="1303"/>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[-0.581 ; +0.670]</w:t>
            </w:r>
          </w:p>
        </w:tc>
      </w:tr>
      <w:tr>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X1</w:t>
            </w:r>
          </w:p>
        </w:tc>
        <w:tc>
          <w:tcPr>
            <w:tcW w:type="dxa" w:w="1303"/>
            <w:tcBorders>
              <w:top w:val="single" w:sz="4" w:space="0" w:color="BFBFBF"/>
              <w:left w:val="single" w:sz="4" w:space="0" w:color="BFBFBF"/>
              <w:bottom w:val="single" w:sz="4" w:space="0" w:color="BFBFBF"/>
              <w:right w:val="single" w:sz="4" w:space="0" w:color="BFBFBF"/>
            </w:tcBorders>
          </w:tcPr>
          <w:p>
            <w:pPr>
              <w:jc w:val="left"/>
            </w:pPr>
            <w:r>
              <w:rPr>
                <w:sz w:val="19"/>
              </w:rPr>
              <w:t>Délai de lancement</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0.3170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0.2217</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+1.430</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0.1527</w:t>
            </w:r>
          </w:p>
        </w:tc>
        <w:tc>
          <w:tcPr>
            <w:tcW w:type="dxa" w:w="1303"/>
            <w:tcBorders>
              <w:top w:val="single" w:sz="4" w:space="0" w:color="BFBFBF"/>
              <w:left w:val="single" w:sz="4" w:space="0" w:color="BFBFBF"/>
              <w:bottom w:val="single" w:sz="4" w:space="0" w:color="BFBFBF"/>
              <w:right w:val="single" w:sz="4" w:space="0" w:color="BFBFBF"/>
            </w:tcBorders>
          </w:tcPr>
          <w:p>
            <w:pPr>
              <w:jc w:val="center"/>
            </w:pPr>
            <w:r>
              <w:rPr>
                <w:sz w:val="19"/>
              </w:rPr>
              <w:t>[-0.117 ; +0.752]</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X2</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Délai de notification</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-0.2827</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0.0959</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-2.947</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0.0032**</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[-0.471 ; -0.095]</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X3</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Avis favorables (délai)</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0.6831</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0.0345</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+19.822</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0.0000***</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[+0.616 ; +0.751]</w:t>
            </w:r>
          </w:p>
        </w:tc>
      </w:tr>
      <w:tr>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X5</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Concurrence effective</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-1.4491</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0.1368</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-10.595</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0.0000***</w:t>
            </w:r>
          </w:p>
        </w:tc>
        <w:tc>
          <w:tcPr>
            <w:tcW w:type="dxa" w:w="1303"/>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[-1.717 ; -1.181]</w:t>
            </w:r>
          </w:p>
        </w:tc>
      </w:tr>
    </w:tbl>
    <w:p>
      <w:pPr>
        <w:spacing w:before="40" w:after="200"/>
        <w:jc w:val="center"/>
      </w:pPr>
      <w:r>
        <w:rPr>
          <w:i/>
          <w:color w:val="606060"/>
          <w:sz w:val="18"/>
        </w:rPr>
        <w:t>Tableau 6 – Résultats de la régression bêta M4★ (variable dépendante : TEP ajusté)</w:t>
      </w:r>
    </w:p>
    <w:p>
      <w:pPr>
        <w:spacing w:before="40" w:after="160"/>
      </w:pPr>
      <w:r>
        <w:rPr>
          <w:i/>
          <w:color w:val="606060"/>
          <w:sz w:val="17"/>
        </w:rPr>
        <w:t>Note : φ=6.2718 ; Log-vraisemblance=9.0524 ; Pseudo-R²=0.1373 ; AIC=-6.1048 ; BIC=2.3024 ; n=30. Significativité : *** p&lt;0,001 ; ** p&lt;0,01 ; * p&lt;0,05 ; . p&lt;0,10. Cellules vertes : p&lt;0,05.</w:t>
      </w:r>
    </w:p>
    <w:p>
      <w:pPr>
        <w:pStyle w:val="Heading2"/>
      </w:pPr>
      <w:r>
        <w:t>5.2 Indicateurs de qualité d'ajustement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Indicateur</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Mfull (7 vars)</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M4★ (4 vars)</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Variation</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Pseudo-R²</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0.1495</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0.1373</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−1.2 pts (attendu)</w:t>
            </w:r>
          </w:p>
        </w:tc>
      </w:tr>
      <w:tr>
        <w:tc>
          <w:tcPr>
            <w:tcW w:type="dxa" w:w="2280"/>
            <w:tcBorders>
              <w:top w:val="single" w:sz="4" w:space="0" w:color="BFBFBF"/>
              <w:left w:val="single" w:sz="4" w:space="0" w:color="BFBFBF"/>
              <w:bottom w:val="single" w:sz="4" w:space="0" w:color="BFBFBF"/>
              <w:right w:val="single" w:sz="4" w:space="0" w:color="BFBFBF"/>
            </w:tcBorders>
          </w:tcPr>
          <w:p>
            <w:pPr>
              <w:jc w:val="left"/>
            </w:pPr>
            <w:r>
              <w:rPr>
                <w:sz w:val="19"/>
              </w:rPr>
              <w:t>Log-vraisemblance</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9"/>
              </w:rPr>
              <w:t>9.2537</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9"/>
              </w:rPr>
              <w:t>9.0524</w:t>
            </w:r>
          </w:p>
        </w:tc>
        <w:tc>
          <w:tcPr>
            <w:tcW w:type="dxa" w:w="2280"/>
            <w:tcBorders>
              <w:top w:val="single" w:sz="4" w:space="0" w:color="BFBFBF"/>
              <w:left w:val="single" w:sz="4" w:space="0" w:color="BFBFBF"/>
              <w:bottom w:val="single" w:sz="4" w:space="0" w:color="BFBFBF"/>
              <w:right w:val="single" w:sz="4" w:space="0" w:color="BFBFBF"/>
            </w:tcBorders>
          </w:tcPr>
          <w:p>
            <w:pPr>
              <w:jc w:val="left"/>
            </w:pPr>
            <w:r>
              <w:rPr>
                <w:sz w:val="19"/>
              </w:rPr>
              <w:t>−0.2013</w:t>
            </w:r>
          </w:p>
        </w:tc>
      </w:tr>
      <w:tr>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AIC</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-0.5075</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-6.1048</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Amélioration de 5.60 pts</w:t>
            </w:r>
          </w:p>
        </w:tc>
      </w:tr>
      <w:tr>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BIC</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12.1033</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2.3024</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Amélioration de 9.80 pts</w:t>
            </w:r>
          </w:p>
        </w:tc>
      </w:tr>
      <w:tr>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LRT vs nul (p)</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0.6894</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center"/>
            </w:pPr>
            <w:r>
              <w:rPr>
                <w:sz w:val="19"/>
              </w:rPr>
              <w:t>0.3600</w:t>
            </w:r>
          </w:p>
        </w:tc>
        <w:tc>
          <w:tcPr>
            <w:tcW w:type="dxa" w:w="2280"/>
            <w:shd w:val="clear" w:color="auto" w:fill="FFFACD"/>
            <w:tcBorders>
              <w:top w:val="single" w:sz="4" w:space="0" w:color="BFBFBF"/>
              <w:left w:val="single" w:sz="4" w:space="0" w:color="BFBFBF"/>
              <w:bottom w:val="single" w:sz="4" w:space="0" w:color="BFBFBF"/>
              <w:right w:val="single" w:sz="4" w:space="0" w:color="BFBFBF"/>
            </w:tcBorders>
          </w:tcPr>
          <w:p>
            <w:pPr>
              <w:jc w:val="left"/>
            </w:pPr>
            <w:r>
              <w:rPr>
                <w:sz w:val="19"/>
              </w:rPr>
              <w:t>Amélioration de 0,36 vs 0,69</w:t>
            </w:r>
          </w:p>
        </w:tc>
      </w:tr>
      <w:tr>
        <w:tc>
          <w:tcPr>
            <w:tcW w:type="dxa" w:w="2280"/>
            <w:tcBorders>
              <w:top w:val="single" w:sz="4" w:space="0" w:color="BFBFBF"/>
              <w:left w:val="single" w:sz="4" w:space="0" w:color="BFBFBF"/>
              <w:bottom w:val="single" w:sz="4" w:space="0" w:color="BFBFBF"/>
              <w:right w:val="single" w:sz="4" w:space="0" w:color="BFBFBF"/>
            </w:tcBorders>
          </w:tcPr>
          <w:p>
            <w:pPr>
              <w:jc w:val="left"/>
            </w:pPr>
            <w:r>
              <w:rPr>
                <w:sz w:val="19"/>
              </w:rPr>
              <w:t>Nb vars (k+φ)</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9"/>
              </w:rPr>
              <w:t>8 params</w:t>
            </w:r>
          </w:p>
        </w:tc>
        <w:tc>
          <w:tcPr>
            <w:tcW w:type="dxa" w:w="2280"/>
            <w:tcBorders>
              <w:top w:val="single" w:sz="4" w:space="0" w:color="BFBFBF"/>
              <w:left w:val="single" w:sz="4" w:space="0" w:color="BFBFBF"/>
              <w:bottom w:val="single" w:sz="4" w:space="0" w:color="BFBFBF"/>
              <w:right w:val="single" w:sz="4" w:space="0" w:color="BFBFBF"/>
            </w:tcBorders>
          </w:tcPr>
          <w:p>
            <w:pPr>
              <w:jc w:val="center"/>
            </w:pPr>
            <w:r>
              <w:rPr>
                <w:sz w:val="19"/>
              </w:rPr>
              <w:t>5 params</w:t>
            </w:r>
          </w:p>
        </w:tc>
        <w:tc>
          <w:tcPr>
            <w:tcW w:type="dxa" w:w="2280"/>
            <w:tcBorders>
              <w:top w:val="single" w:sz="4" w:space="0" w:color="BFBFBF"/>
              <w:left w:val="single" w:sz="4" w:space="0" w:color="BFBFBF"/>
              <w:bottom w:val="single" w:sz="4" w:space="0" w:color="BFBFBF"/>
              <w:right w:val="single" w:sz="4" w:space="0" w:color="BFBFBF"/>
            </w:tcBorders>
          </w:tcPr>
          <w:p>
            <w:pPr>
              <w:jc w:val="left"/>
            </w:pPr>
            <w:r>
              <w:rPr>
                <w:sz w:val="19"/>
              </w:rPr>
              <w:t>−3 paramètres</w:t>
            </w:r>
          </w:p>
        </w:tc>
      </w:tr>
    </w:tbl>
    <w:p>
      <w:pPr>
        <w:spacing w:before="40" w:after="200"/>
        <w:jc w:val="center"/>
      </w:pPr>
      <w:r>
        <w:rPr>
          <w:i/>
          <w:color w:val="606060"/>
          <w:sz w:val="18"/>
        </w:rPr>
        <w:t>Tableau 7 – Comparaison Mfull vs M4★ (fond jaune = amélioration de M4★ vs Mfull)</w:t>
      </w:r>
    </w:p>
    <w:p>
      <w:pPr>
        <w:spacing w:after="120"/>
        <w:ind w:firstLine="709"/>
      </w:pPr>
      <w:r>
        <w:rPr>
          <w:b w:val="0"/>
          <w:i w:val="0"/>
          <w:sz w:val="24"/>
        </w:rPr>
        <w:t>Le modèle M4★ présente une amélioration spectaculaire des critères d'information : +5.6 points d'AIC et +9.8 points de BIC par rapport au modèle complet. La légère baisse du pseudo-R² (0.137 vs 0.150) est inévitable et attendue (retrait de 3 variables explicatives). Elle confirme que ces trois variables (X4, X6, X7) n'apportaient pas d'information substantielle au modèle.</w:t>
      </w:r>
    </w:p>
    <w:p>
      <w:pPr>
        <w:pStyle w:val="Heading2"/>
      </w:pPr>
      <w:r>
        <w:t>5.3 Effets marginaux moyens</w:t>
      </w:r>
    </w:p>
    <w:p>
      <w:pPr>
        <w:spacing w:after="120"/>
        <w:ind w:firstLine="709"/>
      </w:pPr>
      <w:r>
        <w:rPr>
          <w:b w:val="0"/>
          <w:i w:val="0"/>
          <w:sz w:val="24"/>
        </w:rPr>
        <w:t>Les effets marginaux moyens (EMM) quantifient l'impact direct d'une variation unitaire de chaque variable sur le TEP, calculés sur l'échelle de la probabilité : EMM_j = β̂_j × E[μ̂(1−μ̂)].</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Variable</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Libellé</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EMM</w:t>
            </w:r>
          </w:p>
        </w:tc>
        <w:tc>
          <w:tcPr>
            <w:tcW w:type="dxa" w:w="2280"/>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Interprétation</w:t>
            </w:r>
          </w:p>
        </w:tc>
      </w:tr>
      <w:tr>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X1</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Délai de lancement</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9"/>
              </w:rPr>
              <w:t>+0.07756</w:t>
            </w:r>
          </w:p>
        </w:tc>
        <w:tc>
          <w:tcPr>
            <w:tcW w:type="dxa" w:w="2280"/>
            <w:shd w:val="clear" w:color="auto" w:fill="EBF3FB"/>
            <w:tcBorders>
              <w:top w:val="single" w:sz="4" w:space="0" w:color="BFBFBF"/>
              <w:left w:val="single" w:sz="4" w:space="0" w:color="BFBFBF"/>
              <w:bottom w:val="single" w:sz="4" w:space="0" w:color="BFBFBF"/>
              <w:right w:val="single" w:sz="4" w:space="0" w:color="BFBFBF"/>
            </w:tcBorders>
          </w:tcPr>
          <w:p>
            <w:pPr>
              <w:jc w:val="left"/>
            </w:pPr>
            <w:r>
              <w:rPr>
                <w:sz w:val="19"/>
              </w:rPr>
              <w:t>Effet positif modéré (contrôle)</w:t>
            </w:r>
          </w:p>
        </w:tc>
      </w:tr>
      <w:tr>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X2</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Délai de notification</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-0.06917</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Effet négatif faible **</w:t>
            </w:r>
          </w:p>
        </w:tc>
      </w:tr>
      <w:tr>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X3</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Avis favorables (délai)</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+0.16713</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Effet positif fort ***</w:t>
            </w:r>
          </w:p>
        </w:tc>
      </w:tr>
      <w:tr>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X5</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Concurrence effective</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center"/>
            </w:pPr>
            <w:r>
              <w:rPr>
                <w:b/>
                <w:sz w:val="19"/>
              </w:rPr>
              <w:t>-0.35453</w:t>
            </w:r>
          </w:p>
        </w:tc>
        <w:tc>
          <w:tcPr>
            <w:tcW w:type="dxa" w:w="2280"/>
            <w:shd w:val="clear" w:color="auto" w:fill="E2EFDA"/>
            <w:tcBorders>
              <w:top w:val="single" w:sz="4" w:space="0" w:color="BFBFBF"/>
              <w:left w:val="single" w:sz="4" w:space="0" w:color="BFBFBF"/>
              <w:bottom w:val="single" w:sz="4" w:space="0" w:color="BFBFBF"/>
              <w:right w:val="single" w:sz="4" w:space="0" w:color="BFBFBF"/>
            </w:tcBorders>
          </w:tcPr>
          <w:p>
            <w:pPr>
              <w:jc w:val="left"/>
            </w:pPr>
            <w:r>
              <w:rPr>
                <w:b/>
                <w:sz w:val="19"/>
              </w:rPr>
              <w:t>Effet négatif dominant ***</w:t>
            </w:r>
          </w:p>
        </w:tc>
      </w:tr>
    </w:tbl>
    <w:p>
      <w:pPr>
        <w:spacing w:before="40" w:after="200"/>
        <w:jc w:val="center"/>
      </w:pPr>
      <w:r>
        <w:rPr>
          <w:i/>
          <w:color w:val="606060"/>
          <w:sz w:val="18"/>
        </w:rPr>
        <w:t>Tableau 8 – Effets marginaux moyens du modèle M4★ (cellules vertes : variable significative)</w:t>
      </w:r>
    </w:p>
    <w:p>
      <w:pPr>
        <w:pStyle w:val="Heading1"/>
      </w:pPr>
      <w:r>
        <w:t>6. INTERPRÉTATION DES RÉSULTATS DU MODÈLE M4★</w:t>
      </w:r>
    </w:p>
    <w:p>
      <w:pPr>
        <w:pStyle w:val="Heading2"/>
      </w:pPr>
      <w:r>
        <w:t>6.1 Variables significatives</w:t>
      </w:r>
    </w:p>
    <w:p>
      <w:pPr>
        <w:spacing w:after="120"/>
        <w:ind w:firstLine="709"/>
      </w:pPr>
      <w:r>
        <w:rPr>
          <w:b w:val="0"/>
          <w:i w:val="0"/>
          <w:sz w:val="24"/>
        </w:rPr>
        <w:t>Dans le modèle parcimonieux M4★, trois variables exercent un effet statistiquement significatif sur le Taux d'Exécution Physique :</w:t>
      </w:r>
    </w:p>
    <w:p>
      <w:pPr>
        <w:ind w:firstLine="709"/>
      </w:pPr>
      <w:r>
        <w:rPr>
          <w:b/>
          <w:sz w:val="24"/>
        </w:rPr>
        <w:t>a) X3 – Taux d'avis favorables dans le délai : β = +0.6831  (p &lt; 0,0001)  ***</w:t>
      </w:r>
    </w:p>
    <w:p>
      <w:pPr>
        <w:spacing w:after="120"/>
        <w:ind w:firstLine="709"/>
      </w:pPr>
      <w:r>
        <w:rPr>
          <w:b w:val="0"/>
          <w:i w:val="0"/>
          <w:sz w:val="24"/>
        </w:rPr>
        <w:t>C'est le déterminant le plus positivement associé au TEP (EMM = +0.1671). Un taux d'avis favorables dans le délai plus élevé se traduit directement par une meilleure exécution physique. Ce résultat confirme que la célérité et la qualité de la phase d'approbation des marchés est le facteur institutionnel clé de la performance d'exécution.</w:t>
      </w:r>
    </w:p>
    <w:p>
      <w:pPr>
        <w:ind w:firstLine="709"/>
      </w:pPr>
      <w:r>
        <w:rPr>
          <w:b/>
          <w:sz w:val="24"/>
        </w:rPr>
        <w:t>b) X5 – Taux de concurrence effective : β = -1.4491  (p &lt; 0,0001)  ***</w:t>
      </w:r>
    </w:p>
    <w:p>
      <w:pPr>
        <w:spacing w:after="120"/>
        <w:ind w:firstLine="709"/>
      </w:pPr>
      <w:r>
        <w:rPr>
          <w:b w:val="0"/>
          <w:i w:val="0"/>
          <w:sz w:val="24"/>
        </w:rPr>
        <w:t>C'est l'effet marginal le plus fort en valeur absolue (EMM = -0.3545). Une concurrence plus élevée est paradoxalement associée à une réduction du TEP. Plusieurs mécanismes peuvent expliquer ce résultat : (i) la procédure de sélection est plus longue pour les marchés compétitifs, retardant le démarrage physique ; (ii) la pression sur les prix pousse les attributaires à des devis sous-estimés, conduisant à des difficultés d'exécution.</w:t>
      </w:r>
    </w:p>
    <w:p>
      <w:pPr>
        <w:ind w:firstLine="709"/>
      </w:pPr>
      <w:r>
        <w:rPr>
          <w:b/>
          <w:sz w:val="24"/>
        </w:rPr>
        <w:t>c) X2 – Taux de respect du délai de notification : β = -0.2827  (p = 0.0032)  **</w:t>
      </w:r>
    </w:p>
    <w:p>
      <w:pPr>
        <w:spacing w:after="120"/>
        <w:ind w:firstLine="709"/>
      </w:pPr>
      <w:r>
        <w:rPr>
          <w:b w:val="0"/>
          <w:i w:val="0"/>
          <w:sz w:val="24"/>
        </w:rPr>
        <w:t>Effet négatif modéré (EMM = -0.0692). Ce résultat, significatif dans le modèle parcimonieux, suggère que des notifications rapides sans préparation adéquate peuvent introduire des risques d'exécution.</w:t>
      </w:r>
    </w:p>
    <w:p>
      <w:pPr>
        <w:pStyle w:val="Heading2"/>
      </w:pPr>
      <w:r>
        <w:t>6.2 Variable de contrôle (X1)</w:t>
      </w:r>
    </w:p>
    <w:p>
      <w:pPr>
        <w:spacing w:after="120"/>
        <w:ind w:firstLine="709"/>
      </w:pPr>
      <w:r>
        <w:rPr>
          <w:b w:val="0"/>
          <w:i w:val="0"/>
          <w:sz w:val="24"/>
        </w:rPr>
        <w:t>X1 (délai de lancement) présente un coefficient positif (β = +0.3170) mais non significatif (p = 0.1527). Sa présence dans le modèle améliore la précision des estimations de X2 (lié par corrélation) et joue le rôle de variable de contrôle pour les délais procéduraux.</w:t>
      </w:r>
    </w:p>
    <w:p>
      <w:pPr>
        <w:pStyle w:val="Heading1"/>
      </w:pPr>
      <w:r>
        <w:t>7. VALEURS PRÉDITES ET ANALYSE DES RÉSIDUS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Obs.</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TEP observé</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TEP adj.</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TEP prédit (M4★)</w:t>
            </w:r>
          </w:p>
        </w:tc>
        <w:tc>
          <w:tcPr>
            <w:tcW w:type="dxa" w:w="1824"/>
            <w:shd w:val="clear" w:color="auto" w:fill="1F3864"/>
            <w:tcBorders>
              <w:top w:val="single" w:sz="4" w:space="0" w:color="BFBFBF"/>
              <w:left w:val="single" w:sz="4" w:space="0" w:color="BFBFBF"/>
              <w:bottom w:val="single" w:sz="4" w:space="0" w:color="BFBFBF"/>
              <w:right w:val="single" w:sz="4" w:space="0" w:color="BFBFBF"/>
            </w:tcBorders>
          </w:tcPr>
          <w:p>
            <w:pPr>
              <w:jc w:val="center"/>
            </w:pPr>
            <w:r>
              <w:rPr>
                <w:b/>
                <w:color w:val="FFFFFF"/>
                <w:sz w:val="19"/>
              </w:rPr>
              <w:t>Résidu</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1</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0.4500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0.4517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0.3543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+0.0973</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0.6450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0.4758</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+0.1692</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0.4300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0.4323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0.4491</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-0.0168</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0.2583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0.4214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-0.1630</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0.1617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0.4306</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-0.2689</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6</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0.2583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0.4529</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-0.1945</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0.1800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0.1907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0.4035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-0.2128</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8</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0.3800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0.3840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0.4422</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-0.0582</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9</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0.4450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0.4468</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0.4468</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+0.0000</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10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0.3800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0.3840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0.4279</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-0.0439</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11</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0.3000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0.3067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0.4864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-0.1798</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12</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0.4300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0.4323</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0.5042</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-0.0718</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13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0.4500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0.4517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0.5344</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-0.0828</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0.6300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0.6257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0.4735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+0.1521</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15</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0.4450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0.4468</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0.5717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-0.1249</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16</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0.6000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0.5967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0.4355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+0.1611</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0.8900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0.8770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0.5833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+0.2937</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18</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0.7800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0.7707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0.4518</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+0.3188</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19</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0.7800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0.7707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0.4723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+0.2983</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0.1617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0.5794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-0.4178</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21</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0.2583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0.4175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-0.1591</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22</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0.7417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0.5724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+0.1693</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0.6450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0.3865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+0.2585</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24</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0.4300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0.4323</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0.5468</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-0.1144</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25</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0.4500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0.4517</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0.5703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-0.1187</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26</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0.5500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0.5483</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0.6167</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-0.0684</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0.7417</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0.5794</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+0.1622</w:t>
            </w:r>
          </w:p>
        </w:tc>
      </w:tr>
      <w:tr>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28</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0.8500</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0.8383</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0.5695</w:t>
            </w:r>
          </w:p>
        </w:tc>
        <w:tc>
          <w:tcPr>
            <w:tcW w:type="dxa" w:w="1824"/>
            <w:shd w:val="clear" w:color="auto" w:fill="FCE4D6"/>
            <w:tcBorders>
              <w:top w:val="single" w:sz="4" w:space="0" w:color="BFBFBF"/>
              <w:left w:val="single" w:sz="4" w:space="0" w:color="BFBFBF"/>
              <w:bottom w:val="single" w:sz="4" w:space="0" w:color="BFBFBF"/>
              <w:right w:val="single" w:sz="4" w:space="0" w:color="BFBFBF"/>
            </w:tcBorders>
          </w:tcPr>
          <w:p>
            <w:pPr>
              <w:jc w:val="center"/>
            </w:pPr>
            <w:r>
              <w:rPr>
                <w:sz w:val="17"/>
              </w:rPr>
              <w:t>+0.2689</w:t>
            </w:r>
          </w:p>
        </w:tc>
      </w:tr>
      <w:tr>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29</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0.6500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0.6450</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0.6293</w:t>
            </w:r>
          </w:p>
        </w:tc>
        <w:tc>
          <w:tcPr>
            <w:tcW w:type="dxa" w:w="1824"/>
            <w:shd w:val="clear" w:color="auto" w:fill="EBF3FB"/>
            <w:tcBorders>
              <w:top w:val="single" w:sz="4" w:space="0" w:color="BFBFBF"/>
              <w:left w:val="single" w:sz="4" w:space="0" w:color="BFBFBF"/>
              <w:bottom w:val="single" w:sz="4" w:space="0" w:color="BFBFBF"/>
              <w:right w:val="single" w:sz="4" w:space="0" w:color="BFBFBF"/>
            </w:tcBorders>
          </w:tcPr>
          <w:p>
            <w:pPr>
              <w:jc w:val="center"/>
            </w:pPr>
            <w:r>
              <w:rPr>
                <w:sz w:val="17"/>
              </w:rPr>
              <w:t>+0.0157</w:t>
            </w:r>
          </w:p>
        </w:tc>
      </w:tr>
      <w:tr>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30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0.3300</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0.3357</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0.4705</w:t>
            </w:r>
          </w:p>
        </w:tc>
        <w:tc>
          <w:tcPr>
            <w:tcW w:type="dxa" w:w="1824"/>
            <w:tcBorders>
              <w:top w:val="single" w:sz="4" w:space="0" w:color="BFBFBF"/>
              <w:left w:val="single" w:sz="4" w:space="0" w:color="BFBFBF"/>
              <w:bottom w:val="single" w:sz="4" w:space="0" w:color="BFBFBF"/>
              <w:right w:val="single" w:sz="4" w:space="0" w:color="BFBFBF"/>
            </w:tcBorders>
          </w:tcPr>
          <w:p>
            <w:pPr>
              <w:jc w:val="center"/>
            </w:pPr>
            <w:r>
              <w:rPr>
                <w:sz w:val="17"/>
              </w:rPr>
              <w:t>-0.1348</w:t>
            </w:r>
          </w:p>
        </w:tc>
      </w:tr>
    </w:tbl>
    <w:p>
      <w:pPr>
        <w:spacing w:before="40" w:after="200"/>
        <w:jc w:val="center"/>
      </w:pPr>
      <w:r>
        <w:rPr>
          <w:i/>
          <w:color w:val="606060"/>
          <w:sz w:val="18"/>
        </w:rPr>
        <w:t>Tableau 9 – Valeurs observées, ajustées, prédites et résidus du modèle M4★</w:t>
      </w:r>
    </w:p>
    <w:p>
      <w:pPr>
        <w:spacing w:before="40" w:after="160"/>
      </w:pPr>
      <w:r>
        <w:rPr>
          <w:i/>
          <w:color w:val="606060"/>
          <w:sz w:val="17"/>
        </w:rPr>
        <w:t>Note : RMSE = 0.1876. Cellules oranges : |résidu| &gt; 0,15 (observations à fort résidu). TEP adj. = transformation Smithson-Verkuilen (2006).</w:t>
      </w:r>
    </w:p>
    <w:p>
      <w:pPr>
        <w:spacing w:after="120"/>
        <w:ind w:firstLine="709"/>
      </w:pPr>
      <w:r>
        <w:rPr>
          <w:b w:val="0"/>
          <w:i w:val="0"/>
          <w:sz w:val="24"/>
        </w:rPr>
        <w:t>Le RMSE du modèle M4★ est 0.1876, soit environ 18.8 points de pourcentage d'écart moyen absolu entre les valeurs prédites et observées.</w:t>
      </w:r>
    </w:p>
    <w:p>
      <w:pPr>
        <w:pStyle w:val="Heading1"/>
      </w:pPr>
      <w:r>
        <w:t>8. LIMITES ET PERSPECTIVES</w:t>
      </w:r>
    </w:p>
    <w:p>
      <w:pPr>
        <w:spacing w:after="120"/>
        <w:ind w:firstLine="709"/>
      </w:pPr>
      <w:r>
        <w:rPr>
          <w:b w:val="0"/>
          <w:i w:val="0"/>
          <w:sz w:val="24"/>
        </w:rPr>
        <w:t>Malgré l'amélioration notable obtenue par la sélection de variables, les limites suivantes doivent être signalées dans le mémoire :</w:t>
      </w:r>
    </w:p>
    <w:p>
      <w:pPr>
        <w:spacing w:after="80"/>
        <w:ind w:left="340"/>
      </w:pPr>
      <w:r>
        <w:rPr>
          <w:b/>
          <w:sz w:val="23"/>
        </w:rPr>
        <w:t xml:space="preserve">• Pseudo-R² faible persistant : </w:t>
      </w:r>
      <w:r>
        <w:rPr>
          <w:sz w:val="23"/>
        </w:rPr>
        <w:t>Le PR² = 0.137 reste modeste. Avec n=30, la puissance statistique est intrinsèquement limitée et ne permet pas de dépasser ce seuil sans nouvelles données.</w:t>
      </w:r>
    </w:p>
    <w:p>
      <w:pPr>
        <w:spacing w:after="80"/>
        <w:ind w:left="340"/>
      </w:pPr>
      <w:r>
        <w:rPr>
          <w:b/>
          <w:sz w:val="23"/>
        </w:rPr>
        <w:t xml:space="preserve">• LRT global non significatif : </w:t>
      </w:r>
      <w:r>
        <w:rPr>
          <w:sz w:val="23"/>
        </w:rPr>
        <w:t>Le test global LRT (p = 0.360) ne rejette pas le modèle nul, ce qui est habituel avec n=30 dans des modèles à 4 variables.</w:t>
      </w:r>
    </w:p>
    <w:p>
      <w:pPr>
        <w:spacing w:after="80"/>
        <w:ind w:left="340"/>
      </w:pPr>
      <w:r>
        <w:rPr>
          <w:b/>
          <w:sz w:val="23"/>
        </w:rPr>
        <w:t xml:space="preserve">• Multicolinéarité résiduelle : </w:t>
      </w:r>
      <w:r>
        <w:rPr>
          <w:sz w:val="23"/>
        </w:rPr>
        <w:t>La corrélation entre X2 et X1 (r = 0,37) ainsi qu'entre X3 et X5 peut encore affecter la précision des estimations individuelles.</w:t>
      </w:r>
    </w:p>
    <w:p>
      <w:pPr>
        <w:spacing w:after="80"/>
        <w:ind w:left="340"/>
      </w:pPr>
      <w:r>
        <w:rPr>
          <w:b/>
          <w:sz w:val="23"/>
        </w:rPr>
        <w:t xml:space="preserve">• Interprétation causale limitée : </w:t>
      </w:r>
      <w:r>
        <w:rPr>
          <w:sz w:val="23"/>
        </w:rPr>
        <w:t>Les résultats sont associatifs. L'inférence causale nécessite une stratégie d'identification (variables instrumentales, différences en différences).</w:t>
      </w:r>
    </w:p>
    <w:p>
      <w:pPr>
        <w:pStyle w:val="Heading2"/>
      </w:pPr>
      <w:r>
        <w:t>8.2 Recommandations pour la robustesse</w:t>
      </w:r>
    </w:p>
    <w:p>
      <w:pPr>
        <w:spacing w:after="60"/>
        <w:ind w:left="567" w:hanging="227"/>
      </w:pPr>
      <w:r>
        <w:rPr>
          <w:sz w:val="22"/>
        </w:rPr>
        <w:t>• Estimer le modèle logit fractionnel (Papke &amp; Wooldridge, 1996) sur M4★ comme vérification de robustesse.</w:t>
      </w:r>
    </w:p>
    <w:p>
      <w:pPr>
        <w:spacing w:after="60"/>
        <w:ind w:left="567" w:hanging="227"/>
      </w:pPr>
      <w:r>
        <w:rPr>
          <w:sz w:val="22"/>
        </w:rPr>
        <w:t>• Tester les effets d'interaction X3 × X5 dans une version étendue.</w:t>
      </w:r>
    </w:p>
    <w:p>
      <w:pPr>
        <w:spacing w:after="60"/>
        <w:ind w:left="567" w:hanging="227"/>
      </w:pPr>
      <w:r>
        <w:rPr>
          <w:sz w:val="22"/>
        </w:rPr>
        <w:t>• Augmenter l'échantillon (objectif : n ≥ 50 pour 4 variables) pour améliorer la puissance statistique.</w:t>
      </w:r>
    </w:p>
    <w:p>
      <w:pPr>
        <w:spacing w:after="60"/>
        <w:ind w:left="567" w:hanging="227"/>
      </w:pPr>
      <w:r>
        <w:rPr>
          <w:sz w:val="22"/>
        </w:rPr>
        <w:t>• Introduire des effets fixes temporels (indicatrices d'années : 2022, 2024, 2025).</w:t>
      </w:r>
    </w:p>
    <w:p>
      <w:pPr>
        <w:spacing w:after="60"/>
        <w:ind w:left="567" w:hanging="227"/>
      </w:pPr>
      <w:r>
        <w:rPr>
          <w:sz w:val="22"/>
        </w:rPr>
        <w:t>• Conduire une analyse de sensibilité sur le choix du modèle (M3 vs M4★).</w:t>
      </w:r>
    </w:p>
    <w:p>
      <w:pPr>
        <w:pStyle w:val="Heading1"/>
      </w:pPr>
      <w:r>
        <w:t>9. CONCLUSION</w:t>
      </w:r>
    </w:p>
    <w:p>
      <w:pPr>
        <w:spacing w:after="120"/>
        <w:ind w:firstLine="709"/>
      </w:pPr>
      <w:r>
        <w:rPr>
          <w:b w:val="0"/>
          <w:i w:val="0"/>
          <w:sz w:val="24"/>
        </w:rPr>
        <w:t>La procédure de sélection de variables appliquée au modèle de régression bêta a conduit à identifier le modèle parcimonieux optimal M4★ = {X1, X2, X3, X5}. Ce modèle présente des améliorations substantielles par rapport au modèle initial :</w:t>
      </w:r>
    </w:p>
    <w:p>
      <w:pPr>
        <w:spacing w:after="60"/>
        <w:ind w:left="567" w:hanging="227"/>
      </w:pPr>
      <w:r>
        <w:rPr>
          <w:sz w:val="22"/>
        </w:rPr>
        <w:t>• AIC amélioré de 5.6 points (−6.10 vs −0.51) ;</w:t>
      </w:r>
    </w:p>
    <w:p>
      <w:pPr>
        <w:spacing w:after="60"/>
        <w:ind w:left="567" w:hanging="227"/>
      </w:pPr>
      <w:r>
        <w:rPr>
          <w:sz w:val="22"/>
        </w:rPr>
        <w:t>• BIC amélioré de 9.8 points ;</w:t>
      </w:r>
    </w:p>
    <w:p>
      <w:pPr>
        <w:spacing w:after="60"/>
        <w:ind w:left="567" w:hanging="227"/>
      </w:pPr>
      <w:r>
        <w:rPr>
          <w:sz w:val="22"/>
        </w:rPr>
        <w:t>• Trois variables significatives dans le modèle retenu (X2, X3, X5) vs résultats instables dans Mfull ;</w:t>
      </w:r>
    </w:p>
    <w:p>
      <w:pPr>
        <w:spacing w:after="60"/>
        <w:ind w:left="567" w:hanging="227"/>
      </w:pPr>
      <w:r>
        <w:rPr>
          <w:sz w:val="22"/>
        </w:rPr>
        <w:t>• La suppression de X4, X6, X7 est statistiquement validée par LRT (p = 0,94).</w:t>
      </w:r>
    </w:p>
    <w:p>
      <w:pPr>
        <w:spacing w:after="120"/>
        <w:ind w:firstLine="709"/>
      </w:pPr>
      <w:r>
        <w:rPr>
          <w:b w:val="0"/>
          <w:i w:val="0"/>
          <w:sz w:val="24"/>
        </w:rPr>
        <w:t>Les résultats confirment que le taux d'exécution physique des marchés publics est déterminé principalement par : (1) la qualité et la rapidité de l'approbation (X3, effet positif dominant, EMM ≈ +17 pts) et (2) la structure concurrentielle (X5, effet négatif dominant, EMM ≈ −35 pts), avec une contribution modérée et négative du respect des délais de notification (X2). Ces résultats constituent une base analytique robuste pour la discussion dans le mémoire.</w:t>
      </w:r>
    </w:p>
    <w:p>
      <w:pPr>
        <w:pStyle w:val="Heading1"/>
      </w:pPr>
      <w:r>
        <w:t>RÉFÉRENCES BIBLIOGRAPHIQUES</w:t>
      </w:r>
    </w:p>
    <w:p>
      <w:pPr>
        <w:spacing w:after="80"/>
        <w:ind w:left="567" w:hanging="567"/>
      </w:pPr>
      <w:r>
        <w:rPr>
          <w:sz w:val="22"/>
        </w:rPr>
        <w:t>Ferrari, S. L. P., &amp; Cribari-Neto, F. (2004). Beta regression for modelling rates and proportions. Journal of Applied Statistics, 31(7), 799–815.</w:t>
      </w:r>
    </w:p>
    <w:p>
      <w:pPr>
        <w:spacing w:after="80"/>
        <w:ind w:left="567" w:hanging="567"/>
      </w:pPr>
      <w:r>
        <w:rPr>
          <w:sz w:val="22"/>
        </w:rPr>
        <w:t>Greene, W. H. (2008). Econometric Analysis (6th ed.). Pearson Prentice Hall.</w:t>
      </w:r>
    </w:p>
    <w:p>
      <w:pPr>
        <w:spacing w:after="80"/>
        <w:ind w:left="567" w:hanging="567"/>
      </w:pPr>
      <w:r>
        <w:rPr>
          <w:sz w:val="22"/>
        </w:rPr>
        <w:t>Papke, L. E., &amp; Wooldridge, J. M. (1996). Econometric methods for fractional response variables with an application to 401(k) plan participation rates. Journal of Applied Econometrics, 11(6), 619–632.</w:t>
      </w:r>
    </w:p>
    <w:p>
      <w:pPr>
        <w:spacing w:after="80"/>
        <w:ind w:left="567" w:hanging="567"/>
      </w:pPr>
      <w:r>
        <w:rPr>
          <w:sz w:val="22"/>
        </w:rPr>
        <w:t>Schwarz, G. (1978). Estimating the dimension of a model. Annals of Statistics, 6(2), 461–464.</w:t>
      </w:r>
    </w:p>
    <w:p>
      <w:pPr>
        <w:spacing w:after="80"/>
        <w:ind w:left="567" w:hanging="567"/>
      </w:pPr>
      <w:r>
        <w:rPr>
          <w:sz w:val="22"/>
        </w:rPr>
        <w:t>Smithson, M., &amp; Verkuilen, J. (2006). A better lemon squeezer? Maximum-likelihood regression with beta-distributed dependent variables. Psychological Methods, 11(1), 54–71.</w:t>
      </w:r>
    </w:p>
    <w:p>
      <w:pPr>
        <w:spacing w:after="80"/>
        <w:ind w:left="567" w:hanging="567"/>
      </w:pPr>
      <w:r>
        <w:rPr>
          <w:sz w:val="22"/>
        </w:rPr>
        <w:t>Akaike, H. (1974). A new look at the statistical model identification. IEEE Transactions on Automatic Control, 19(6), 716–723.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