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i w:val="0"/>
          <w:color w:val="1F3964"/>
          <w:sz w:val="24"/>
        </w:rPr>
        <w:t>ÉVALUATION FINALE DU PSIE — PROGRAMME D'INSERTION SPÉCIAL DANS L'EMPLOI</w:t>
      </w:r>
    </w:p>
    <w:p>
      <w:pPr>
        <w:spacing w:after="60"/>
        <w:jc w:val="center"/>
      </w:pPr>
      <w:r>
        <w:rPr>
          <w:b/>
          <w:i w:val="0"/>
          <w:color w:val="1F3964"/>
          <w:sz w:val="28"/>
        </w:rPr>
        <w:t>BUDGET DE LA COLLECTE DES DONNÉES — PHASE 2</w:t>
      </w:r>
    </w:p>
    <w:p>
      <w:pPr>
        <w:spacing w:after="60"/>
        <w:jc w:val="center"/>
      </w:pPr>
      <w:r>
        <w:rPr>
          <w:b w:val="0"/>
          <w:i/>
          <w:color w:val="595959"/>
          <w:sz w:val="20"/>
        </w:rPr>
        <w:t>Budget total prévisionnel : 2 000 000 FCFA   |   Durée totale : 14 jours calendaires</w:t>
      </w:r>
    </w:p>
    <w:p>
      <w:pPr>
        <w:spacing w:after="80"/>
      </w:pPr>
    </w:p>
    <w:p>
      <w:pPr>
        <w:spacing w:before="80" w:after="60"/>
      </w:pPr>
      <w:r>
        <w:rPr>
          <w:b/>
          <w:color w:val="1F3964"/>
          <w:sz w:val="20"/>
        </w:rPr>
        <w:t>CADRE DE LA MISSION DE COLLECTE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3118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8"/>
              </w:rPr>
              <w:t>Commanditaire</w:t>
            </w:r>
          </w:p>
        </w:tc>
        <w:tc>
          <w:tcPr>
            <w:tcW w:type="dxa" w:w="11055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Ministère en charge de l'Emploi / ANPE — Programme PSIE</w:t>
            </w:r>
          </w:p>
        </w:tc>
      </w:tr>
      <w:tr>
        <w:tc>
          <w:tcPr>
            <w:tcW w:type="dxa" w:w="3118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8"/>
              </w:rPr>
              <w:t>Objet</w:t>
            </w:r>
          </w:p>
        </w:tc>
        <w:tc>
          <w:tcPr>
            <w:tcW w:type="dxa" w:w="11055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Collecte de données quantitatives et qualitatives — Phase 2 de l'évaluation finale</w:t>
            </w:r>
          </w:p>
        </w:tc>
      </w:tr>
      <w:tr>
        <w:tc>
          <w:tcPr>
            <w:tcW w:type="dxa" w:w="3118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8"/>
              </w:rPr>
              <w:t>Échantillon total</w:t>
            </w:r>
          </w:p>
        </w:tc>
        <w:tc>
          <w:tcPr>
            <w:tcW w:type="dxa" w:w="11055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487 jeunes (174 allocataires + 313 non-allocataires) + 450 entreprises + 7 acteurs clés (8 personnes)</w:t>
            </w:r>
          </w:p>
        </w:tc>
      </w:tr>
      <w:tr>
        <w:tc>
          <w:tcPr>
            <w:tcW w:type="dxa" w:w="3118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8"/>
              </w:rPr>
              <w:t>Modes de collecte</w:t>
            </w:r>
          </w:p>
        </w:tc>
        <w:tc>
          <w:tcPr>
            <w:tcW w:type="dxa" w:w="11055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Enquête téléphonique CSPRO (jeunes) • Présentiel (entreprises) • Entretiens individuels &amp; focus group (acteurs clés)</w:t>
            </w:r>
          </w:p>
        </w:tc>
      </w:tr>
      <w:tr>
        <w:tc>
          <w:tcPr>
            <w:tcW w:type="dxa" w:w="3118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8"/>
              </w:rPr>
              <w:t>Calendrier</w:t>
            </w:r>
          </w:p>
        </w:tc>
        <w:tc>
          <w:tcPr>
            <w:tcW w:type="dxa" w:w="11055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Jours 1-2 : Formation &amp; préparation | Jours 3-12 : Collecte effective (10 j) | Jours 13-14 : Apurement &amp; restitution</w:t>
            </w:r>
          </w:p>
        </w:tc>
      </w:tr>
      <w:tr>
        <w:tc>
          <w:tcPr>
            <w:tcW w:type="dxa" w:w="3118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8"/>
              </w:rPr>
              <w:t>Taux de participation visé</w:t>
            </w:r>
          </w:p>
        </w:tc>
        <w:tc>
          <w:tcPr>
            <w:tcW w:type="dxa" w:w="11055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≥ 70 %  — environ 1 000 appels pour 487 questionnaires valides ciblés</w:t>
            </w:r>
          </w:p>
        </w:tc>
      </w:tr>
      <w:tr>
        <w:tc>
          <w:tcPr>
            <w:tcW w:type="dxa" w:w="3118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8"/>
              </w:rPr>
              <w:t>Logiciel de saisie</w:t>
            </w:r>
          </w:p>
        </w:tc>
        <w:tc>
          <w:tcPr>
            <w:tcW w:type="dxa" w:w="11055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CSPRO (téléphonique) • Support numérique/papier (présentiel entreprises)</w:t>
            </w:r>
          </w:p>
        </w:tc>
      </w:tr>
      <w:tr>
        <w:tc>
          <w:tcPr>
            <w:tcW w:type="dxa" w:w="3118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8"/>
              </w:rPr>
              <w:t>Traitement statistique</w:t>
            </w:r>
          </w:p>
        </w:tc>
        <w:tc>
          <w:tcPr>
            <w:tcW w:type="dxa" w:w="11055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Microsoft Excel (desc.) • Stata 17 (double différence, test de Student)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964"/>
          <w:sz w:val="20"/>
        </w:rPr>
        <w:t>TABLEAU 1 — RÉPARTITION DES AGENTS ENQUÊTEURS PAR CATÉGORIE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041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Catégorie</w:t>
              <w:br/>
              <w:t>d'agents</w:t>
            </w:r>
          </w:p>
        </w:tc>
        <w:tc>
          <w:tcPr>
            <w:tcW w:type="dxa" w:w="2835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Cibles de l'enquête</w:t>
            </w:r>
          </w:p>
        </w:tc>
        <w:tc>
          <w:tcPr>
            <w:tcW w:type="dxa" w:w="1474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 de</w:t>
              <w:br/>
              <w:t>collecte</w:t>
            </w:r>
          </w:p>
        </w:tc>
        <w:tc>
          <w:tcPr>
            <w:tcW w:type="dxa" w:w="1474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Nb cibles</w:t>
              <w:br/>
              <w:t>à enquêter</w:t>
            </w:r>
          </w:p>
        </w:tc>
        <w:tc>
          <w:tcPr>
            <w:tcW w:type="dxa" w:w="1304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Nb entretiens</w:t>
              <w:br/>
              <w:t>/jr/agent</w:t>
            </w:r>
          </w:p>
        </w:tc>
        <w:tc>
          <w:tcPr>
            <w:tcW w:type="dxa" w:w="1191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Nb jours</w:t>
              <w:br/>
              <w:t>enquête</w:t>
            </w:r>
          </w:p>
        </w:tc>
        <w:tc>
          <w:tcPr>
            <w:tcW w:type="dxa" w:w="1191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Nb agents</w:t>
              <w:br/>
              <w:t>retenus</w:t>
            </w:r>
          </w:p>
        </w:tc>
        <w:tc>
          <w:tcPr>
            <w:tcW w:type="dxa" w:w="1304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Capacité</w:t>
              <w:br/>
              <w:t>théorique</w:t>
            </w:r>
          </w:p>
        </w:tc>
        <w:tc>
          <w:tcPr>
            <w:tcW w:type="dxa" w:w="1304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Taux de</w:t>
              <w:br/>
              <w:t>couverture</w:t>
            </w:r>
          </w:p>
        </w:tc>
      </w:tr>
      <w:tr>
        <w:tc>
          <w:tcPr>
            <w:tcW w:type="dxa" w:w="2041"/>
            <w:vAlign w:val="center"/>
            <w:vMerge w:val="restart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  <w:shd w:val="clear" w:color="auto" w:fill="F2F2F2"/>
          </w:tcPr>
          <w:p>
            <w:r>
              <w:rPr>
                <w:b/>
                <w:sz w:val="17"/>
              </w:rPr>
              <w:t>Enquêteurs</w:t>
              <w:br/>
              <w:t>téléphoniques</w:t>
            </w:r>
          </w:p>
          <w:p>
            <w:r>
              <w:rPr>
                <w:b/>
                <w:sz w:val="17"/>
              </w:rPr>
              <w:t>Enquêteurs</w:t>
              <w:br/>
              <w:t>téléphoniques</w:t>
            </w:r>
          </w:p>
        </w:tc>
        <w:tc>
          <w:tcPr>
            <w:tcW w:type="dxa" w:w="2835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Allocataires PSIE (bénéficiaires)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Téléphone</w:t>
              <w:br/>
              <w:t>(CSPRO)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174</w:t>
              <w:br/>
              <w:t>(~250 appels)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19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19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115 %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  <w:vMerge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/>
        </w:tc>
        <w:tc>
          <w:tcPr>
            <w:tcW w:type="dxa" w:w="2835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Non-allocataires — groupe témoin</w:t>
            </w:r>
          </w:p>
        </w:tc>
        <w:tc>
          <w:tcPr>
            <w:tcW w:type="dxa" w:w="147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Téléphone</w:t>
              <w:br/>
              <w:t>(CSPRO)</w:t>
            </w:r>
          </w:p>
        </w:tc>
        <w:tc>
          <w:tcPr>
            <w:tcW w:type="dxa" w:w="147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313</w:t>
              <w:br/>
              <w:t>(~447 appels)</w:t>
            </w:r>
          </w:p>
        </w:tc>
        <w:tc>
          <w:tcPr>
            <w:tcW w:type="dxa" w:w="130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19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19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0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400</w:t>
            </w:r>
          </w:p>
        </w:tc>
        <w:tc>
          <w:tcPr>
            <w:tcW w:type="dxa" w:w="130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128 %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7"/>
              </w:rPr>
              <w:t>Enquêteurs terrain</w:t>
              <w:br/>
              <w:t>(entreprises)</w:t>
            </w:r>
          </w:p>
        </w:tc>
        <w:tc>
          <w:tcPr>
            <w:tcW w:type="dxa" w:w="2835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Entreprises bénéficiaires du PSIE</w:t>
              <w:br/>
              <w:t>(4 départements)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Présentiel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450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19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19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480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107 %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7"/>
              </w:rPr>
              <w:t>Agents entretiens</w:t>
              <w:br/>
              <w:t>&amp; focus group</w:t>
            </w:r>
          </w:p>
        </w:tc>
        <w:tc>
          <w:tcPr>
            <w:tcW w:type="dxa" w:w="2835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Acteurs clés :</w:t>
              <w:br/>
              <w:t xml:space="preserve">  • DG ANPE &amp; Coordonnateur (1 EI)</w:t>
              <w:br/>
              <w:t xml:space="preserve">  • Équipe mise en œuvre (1 FG)</w:t>
              <w:br/>
              <w:t xml:space="preserve">  • CNSS &amp; Trésor public (1 EI)</w:t>
            </w:r>
          </w:p>
        </w:tc>
        <w:tc>
          <w:tcPr>
            <w:tcW w:type="dxa" w:w="147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Présentiel</w:t>
            </w:r>
          </w:p>
        </w:tc>
        <w:tc>
          <w:tcPr>
            <w:tcW w:type="dxa" w:w="147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8 personnes</w:t>
              <w:br/>
              <w:t>3 sessions</w:t>
            </w:r>
          </w:p>
        </w:tc>
        <w:tc>
          <w:tcPr>
            <w:tcW w:type="dxa" w:w="130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1-2 sess.</w:t>
              <w:br/>
              <w:t>/jr</w:t>
            </w:r>
          </w:p>
        </w:tc>
        <w:tc>
          <w:tcPr>
            <w:tcW w:type="dxa" w:w="119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19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</w:t>
              <w:br/>
              <w:t>(1 binôme)</w:t>
            </w:r>
          </w:p>
        </w:tc>
        <w:tc>
          <w:tcPr>
            <w:tcW w:type="dxa" w:w="130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7-14 sess.</w:t>
            </w:r>
          </w:p>
        </w:tc>
        <w:tc>
          <w:tcPr>
            <w:tcW w:type="dxa" w:w="1304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100 %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sz w:val="17"/>
              </w:rPr>
              <w:t>Superviseur /</w:t>
              <w:br/>
              <w:t>Coordinateur</w:t>
            </w:r>
          </w:p>
        </w:tc>
        <w:tc>
          <w:tcPr>
            <w:tcW w:type="dxa" w:w="2835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Toutes cibles (coordination, contrôle qualité, reporting)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7"/>
              </w:rPr>
              <w:t>Terrain &amp;</w:t>
              <w:br/>
              <w:t>téléphone</w:t>
            </w:r>
          </w:p>
        </w:tc>
        <w:tc>
          <w:tcPr>
            <w:tcW w:type="dxa" w:w="147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9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19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04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041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r>
              <w:rPr>
                <w:b/>
                <w:color w:val="375A3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18"/>
              </w:rPr>
            </w:r>
          </w:p>
        </w:tc>
        <w:tc>
          <w:tcPr>
            <w:tcW w:type="dxa" w:w="1474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18"/>
              </w:rPr>
            </w:r>
          </w:p>
        </w:tc>
        <w:tc>
          <w:tcPr>
            <w:tcW w:type="dxa" w:w="1474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18"/>
              </w:rPr>
              <w:t>944 cibles</w:t>
              <w:br/>
              <w:t>+1 000 appels</w:t>
              <w:br/>
              <w:t>(jeunes)</w:t>
            </w:r>
          </w:p>
        </w:tc>
        <w:tc>
          <w:tcPr>
            <w:tcW w:type="dxa" w:w="1304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18"/>
              </w:rPr>
            </w:r>
          </w:p>
        </w:tc>
        <w:tc>
          <w:tcPr>
            <w:tcW w:type="dxa" w:w="1191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18"/>
              </w:rPr>
              <w:t>14 jrs cal.</w:t>
            </w:r>
          </w:p>
        </w:tc>
        <w:tc>
          <w:tcPr>
            <w:tcW w:type="dxa" w:w="1191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18"/>
              </w:rPr>
              <w:t>12 agents</w:t>
            </w:r>
          </w:p>
        </w:tc>
        <w:tc>
          <w:tcPr>
            <w:tcW w:type="dxa" w:w="1304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18"/>
              </w:rPr>
            </w:r>
          </w:p>
        </w:tc>
        <w:tc>
          <w:tcPr>
            <w:tcW w:type="dxa" w:w="1304"/>
            <w:shd w:val="clear" w:color="auto" w:fill="FFC000"/>
            <w:vAlign w:val="center"/>
            <w:tcBorders>
              <w:top w:val="single" w:sz="12" w:space="0" w:color="375A30"/>
              <w:bottom w:val="single" w:sz="12" w:space="0" w:color="375A30"/>
              <w:start w:val="single" w:sz="12" w:space="0" w:color="375A30"/>
              <w:end w:val="single" w:sz="12" w:space="0" w:color="375A30"/>
              <w:left w:val="single" w:sz="12" w:space="0" w:color="375A30"/>
              <w:right w:val="single" w:sz="12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18"/>
              </w:rPr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i/>
          <w:color w:val="595959"/>
          <w:sz w:val="17"/>
        </w:rPr>
        <w:t>⚑  Calendrier détaillé : Jours 1-2 formation (tous agents) • Jours 3-10 collecte téléphonique (8 j) • Jours 3-12 visites terrain entreprises (10 j) • Jours 3-9 entretiens &amp; focus group (7 j) • Jours 13-14 apurement &amp; restitution (superviseur + 2 agents).</w:t>
      </w:r>
    </w:p>
    <w:p>
      <w:pPr>
        <w:spacing w:after="80"/>
      </w:pPr>
    </w:p>
    <w:p>
      <w:pPr>
        <w:spacing w:before="80" w:after="60"/>
      </w:pPr>
      <w:r>
        <w:rPr>
          <w:b/>
          <w:color w:val="1F3964"/>
          <w:sz w:val="20"/>
        </w:rPr>
        <w:t>TABLEAU 2 — BUDGET DÉTAILLÉ DE L'ENQUÊTE (FCFA)</w:t>
      </w:r>
    </w:p>
    <w:p>
      <w:pPr>
        <w:spacing w:before="0" w:after="80"/>
      </w:pPr>
      <w:r>
        <w:rPr>
          <w:i/>
          <w:color w:val="595959"/>
          <w:sz w:val="17"/>
        </w:rPr>
        <w:t>Taux journaliers appliqués : 10 000 FCFA / jour — enquêteurs questionnaires (téléphone et terrain)   •   15 000 FCFA / jour — agents entretiens &amp; superviseur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3969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Rubriques</w:t>
            </w:r>
          </w:p>
        </w:tc>
        <w:tc>
          <w:tcPr>
            <w:tcW w:type="dxa" w:w="1020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Unité</w:t>
            </w:r>
          </w:p>
        </w:tc>
        <w:tc>
          <w:tcPr>
            <w:tcW w:type="dxa" w:w="850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type="dxa" w:w="850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Jours</w:t>
            </w:r>
          </w:p>
        </w:tc>
        <w:tc>
          <w:tcPr>
            <w:tcW w:type="dxa" w:w="1361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Coût unit.</w:t>
              <w:br/>
              <w:t>(FCFA)</w:t>
            </w:r>
          </w:p>
        </w:tc>
        <w:tc>
          <w:tcPr>
            <w:tcW w:type="dxa" w:w="1361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Montant</w:t>
              <w:br/>
              <w:t>(FCFA)</w:t>
            </w:r>
          </w:p>
        </w:tc>
        <w:tc>
          <w:tcPr>
            <w:tcW w:type="dxa" w:w="4706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c>
          <w:tcPr>
            <w:tcW w:type="dxa" w:w="14117"/>
            <w:gridSpan w:val="7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r>
              <w:rPr>
                <w:b/>
                <w:color w:val="FFFFFF"/>
                <w:sz w:val="19"/>
              </w:rPr>
              <w:t>I.  HONORAIRES DES AGENTS</w:t>
            </w:r>
          </w:p>
        </w:tc>
      </w:tr>
      <w:tr>
        <w:tc>
          <w:tcPr>
            <w:tcW w:type="dxa" w:w="14117"/>
            <w:gridSpan w:val="7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color w:val="1F3964"/>
                <w:sz w:val="18"/>
              </w:rPr>
              <w:t>A.  Phase de formation et préparation (2 jours — tous agents) ........  Sous-total : 310 000 FCFA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Enquêteurs téléphoniques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10 000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100 000</w:t>
            </w:r>
          </w:p>
        </w:tc>
        <w:tc>
          <w:tcPr>
            <w:tcW w:type="dxa" w:w="4706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2 agents allocataires + 3 agents non-allocataires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Enquêteurs terrain — entreprises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10 000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120 000</w:t>
            </w:r>
          </w:p>
        </w:tc>
        <w:tc>
          <w:tcPr>
            <w:tcW w:type="dxa" w:w="4706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Répartis sur 4 départements : Atlantique, Borgou, Littoral, Ouémé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Agents entretiens &amp; focus group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15 000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60 000</w:t>
            </w:r>
          </w:p>
        </w:tc>
        <w:tc>
          <w:tcPr>
            <w:tcW w:type="dxa" w:w="4706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1 binôme : 2 EI (DG ANPE + CNSS/Trésor) + 1 FG (équipe PSIE)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Superviseur / Coordinateur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15 000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30 000</w:t>
            </w:r>
          </w:p>
        </w:tc>
        <w:tc>
          <w:tcPr>
            <w:tcW w:type="dxa" w:w="4706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Coordination générale, paramétrage CSPRO, contrôle qualité initial</w:t>
            </w:r>
          </w:p>
        </w:tc>
      </w:tr>
      <w:tr>
        <w:tc>
          <w:tcPr>
            <w:tcW w:type="dxa" w:w="14117"/>
            <w:gridSpan w:val="7"/>
            <w:shd w:val="clear" w:color="auto" w:fill="BDD7EE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/>
                <w:color w:val="1F3964"/>
                <w:sz w:val="18"/>
              </w:rPr>
              <w:t>B.  Phase de collecte effective ........  Sous-total : 1 390 000 FCFA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Enquêteurs téléphoniques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10 000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400 000</w:t>
            </w:r>
          </w:p>
        </w:tc>
        <w:tc>
          <w:tcPr>
            <w:tcW w:type="dxa" w:w="4706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25 appels/agent/jr × 8 jours = 1 000 appels ; ~487 questionnaires valides ciblés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Enquêteurs terrain — entreprises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10 000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600 000</w:t>
            </w:r>
          </w:p>
        </w:tc>
        <w:tc>
          <w:tcPr>
            <w:tcW w:type="dxa" w:w="4706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8 visites/agent/jr × 10 jours = 480 capacité ≥ 450 entreprises cibles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Agents entretiens &amp; focus group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15 000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210 000</w:t>
            </w:r>
          </w:p>
        </w:tc>
        <w:tc>
          <w:tcPr>
            <w:tcW w:type="dxa" w:w="4706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Jours 3-9 : 2 EI + 1 FG = 3 sessions prévues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Superviseur / Coordinateur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15 000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180 000</w:t>
            </w:r>
          </w:p>
        </w:tc>
        <w:tc>
          <w:tcPr>
            <w:tcW w:type="dxa" w:w="4706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Présent jours 3-14 : suivi collecte + apurement initial</w:t>
            </w:r>
          </w:p>
        </w:tc>
      </w:tr>
      <w:tr>
        <w:tc>
          <w:tcPr>
            <w:tcW w:type="dxa" w:w="9411"/>
            <w:gridSpan w:val="6"/>
            <w:vAlign w:val="center"/>
            <w:tcBorders>
              <w:top w:val="single" w:sz="8" w:space="0" w:color="375A30"/>
              <w:bottom w:val="single" w:sz="8" w:space="0" w:color="375A30"/>
              <w:start w:val="single" w:sz="8" w:space="0" w:color="375A30"/>
              <w:end w:val="single" w:sz="8" w:space="0" w:color="375A30"/>
              <w:left w:val="single" w:sz="8" w:space="0" w:color="375A30"/>
              <w:right w:val="single" w:sz="8" w:space="0" w:color="375A30"/>
            </w:tcBorders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A30"/>
                <w:sz w:val="20"/>
              </w:rPr>
              <w:t>1 700 000</w:t>
            </w:r>
          </w:p>
        </w:tc>
        <w:tc>
          <w:tcPr>
            <w:tcW w:type="dxa" w:w="4706"/>
            <w:shd w:val="clear" w:color="auto" w:fill="E2EFDA"/>
            <w:vAlign w:val="center"/>
            <w:tcBorders>
              <w:top w:val="single" w:sz="8" w:space="0" w:color="375A30"/>
              <w:bottom w:val="single" w:sz="8" w:space="0" w:color="375A30"/>
              <w:start w:val="single" w:sz="8" w:space="0" w:color="375A30"/>
              <w:end w:val="single" w:sz="8" w:space="0" w:color="375A30"/>
              <w:left w:val="single" w:sz="8" w:space="0" w:color="375A30"/>
              <w:right w:val="single" w:sz="8" w:space="0" w:color="375A30"/>
            </w:tcBorders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17"/>
            <w:gridSpan w:val="7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r>
              <w:rPr>
                <w:b/>
                <w:color w:val="FFFFFF"/>
                <w:sz w:val="19"/>
              </w:rPr>
              <w:t>II.  COMMUNICATION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Crédits téléphoniques — enquêteurs téléphoniques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Pers/jr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2 500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100 000</w:t>
            </w:r>
          </w:p>
        </w:tc>
        <w:tc>
          <w:tcPr>
            <w:tcW w:type="dxa" w:w="4706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Forfait quotidien pour les appels CSPRO et relances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Kits internet &amp; synchronisation CSPRO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Forfait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7 000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21 000</w:t>
            </w:r>
          </w:p>
        </w:tc>
        <w:tc>
          <w:tcPr>
            <w:tcW w:type="dxa" w:w="4706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Superviseur + 2 agents techniques (mises à jour questionnaire, synchronisation)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Forfait communication — agents terrain entreprises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Pers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3 000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18 000</w:t>
            </w:r>
          </w:p>
        </w:tc>
        <w:tc>
          <w:tcPr>
            <w:tcW w:type="dxa" w:w="4706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Coordination terrain : confirmation des rendez-vous, suivi journalier</w:t>
            </w:r>
          </w:p>
        </w:tc>
      </w:tr>
      <w:tr>
        <w:tc>
          <w:tcPr>
            <w:tcW w:type="dxa" w:w="9411"/>
            <w:gridSpan w:val="6"/>
            <w:vAlign w:val="center"/>
            <w:tcBorders>
              <w:top w:val="single" w:sz="8" w:space="0" w:color="375A30"/>
              <w:bottom w:val="single" w:sz="8" w:space="0" w:color="375A30"/>
              <w:start w:val="single" w:sz="8" w:space="0" w:color="375A30"/>
              <w:end w:val="single" w:sz="8" w:space="0" w:color="375A30"/>
              <w:left w:val="single" w:sz="8" w:space="0" w:color="375A30"/>
              <w:right w:val="single" w:sz="8" w:space="0" w:color="375A30"/>
            </w:tcBorders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A30"/>
                <w:sz w:val="20"/>
              </w:rPr>
              <w:t>139 000</w:t>
            </w:r>
          </w:p>
        </w:tc>
        <w:tc>
          <w:tcPr>
            <w:tcW w:type="dxa" w:w="4706"/>
            <w:shd w:val="clear" w:color="auto" w:fill="E2EFDA"/>
            <w:vAlign w:val="center"/>
            <w:tcBorders>
              <w:top w:val="single" w:sz="8" w:space="0" w:color="375A30"/>
              <w:bottom w:val="single" w:sz="8" w:space="0" w:color="375A30"/>
              <w:start w:val="single" w:sz="8" w:space="0" w:color="375A30"/>
              <w:end w:val="single" w:sz="8" w:space="0" w:color="375A30"/>
              <w:left w:val="single" w:sz="8" w:space="0" w:color="375A30"/>
              <w:right w:val="single" w:sz="8" w:space="0" w:color="375A30"/>
            </w:tcBorders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17"/>
            <w:gridSpan w:val="7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r>
              <w:rPr>
                <w:b/>
                <w:color w:val="FFFFFF"/>
                <w:sz w:val="19"/>
              </w:rPr>
              <w:t>III.  IMPRESSION DES OUTILS DE COLLECTE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Impression outils (questionnaires + guide d'entretien)</w:t>
            </w:r>
          </w:p>
        </w:tc>
        <w:tc>
          <w:tcPr>
            <w:tcW w:type="dxa" w:w="102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Forfait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15 000</w:t>
            </w:r>
          </w:p>
        </w:tc>
        <w:tc>
          <w:tcPr>
            <w:tcW w:type="dxa" w:w="1361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15 000</w:t>
            </w:r>
          </w:p>
        </w:tc>
        <w:tc>
          <w:tcPr>
            <w:tcW w:type="dxa" w:w="4706"/>
            <w:shd w:val="clear" w:color="auto" w:fill="FFFFFF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2 questionnaires (allocataires/entreprises) + 1 guide d'entretien semi-structuré</w:t>
            </w:r>
          </w:p>
        </w:tc>
      </w:tr>
      <w:tr>
        <w:tc>
          <w:tcPr>
            <w:tcW w:type="dxa" w:w="9411"/>
            <w:gridSpan w:val="6"/>
            <w:vAlign w:val="center"/>
            <w:tcBorders>
              <w:top w:val="single" w:sz="8" w:space="0" w:color="375A30"/>
              <w:bottom w:val="single" w:sz="8" w:space="0" w:color="375A30"/>
              <w:start w:val="single" w:sz="8" w:space="0" w:color="375A30"/>
              <w:end w:val="single" w:sz="8" w:space="0" w:color="375A30"/>
              <w:left w:val="single" w:sz="8" w:space="0" w:color="375A30"/>
              <w:right w:val="single" w:sz="8" w:space="0" w:color="375A30"/>
            </w:tcBorders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A30"/>
                <w:sz w:val="20"/>
              </w:rPr>
              <w:t>15 000</w:t>
            </w:r>
          </w:p>
        </w:tc>
        <w:tc>
          <w:tcPr>
            <w:tcW w:type="dxa" w:w="4706"/>
            <w:shd w:val="clear" w:color="auto" w:fill="E2EFDA"/>
            <w:vAlign w:val="center"/>
            <w:tcBorders>
              <w:top w:val="single" w:sz="8" w:space="0" w:color="375A30"/>
              <w:bottom w:val="single" w:sz="8" w:space="0" w:color="375A30"/>
              <w:start w:val="single" w:sz="8" w:space="0" w:color="375A30"/>
              <w:end w:val="single" w:sz="8" w:space="0" w:color="375A30"/>
              <w:left w:val="single" w:sz="8" w:space="0" w:color="375A30"/>
              <w:right w:val="single" w:sz="8" w:space="0" w:color="375A30"/>
            </w:tcBorders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17"/>
            <w:gridSpan w:val="7"/>
            <w:shd w:val="clear" w:color="auto" w:fill="1F3964"/>
            <w:vAlign w:val="center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r>
              <w:rPr>
                <w:b/>
                <w:color w:val="FFFFFF"/>
                <w:sz w:val="19"/>
              </w:rPr>
              <w:t>IV.  IMPRÉVUS ET CONTINGENCES  (≈7.3 %)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Réserve pour imprévus</w:t>
            </w:r>
          </w:p>
        </w:tc>
        <w:tc>
          <w:tcPr>
            <w:tcW w:type="dxa" w:w="102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Forfait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146 000</w:t>
            </w:r>
          </w:p>
        </w:tc>
        <w:tc>
          <w:tcPr>
            <w:tcW w:type="dxa" w:w="1361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146 000</w:t>
            </w:r>
          </w:p>
        </w:tc>
        <w:tc>
          <w:tcPr>
            <w:tcW w:type="dxa" w:w="4706"/>
            <w:shd w:val="clear" w:color="auto" w:fill="F2F2F2"/>
            <w:vAlign w:val="center"/>
            <w:tcBorders>
              <w:top w:val="single" w:sz="6" w:space="0" w:color="1F3964"/>
              <w:bottom w:val="single" w:sz="6" w:space="0" w:color="1F3964"/>
              <w:start w:val="single" w:sz="6" w:space="0" w:color="1F3964"/>
              <w:end w:val="single" w:sz="6" w:space="0" w:color="1F3964"/>
              <w:left w:val="single" w:sz="6" w:space="0" w:color="1F3964"/>
              <w:right w:val="single" w:sz="6" w:space="0" w:color="1F3964"/>
            </w:tcBorders>
          </w:tcPr>
          <w:p>
            <w:r>
              <w:rPr>
                <w:b w:val="0"/>
                <w:sz w:val="18"/>
              </w:rPr>
              <w:t>Frais de transport exceptionnel (Parakou), appels additionnels, dépenses imprévues de collecte</w:t>
            </w:r>
          </w:p>
        </w:tc>
      </w:tr>
      <w:tr>
        <w:tc>
          <w:tcPr>
            <w:tcW w:type="dxa" w:w="9411"/>
            <w:gridSpan w:val="6"/>
            <w:vAlign w:val="center"/>
            <w:tcBorders>
              <w:top w:val="single" w:sz="8" w:space="0" w:color="375A30"/>
              <w:bottom w:val="single" w:sz="8" w:space="0" w:color="375A30"/>
              <w:start w:val="single" w:sz="8" w:space="0" w:color="375A30"/>
              <w:end w:val="single" w:sz="8" w:space="0" w:color="375A30"/>
              <w:left w:val="single" w:sz="8" w:space="0" w:color="375A30"/>
              <w:right w:val="single" w:sz="8" w:space="0" w:color="375A30"/>
            </w:tcBorders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A30"/>
                <w:sz w:val="20"/>
              </w:rPr>
              <w:t>146 000</w:t>
            </w:r>
          </w:p>
        </w:tc>
        <w:tc>
          <w:tcPr>
            <w:tcW w:type="dxa" w:w="4706"/>
            <w:shd w:val="clear" w:color="auto" w:fill="E2EFDA"/>
            <w:vAlign w:val="center"/>
            <w:tcBorders>
              <w:top w:val="single" w:sz="8" w:space="0" w:color="375A30"/>
              <w:bottom w:val="single" w:sz="8" w:space="0" w:color="375A30"/>
              <w:start w:val="single" w:sz="8" w:space="0" w:color="375A30"/>
              <w:end w:val="single" w:sz="8" w:space="0" w:color="375A30"/>
              <w:left w:val="single" w:sz="8" w:space="0" w:color="375A30"/>
              <w:right w:val="single" w:sz="8" w:space="0" w:color="375A30"/>
            </w:tcBorders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  <w:shd w:val="clear" w:color="auto" w:fill="FFC000"/>
            <w:vAlign w:val="center"/>
            <w:tcBorders>
              <w:top w:val="single" w:sz="16" w:space="0" w:color="375A30"/>
              <w:bottom w:val="single" w:sz="16" w:space="0" w:color="375A30"/>
              <w:start w:val="single" w:sz="16" w:space="0" w:color="375A30"/>
              <w:end w:val="single" w:sz="16" w:space="0" w:color="375A30"/>
              <w:left w:val="single" w:sz="16" w:space="0" w:color="375A30"/>
              <w:right w:val="single" w:sz="16" w:space="0" w:color="375A30"/>
            </w:tcBorders>
          </w:tcPr>
          <w:p>
            <w:r>
              <w:rPr>
                <w:b/>
                <w:color w:val="375A30"/>
                <w:sz w:val="22"/>
              </w:rPr>
              <w:t>TOTAL GÉNÉRAL  —  2 000 000 FCFA</w:t>
            </w:r>
          </w:p>
        </w:tc>
        <w:tc>
          <w:tcPr>
            <w:tcW w:type="dxa" w:w="1020"/>
            <w:shd w:val="clear" w:color="auto" w:fill="FFC000"/>
            <w:vAlign w:val="center"/>
            <w:tcBorders>
              <w:top w:val="single" w:sz="16" w:space="0" w:color="375A30"/>
              <w:bottom w:val="single" w:sz="16" w:space="0" w:color="375A30"/>
              <w:start w:val="single" w:sz="16" w:space="0" w:color="375A30"/>
              <w:end w:val="single" w:sz="16" w:space="0" w:color="375A30"/>
              <w:left w:val="single" w:sz="16" w:space="0" w:color="375A30"/>
              <w:right w:val="single" w:sz="16" w:space="0" w:color="375A30"/>
            </w:tcBorders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FC000"/>
            <w:vAlign w:val="center"/>
            <w:tcBorders>
              <w:top w:val="single" w:sz="16" w:space="0" w:color="375A30"/>
              <w:bottom w:val="single" w:sz="16" w:space="0" w:color="375A30"/>
              <w:start w:val="single" w:sz="16" w:space="0" w:color="375A30"/>
              <w:end w:val="single" w:sz="16" w:space="0" w:color="375A30"/>
              <w:left w:val="single" w:sz="16" w:space="0" w:color="375A30"/>
              <w:right w:val="single" w:sz="16" w:space="0" w:color="375A30"/>
            </w:tcBorders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FC000"/>
            <w:vAlign w:val="center"/>
            <w:tcBorders>
              <w:top w:val="single" w:sz="16" w:space="0" w:color="375A30"/>
              <w:bottom w:val="single" w:sz="16" w:space="0" w:color="375A30"/>
              <w:start w:val="single" w:sz="16" w:space="0" w:color="375A30"/>
              <w:end w:val="single" w:sz="16" w:space="0" w:color="375A30"/>
              <w:left w:val="single" w:sz="16" w:space="0" w:color="375A30"/>
              <w:right w:val="single" w:sz="16" w:space="0" w:color="375A30"/>
            </w:tcBorders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FC000"/>
            <w:vAlign w:val="center"/>
            <w:tcBorders>
              <w:top w:val="single" w:sz="16" w:space="0" w:color="375A30"/>
              <w:bottom w:val="single" w:sz="16" w:space="0" w:color="375A30"/>
              <w:start w:val="single" w:sz="16" w:space="0" w:color="375A30"/>
              <w:end w:val="single" w:sz="16" w:space="0" w:color="375A30"/>
              <w:left w:val="single" w:sz="16" w:space="0" w:color="375A30"/>
              <w:right w:val="single" w:sz="16" w:space="0" w:color="375A30"/>
            </w:tcBorders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FC000"/>
            <w:vAlign w:val="center"/>
            <w:tcBorders>
              <w:top w:val="single" w:sz="16" w:space="0" w:color="375A30"/>
              <w:bottom w:val="single" w:sz="16" w:space="0" w:color="375A30"/>
              <w:start w:val="single" w:sz="16" w:space="0" w:color="375A30"/>
              <w:end w:val="single" w:sz="16" w:space="0" w:color="375A30"/>
              <w:left w:val="single" w:sz="16" w:space="0" w:color="375A30"/>
              <w:right w:val="single" w:sz="16" w:space="0" w:color="375A30"/>
            </w:tcBorders>
          </w:tcPr>
          <w:p>
            <w:pPr>
              <w:jc w:val="center"/>
            </w:pPr>
            <w:r>
              <w:rPr>
                <w:b/>
                <w:color w:val="375A30"/>
                <w:sz w:val="24"/>
              </w:rPr>
              <w:t>2 000 000</w:t>
            </w:r>
          </w:p>
        </w:tc>
        <w:tc>
          <w:tcPr>
            <w:tcW w:type="dxa" w:w="4706"/>
            <w:shd w:val="clear" w:color="auto" w:fill="FFC000"/>
            <w:vAlign w:val="center"/>
            <w:tcBorders>
              <w:top w:val="single" w:sz="16" w:space="0" w:color="375A30"/>
              <w:bottom w:val="single" w:sz="16" w:space="0" w:color="375A30"/>
              <w:start w:val="single" w:sz="16" w:space="0" w:color="375A30"/>
              <w:end w:val="single" w:sz="16" w:space="0" w:color="375A30"/>
              <w:left w:val="single" w:sz="16" w:space="0" w:color="375A30"/>
              <w:right w:val="single" w:sz="16" w:space="0" w:color="375A30"/>
            </w:tcBorders>
          </w:tcPr>
          <w:p>
            <w:r>
              <w:rPr>
                <w:b/>
                <w:color w:val="375A30"/>
                <w:sz w:val="19"/>
              </w:rPr>
              <w:t>Budget disponible : 2 000 000 FCFA  |  Solde : 0 FCFA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i/>
          <w:color w:val="595959"/>
          <w:sz w:val="17"/>
        </w:rPr>
        <w:t>①  Le transport local des agents terrain est inclus dans les honoraires journaliers. En cas de déplacement inter-départemental exceptionnel (ex. Parakou/Borgou), les frais seront imputés sur la ligne Contingences.</w:t>
      </w:r>
    </w:p>
    <w:p>
      <w:pPr>
        <w:spacing w:after="40"/>
      </w:pPr>
      <w:r>
        <w:rPr>
          <w:i/>
          <w:color w:val="595959"/>
          <w:sz w:val="17"/>
        </w:rPr>
        <w:t>②  Les honoraires des agents téléphoniques couvrent 8 jours de collecte effective (jours 3-10). Le taux de 25 appels/agent/jour est calibré pour un questionnaire court, conformément à la méthodologie validée.</w:t>
      </w:r>
    </w:p>
    <w:p>
      <w:pPr>
        <w:spacing w:after="40"/>
      </w:pPr>
      <w:r>
        <w:rPr>
          <w:i/>
          <w:color w:val="595959"/>
          <w:sz w:val="17"/>
        </w:rPr>
        <w:t>③  Les agents entretiens &amp; focus group travaillent 7 jours (jours 3-9). Ils conduisent 2 entretiens individuels (DG ANPE + Coordonnateur ; CNSS + Trésor public) et 1 focus group (équipe administrative PSIE).</w:t>
      </w:r>
    </w:p>
    <w:p>
      <w:pPr>
        <w:spacing w:after="40"/>
      </w:pPr>
      <w:r>
        <w:rPr>
          <w:i/>
          <w:color w:val="595959"/>
          <w:sz w:val="17"/>
        </w:rPr>
        <w:t>④  Les 6 enquêteurs terrain sont recrutés localement dans chaque département cible pour minimiser les frais de déplacement (Atlantique, Borgou, Littoral, Ouémé = 81,57 % des demandeurs d'emploi ANPE).</w:t>
      </w:r>
    </w:p>
    <w:p>
      <w:pPr>
        <w:spacing w:after="40"/>
      </w:pPr>
      <w:r>
        <w:rPr>
          <w:i/>
          <w:color w:val="595959"/>
          <w:sz w:val="17"/>
        </w:rPr>
        <w:t>⑤  Le budget est présenté hors taxes et hors honoraires du cabinet de consultants (déjà couverts par le contrat de mission).</w:t>
      </w:r>
    </w:p>
    <w:sectPr w:rsidR="00FC693F" w:rsidRPr="0006063C" w:rsidSect="00034616">
      <w:pgSz w:w="16838" w:h="11906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