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1D30" w:rsidRPr="00941D30" w:rsidRDefault="00941D30" w:rsidP="00941D30">
      <w:pPr>
        <w:spacing w:line="360" w:lineRule="auto"/>
        <w:jc w:val="center"/>
        <w:rPr>
          <w:rFonts w:ascii="Times New Roman" w:hAnsi="Times New Roman" w:cs="Times New Roman"/>
          <w:b/>
          <w:bCs/>
          <w:sz w:val="24"/>
          <w:szCs w:val="24"/>
        </w:rPr>
      </w:pPr>
    </w:p>
    <w:p w:rsidR="00941D30" w:rsidRPr="00941D30" w:rsidRDefault="00941D30" w:rsidP="00941D30">
      <w:pPr>
        <w:spacing w:line="360" w:lineRule="auto"/>
        <w:jc w:val="center"/>
        <w:rPr>
          <w:rFonts w:ascii="Times New Roman" w:hAnsi="Times New Roman" w:cs="Times New Roman"/>
          <w:b/>
          <w:bCs/>
          <w:sz w:val="24"/>
          <w:szCs w:val="24"/>
        </w:rPr>
      </w:pPr>
    </w:p>
    <w:p w:rsidR="00941D30" w:rsidRPr="00941D30" w:rsidRDefault="00941D30" w:rsidP="00941D30">
      <w:pPr>
        <w:spacing w:line="360" w:lineRule="auto"/>
        <w:jc w:val="center"/>
        <w:rPr>
          <w:rFonts w:ascii="Times New Roman" w:hAnsi="Times New Roman" w:cs="Times New Roman"/>
          <w:b/>
          <w:bCs/>
          <w:sz w:val="24"/>
          <w:szCs w:val="24"/>
        </w:rPr>
      </w:pPr>
    </w:p>
    <w:p w:rsidR="00941D30" w:rsidRPr="00941D30" w:rsidRDefault="00941D30" w:rsidP="00941D30">
      <w:pPr>
        <w:spacing w:line="360" w:lineRule="auto"/>
        <w:jc w:val="center"/>
        <w:rPr>
          <w:rFonts w:ascii="Times New Roman" w:hAnsi="Times New Roman" w:cs="Times New Roman"/>
          <w:sz w:val="48"/>
          <w:szCs w:val="48"/>
        </w:rPr>
      </w:pPr>
      <w:r w:rsidRPr="00941D30">
        <w:rPr>
          <w:rFonts w:ascii="Times New Roman" w:hAnsi="Times New Roman" w:cs="Times New Roman"/>
          <w:b/>
          <w:bCs/>
          <w:sz w:val="48"/>
          <w:szCs w:val="48"/>
        </w:rPr>
        <w:t>HR Employee Attrition</w:t>
      </w:r>
    </w:p>
    <w:p w:rsidR="00941D30" w:rsidRPr="00941D30" w:rsidRDefault="00941D30" w:rsidP="00941D30">
      <w:pPr>
        <w:spacing w:before="100" w:after="400" w:line="360" w:lineRule="auto"/>
        <w:jc w:val="center"/>
        <w:rPr>
          <w:rFonts w:ascii="Times New Roman" w:hAnsi="Times New Roman" w:cs="Times New Roman"/>
          <w:b/>
          <w:sz w:val="24"/>
          <w:szCs w:val="24"/>
        </w:rPr>
      </w:pPr>
      <w:r w:rsidRPr="00941D30">
        <w:rPr>
          <w:rFonts w:ascii="Times New Roman" w:hAnsi="Times New Roman" w:cs="Times New Roman"/>
          <w:b/>
          <w:sz w:val="24"/>
          <w:szCs w:val="24"/>
        </w:rPr>
        <w:t>A Statistical Research Report</w:t>
      </w:r>
    </w:p>
    <w:p w:rsidR="00941D30" w:rsidRPr="00941D30" w:rsidRDefault="00941D30" w:rsidP="00941D30">
      <w:pPr>
        <w:spacing w:before="1200" w:line="360" w:lineRule="auto"/>
        <w:jc w:val="center"/>
        <w:rPr>
          <w:rFonts w:ascii="Times New Roman" w:hAnsi="Times New Roman" w:cs="Times New Roman"/>
          <w:b/>
          <w:sz w:val="24"/>
          <w:szCs w:val="24"/>
        </w:rPr>
      </w:pPr>
      <w:r w:rsidRPr="00941D30">
        <w:rPr>
          <w:rFonts w:ascii="Times New Roman" w:hAnsi="Times New Roman" w:cs="Times New Roman"/>
          <w:b/>
          <w:sz w:val="24"/>
          <w:szCs w:val="24"/>
        </w:rPr>
        <w:t>Prepared by Olayiwola Ahmed Bolaji</w:t>
      </w:r>
    </w:p>
    <w:p w:rsidR="00941D30" w:rsidRPr="00941D30" w:rsidRDefault="00941D30" w:rsidP="00941D30">
      <w:pPr>
        <w:spacing w:after="1600" w:line="360" w:lineRule="auto"/>
        <w:jc w:val="center"/>
        <w:rPr>
          <w:rFonts w:ascii="Times New Roman" w:hAnsi="Times New Roman" w:cs="Times New Roman"/>
          <w:b/>
          <w:sz w:val="24"/>
          <w:szCs w:val="24"/>
        </w:rPr>
      </w:pPr>
      <w:r w:rsidRPr="00941D30">
        <w:rPr>
          <w:rFonts w:ascii="Times New Roman" w:hAnsi="Times New Roman" w:cs="Times New Roman"/>
          <w:b/>
          <w:sz w:val="24"/>
          <w:szCs w:val="24"/>
        </w:rPr>
        <w:t>olayiwolaahmed17@gmail.com  |  Lagos, Nigeria</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br w:type="page"/>
      </w:r>
    </w:p>
    <w:p w:rsidR="00941D30" w:rsidRPr="00941D30" w:rsidRDefault="00941D30" w:rsidP="00941D30">
      <w:pPr>
        <w:pStyle w:val="Heading1"/>
        <w:spacing w:before="400" w:after="200" w:line="360" w:lineRule="auto"/>
        <w:rPr>
          <w:rFonts w:ascii="Times New Roman" w:hAnsi="Times New Roman" w:cs="Times New Roman"/>
          <w:color w:val="auto"/>
          <w:sz w:val="28"/>
          <w:szCs w:val="28"/>
        </w:rPr>
      </w:pPr>
      <w:r w:rsidRPr="00941D30">
        <w:rPr>
          <w:rFonts w:ascii="Times New Roman" w:hAnsi="Times New Roman" w:cs="Times New Roman"/>
          <w:b/>
          <w:bCs/>
          <w:color w:val="auto"/>
          <w:sz w:val="28"/>
          <w:szCs w:val="28"/>
        </w:rPr>
        <w:lastRenderedPageBreak/>
        <w:t>1. Introduction</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Employee attrition, the rate at which staff leave an organisation, is one of the most expensive and preventable problems in workforce management. This report analyses the IBM HR Analytics Employee Attrition dataset (1,470 employees) to identify which factors are statistically associated with attrition, estimate the financial cost of that attrition, and test whether attrition can be predicted ahead of time.</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The analysis is structured around five research questions (RQ1-RQ5), moving from description, to explanation, to business cost, to prediction. Each stage builds on the one before it, and each statistical choice was validated against its underlying assumptions before being trusted.</w:t>
      </w:r>
    </w:p>
    <w:p w:rsidR="00941D30" w:rsidRPr="00941D30" w:rsidRDefault="00941D30" w:rsidP="00941D30">
      <w:pPr>
        <w:pStyle w:val="Heading2"/>
        <w:spacing w:before="300" w:after="15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1.1 Objectives</w:t>
      </w:r>
    </w:p>
    <w:p w:rsidR="00941D30" w:rsidRPr="00941D30" w:rsidRDefault="00941D30" w:rsidP="00941D30">
      <w:pPr>
        <w:pStyle w:val="ListParagraph"/>
        <w:numPr>
          <w:ilvl w:val="0"/>
          <w:numId w:val="1"/>
        </w:numPr>
        <w:spacing w:after="100" w:line="360" w:lineRule="auto"/>
        <w:rPr>
          <w:rFonts w:ascii="Times New Roman" w:hAnsi="Times New Roman" w:cs="Times New Roman"/>
          <w:sz w:val="24"/>
          <w:szCs w:val="24"/>
        </w:rPr>
      </w:pPr>
      <w:r w:rsidRPr="00941D30">
        <w:rPr>
          <w:rFonts w:ascii="Times New Roman" w:hAnsi="Times New Roman" w:cs="Times New Roman"/>
          <w:sz w:val="24"/>
          <w:szCs w:val="24"/>
        </w:rPr>
        <w:t>Identify which employee characteristics are statistically associated with attrition (RQ1-RQ3).</w:t>
      </w:r>
    </w:p>
    <w:p w:rsidR="00941D30" w:rsidRPr="00941D30" w:rsidRDefault="00941D30" w:rsidP="00941D30">
      <w:pPr>
        <w:pStyle w:val="ListParagraph"/>
        <w:numPr>
          <w:ilvl w:val="0"/>
          <w:numId w:val="1"/>
        </w:numPr>
        <w:spacing w:after="100" w:line="360" w:lineRule="auto"/>
        <w:rPr>
          <w:rFonts w:ascii="Times New Roman" w:hAnsi="Times New Roman" w:cs="Times New Roman"/>
          <w:sz w:val="24"/>
          <w:szCs w:val="24"/>
        </w:rPr>
      </w:pPr>
      <w:r w:rsidRPr="00941D30">
        <w:rPr>
          <w:rFonts w:ascii="Times New Roman" w:hAnsi="Times New Roman" w:cs="Times New Roman"/>
          <w:sz w:val="24"/>
          <w:szCs w:val="24"/>
        </w:rPr>
        <w:t>Quantify what attrition is estimated to cost the business, by department (RQ4).</w:t>
      </w:r>
    </w:p>
    <w:p w:rsidR="00941D30" w:rsidRPr="00941D30" w:rsidRDefault="00941D30" w:rsidP="00941D30">
      <w:pPr>
        <w:pStyle w:val="ListParagraph"/>
        <w:numPr>
          <w:ilvl w:val="0"/>
          <w:numId w:val="1"/>
        </w:numPr>
        <w:spacing w:after="100" w:line="360" w:lineRule="auto"/>
        <w:rPr>
          <w:rFonts w:ascii="Times New Roman" w:hAnsi="Times New Roman" w:cs="Times New Roman"/>
          <w:sz w:val="24"/>
          <w:szCs w:val="24"/>
        </w:rPr>
      </w:pPr>
      <w:r w:rsidRPr="00941D30">
        <w:rPr>
          <w:rFonts w:ascii="Times New Roman" w:hAnsi="Times New Roman" w:cs="Times New Roman"/>
          <w:sz w:val="24"/>
          <w:szCs w:val="24"/>
        </w:rPr>
        <w:t>Build and validate a model that predicts which current employees are at risk of leaving (RQ5).</w:t>
      </w:r>
    </w:p>
    <w:p w:rsidR="00941D30" w:rsidRPr="00941D30" w:rsidRDefault="00941D30" w:rsidP="00941D30">
      <w:pPr>
        <w:pStyle w:val="Heading1"/>
        <w:spacing w:before="400" w:after="200" w:line="360" w:lineRule="auto"/>
        <w:rPr>
          <w:rFonts w:ascii="Times New Roman" w:hAnsi="Times New Roman" w:cs="Times New Roman"/>
          <w:color w:val="auto"/>
          <w:sz w:val="28"/>
          <w:szCs w:val="28"/>
        </w:rPr>
      </w:pPr>
      <w:r w:rsidRPr="00941D30">
        <w:rPr>
          <w:rFonts w:ascii="Times New Roman" w:hAnsi="Times New Roman" w:cs="Times New Roman"/>
          <w:b/>
          <w:bCs/>
          <w:color w:val="auto"/>
          <w:sz w:val="28"/>
          <w:szCs w:val="28"/>
        </w:rPr>
        <w:t>2. Data Overview and Preparation</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The dataset contains 1,470 employee records with no missing values and no duplicate rows. Four columns were dropped prior to analysis: three zero-variance fields (Employee</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Count, Standard</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Hours, Over18), which carried no information, and Employee</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Number, an identifier with no analytical value.</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The target variable, Attrition, is imbalanced: 237 employees (16.1%) left, against 1,233 (83.9%) who stayed. This imbalance was accounted for explicitly in the predictive modelling stage (RQ5).</w:t>
      </w:r>
    </w:p>
    <w:p w:rsidR="00941D30" w:rsidRPr="00941D30" w:rsidRDefault="00941D30" w:rsidP="00941D30">
      <w:pPr>
        <w:pStyle w:val="Heading1"/>
        <w:spacing w:before="400" w:after="200" w:line="360" w:lineRule="auto"/>
        <w:rPr>
          <w:rFonts w:ascii="Times New Roman" w:hAnsi="Times New Roman" w:cs="Times New Roman"/>
          <w:b/>
          <w:bCs/>
          <w:color w:val="auto"/>
          <w:sz w:val="24"/>
          <w:szCs w:val="24"/>
        </w:rPr>
      </w:pPr>
    </w:p>
    <w:p w:rsidR="00941D30" w:rsidRPr="00941D30" w:rsidRDefault="00941D30" w:rsidP="00941D30">
      <w:pPr>
        <w:pStyle w:val="Heading1"/>
        <w:spacing w:before="400" w:after="200" w:line="360" w:lineRule="auto"/>
        <w:rPr>
          <w:rFonts w:ascii="Times New Roman" w:hAnsi="Times New Roman" w:cs="Times New Roman"/>
          <w:b/>
          <w:bCs/>
          <w:color w:val="auto"/>
          <w:sz w:val="24"/>
          <w:szCs w:val="24"/>
        </w:rPr>
      </w:pPr>
    </w:p>
    <w:p w:rsidR="00941D30" w:rsidRPr="00941D30" w:rsidRDefault="00941D30" w:rsidP="00941D30">
      <w:pPr>
        <w:pStyle w:val="Heading1"/>
        <w:spacing w:before="400" w:after="200" w:line="360" w:lineRule="auto"/>
        <w:rPr>
          <w:rFonts w:ascii="Times New Roman" w:hAnsi="Times New Roman" w:cs="Times New Roman"/>
          <w:color w:val="auto"/>
          <w:sz w:val="28"/>
          <w:szCs w:val="28"/>
        </w:rPr>
      </w:pPr>
      <w:r w:rsidRPr="00941D30">
        <w:rPr>
          <w:rFonts w:ascii="Times New Roman" w:hAnsi="Times New Roman" w:cs="Times New Roman"/>
          <w:b/>
          <w:bCs/>
          <w:color w:val="auto"/>
          <w:sz w:val="28"/>
          <w:szCs w:val="28"/>
        </w:rPr>
        <w:lastRenderedPageBreak/>
        <w:t>3. Methodology</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Before running any inferential test, each variable was checked against the assumptions of the test intended for it. This step determines which test is valid, rather than assuming a default.</w:t>
      </w:r>
    </w:p>
    <w:p w:rsidR="00941D30" w:rsidRPr="00941D30" w:rsidRDefault="00941D30" w:rsidP="00941D30">
      <w:pPr>
        <w:pStyle w:val="Heading2"/>
        <w:spacing w:before="300" w:after="15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3.1 Normality and variance (Shapiro-Wilk, Levene's test)</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Monthly</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Income, Age, Total</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Working</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Years and Years</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At</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Company were all found to be non-normally distributed (Shapiro-Wilk, p &lt; 0.001 for all). As a result, the Mann-Whitney U test was used for group comparisons involving these variables, rather than the independent-samples t-test.</w:t>
      </w:r>
    </w:p>
    <w:p w:rsidR="00941D30" w:rsidRPr="00941D30" w:rsidRDefault="00941D30" w:rsidP="00941D30">
      <w:pPr>
        <w:pStyle w:val="Heading2"/>
        <w:spacing w:before="300" w:after="15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3.2 Multicollinearity (VIF)</w:t>
      </w:r>
    </w:p>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A variance inflation factor (VIF) check on the regression predictors found Job</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Level and Monthly</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Income to be highly collinear (VIF &gt; 10 for both), as expected since job level largely determines pay. Job</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Level</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was dropped from the regression model in favour of Monthly</w:t>
      </w:r>
      <w:r w:rsidRPr="00941D30">
        <w:rPr>
          <w:rFonts w:ascii="Times New Roman" w:hAnsi="Times New Roman" w:cs="Times New Roman"/>
          <w:sz w:val="24"/>
          <w:szCs w:val="24"/>
        </w:rPr>
        <w:t xml:space="preserve"> Income, which is more specific</w:t>
      </w:r>
      <w:r w:rsidRPr="00941D30">
        <w:rPr>
          <w:rFonts w:ascii="Times New Roman" w:hAnsi="Times New Roman" w:cs="Times New Roman"/>
          <w:sz w:val="24"/>
          <w:szCs w:val="24"/>
        </w:rPr>
        <w:t xml:space="preserve"> and directly actionable. After this adjustment, all predictors had VIF well under 5.</w:t>
      </w:r>
    </w:p>
    <w:p w:rsidR="00941D30" w:rsidRPr="00941D30" w:rsidRDefault="00941D30" w:rsidP="00941D30">
      <w:pPr>
        <w:pStyle w:val="Heading2"/>
        <w:spacing w:before="300" w:after="15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3.3 Linearity of the logit (Box-Tidwell test)</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A formal assumption of logistic regression is that continuous predictors relate linearly to the log-odds of the outcome. A Box-Tidwell test found that Age and Years</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At</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Company violated this assumption (p = 0.019 and p &lt; 0.001 respectively), while Monthly</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Income and Total</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Working</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Years did not. Age and Years</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At</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Company were therefore converted into categorical groups (binned) rather than used as continuous predictors, which both corrected the violation and improved model fit (pseudo R-squared rose from 0.136 to 0.170).</w:t>
      </w:r>
    </w:p>
    <w:p w:rsidR="00941D30" w:rsidRPr="00941D30" w:rsidRDefault="00941D30" w:rsidP="00941D30">
      <w:pPr>
        <w:pStyle w:val="Heading2"/>
        <w:spacing w:before="300" w:after="15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3.4 Chi-square assumption (expected cell counts)</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For all categorical variables tested against Attrition (Over</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Time, Department, Job</w:t>
      </w:r>
      <w:r w:rsidRPr="00941D30">
        <w:rPr>
          <w:rFonts w:ascii="Times New Roman" w:hAnsi="Times New Roman" w:cs="Times New Roman"/>
          <w:sz w:val="24"/>
          <w:szCs w:val="24"/>
        </w:rPr>
        <w:t xml:space="preserve"> </w:t>
      </w:r>
      <w:r w:rsidRPr="00941D30">
        <w:rPr>
          <w:rFonts w:ascii="Times New Roman" w:hAnsi="Times New Roman" w:cs="Times New Roman"/>
          <w:sz w:val="24"/>
          <w:szCs w:val="24"/>
        </w:rPr>
        <w:t xml:space="preserve">Role, </w:t>
      </w:r>
      <w:r w:rsidRPr="00941D30">
        <w:rPr>
          <w:rFonts w:ascii="Times New Roman" w:hAnsi="Times New Roman" w:cs="Times New Roman"/>
          <w:sz w:val="24"/>
          <w:szCs w:val="24"/>
        </w:rPr>
        <w:t>Job Level</w:t>
      </w:r>
      <w:r w:rsidRPr="00941D30">
        <w:rPr>
          <w:rFonts w:ascii="Times New Roman" w:hAnsi="Times New Roman" w:cs="Times New Roman"/>
          <w:sz w:val="24"/>
          <w:szCs w:val="24"/>
        </w:rPr>
        <w:t>, JobSatisfaction, WorkLifeBalance), expected cell counts were confirmed to be at or above the minimum threshold of 5, satisfying the assumption required for a valid chi-square test.</w:t>
      </w:r>
    </w:p>
    <w:p w:rsidR="00941D30" w:rsidRPr="00941D30" w:rsidRDefault="00941D30" w:rsidP="00941D30">
      <w:pPr>
        <w:pStyle w:val="Heading1"/>
        <w:spacing w:before="400" w:after="200" w:line="360" w:lineRule="auto"/>
        <w:rPr>
          <w:rFonts w:ascii="Times New Roman" w:hAnsi="Times New Roman" w:cs="Times New Roman"/>
          <w:b/>
          <w:bCs/>
          <w:color w:val="auto"/>
          <w:sz w:val="24"/>
          <w:szCs w:val="24"/>
        </w:rPr>
      </w:pPr>
    </w:p>
    <w:p w:rsidR="00941D30" w:rsidRPr="00941D30" w:rsidRDefault="00941D30" w:rsidP="00941D30">
      <w:pPr>
        <w:pStyle w:val="Heading1"/>
        <w:spacing w:before="400" w:after="200" w:line="360" w:lineRule="auto"/>
        <w:rPr>
          <w:rFonts w:ascii="Times New Roman" w:hAnsi="Times New Roman" w:cs="Times New Roman"/>
          <w:color w:val="auto"/>
          <w:sz w:val="28"/>
          <w:szCs w:val="28"/>
        </w:rPr>
      </w:pPr>
      <w:r w:rsidRPr="00941D30">
        <w:rPr>
          <w:rFonts w:ascii="Times New Roman" w:hAnsi="Times New Roman" w:cs="Times New Roman"/>
          <w:b/>
          <w:bCs/>
          <w:color w:val="auto"/>
          <w:sz w:val="28"/>
          <w:szCs w:val="28"/>
        </w:rPr>
        <w:lastRenderedPageBreak/>
        <w:t>4. Results</w:t>
      </w:r>
    </w:p>
    <w:p w:rsidR="00941D30" w:rsidRPr="00941D30" w:rsidRDefault="00941D30" w:rsidP="00941D30">
      <w:pPr>
        <w:pStyle w:val="Heading2"/>
        <w:spacing w:before="300" w:after="15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4.1 RQ1 — Does OverTime associate with Attrition?</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A chi-square test found a statistically significant association between OverTime and Attrition (χ² = 87.56, p &lt; 0.001), with a moderate effect size (Cramer's V = 0.24). Employees who work overtime leave at a substantially higher rate than th</w:t>
      </w:r>
      <w:r w:rsidR="00231B36">
        <w:rPr>
          <w:rFonts w:ascii="Times New Roman" w:hAnsi="Times New Roman" w:cs="Times New Roman"/>
          <w:sz w:val="24"/>
          <w:szCs w:val="24"/>
        </w:rPr>
        <w:t>ose who do not.</w:t>
      </w:r>
    </w:p>
    <w:p w:rsidR="00941D30" w:rsidRPr="00941D30" w:rsidRDefault="00941D30" w:rsidP="006E69E8">
      <w:pPr>
        <w:pStyle w:val="Heading2"/>
        <w:spacing w:before="300" w:after="15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4.2 RQ2 — Do income and tenure differ between leavers and stayers?</w:t>
      </w:r>
      <w:r w:rsidR="006E69E8">
        <w:rPr>
          <w:rFonts w:ascii="Times New Roman" w:hAnsi="Times New Roman" w:cs="Times New Roman"/>
          <w:sz w:val="24"/>
          <w:szCs w:val="24"/>
        </w:rPr>
        <w:br/>
      </w:r>
      <w:r w:rsidR="006E69E8" w:rsidRPr="00941D30">
        <w:rPr>
          <w:rFonts w:ascii="Times New Roman" w:hAnsi="Times New Roman" w:cs="Times New Roman"/>
          <w:iCs/>
          <w:color w:val="auto"/>
          <w:sz w:val="24"/>
          <w:szCs w:val="24"/>
        </w:rPr>
        <w:t xml:space="preserve">Table 1. Mann-Whitney U results for RQ2. </w:t>
      </w:r>
    </w:p>
    <w:tbl>
      <w:tblPr>
        <w:tblStyle w:val="TableGrid"/>
        <w:tblW w:w="9400" w:type="dxa"/>
        <w:tblLook w:val="0000" w:firstRow="0" w:lastRow="0" w:firstColumn="0" w:lastColumn="0" w:noHBand="0" w:noVBand="0"/>
      </w:tblPr>
      <w:tblGrid>
        <w:gridCol w:w="2800"/>
        <w:gridCol w:w="1600"/>
        <w:gridCol w:w="1700"/>
        <w:gridCol w:w="1300"/>
        <w:gridCol w:w="2000"/>
      </w:tblGrid>
      <w:tr w:rsidR="00941D30" w:rsidRPr="00941D30" w:rsidTr="006E69E8">
        <w:tc>
          <w:tcPr>
            <w:tcW w:w="2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Variable</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Median (Left)</w:t>
            </w:r>
          </w:p>
        </w:tc>
        <w:tc>
          <w:tcPr>
            <w:tcW w:w="17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Median (Stayed)</w:t>
            </w:r>
          </w:p>
        </w:tc>
        <w:tc>
          <w:tcPr>
            <w:tcW w:w="13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p-value</w:t>
            </w:r>
          </w:p>
        </w:tc>
        <w:tc>
          <w:tcPr>
            <w:tcW w:w="20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Effect size (r)</w:t>
            </w:r>
          </w:p>
        </w:tc>
      </w:tr>
      <w:tr w:rsidR="00941D30" w:rsidRPr="00941D30" w:rsidTr="006E69E8">
        <w:tc>
          <w:tcPr>
            <w:tcW w:w="2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Monthly Income</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3,202</w:t>
            </w:r>
          </w:p>
        </w:tc>
        <w:tc>
          <w:tcPr>
            <w:tcW w:w="17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5,204</w:t>
            </w:r>
          </w:p>
        </w:tc>
        <w:tc>
          <w:tcPr>
            <w:tcW w:w="13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&lt; 0.001</w:t>
            </w:r>
          </w:p>
        </w:tc>
        <w:tc>
          <w:tcPr>
            <w:tcW w:w="20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0.31 (moderate)</w:t>
            </w:r>
          </w:p>
        </w:tc>
      </w:tr>
      <w:tr w:rsidR="00941D30" w:rsidRPr="00941D30" w:rsidTr="006E69E8">
        <w:tc>
          <w:tcPr>
            <w:tcW w:w="2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Total Working Years</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7</w:t>
            </w:r>
          </w:p>
        </w:tc>
        <w:tc>
          <w:tcPr>
            <w:tcW w:w="17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10</w:t>
            </w:r>
          </w:p>
        </w:tc>
        <w:tc>
          <w:tcPr>
            <w:tcW w:w="13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&lt; 0.001</w:t>
            </w:r>
          </w:p>
        </w:tc>
        <w:tc>
          <w:tcPr>
            <w:tcW w:w="20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0.31 (moderate)</w:t>
            </w:r>
          </w:p>
        </w:tc>
      </w:tr>
      <w:tr w:rsidR="00941D30" w:rsidRPr="00941D30" w:rsidTr="006E69E8">
        <w:tc>
          <w:tcPr>
            <w:tcW w:w="2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Years at Company</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3</w:t>
            </w:r>
          </w:p>
        </w:tc>
        <w:tc>
          <w:tcPr>
            <w:tcW w:w="17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6</w:t>
            </w:r>
          </w:p>
        </w:tc>
        <w:tc>
          <w:tcPr>
            <w:tcW w:w="13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&lt; 0.001</w:t>
            </w:r>
          </w:p>
        </w:tc>
        <w:tc>
          <w:tcPr>
            <w:tcW w:w="20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0.30 (moderate)</w:t>
            </w:r>
          </w:p>
        </w:tc>
      </w:tr>
    </w:tbl>
    <w:p w:rsidR="00941D30" w:rsidRPr="00941D30" w:rsidRDefault="006E69E8" w:rsidP="00941D30">
      <w:pPr>
        <w:spacing w:before="60" w:after="240" w:line="360" w:lineRule="auto"/>
        <w:rPr>
          <w:rFonts w:ascii="Times New Roman" w:hAnsi="Times New Roman" w:cs="Times New Roman"/>
          <w:sz w:val="24"/>
          <w:szCs w:val="24"/>
        </w:rPr>
      </w:pPr>
      <w:r w:rsidRPr="00941D30">
        <w:rPr>
          <w:rFonts w:ascii="Times New Roman" w:hAnsi="Times New Roman" w:cs="Times New Roman"/>
          <w:sz w:val="24"/>
          <w:szCs w:val="24"/>
        </w:rPr>
        <w:t>Mann-Whitney U tests found significant differences across all three variables tested:</w:t>
      </w:r>
      <w:r>
        <w:rPr>
          <w:rFonts w:ascii="Times New Roman" w:hAnsi="Times New Roman" w:cs="Times New Roman"/>
          <w:sz w:val="24"/>
          <w:szCs w:val="24"/>
        </w:rPr>
        <w:t xml:space="preserve"> </w:t>
      </w:r>
      <w:r w:rsidRPr="00941D30">
        <w:rPr>
          <w:rFonts w:ascii="Times New Roman" w:hAnsi="Times New Roman" w:cs="Times New Roman"/>
          <w:iCs/>
          <w:sz w:val="24"/>
          <w:szCs w:val="24"/>
        </w:rPr>
        <w:t>Leavers consistently earn less, and have less total and company-specific tenure, than employees who stayed</w:t>
      </w:r>
    </w:p>
    <w:p w:rsidR="00941D30" w:rsidRPr="00941D30" w:rsidRDefault="00941D30" w:rsidP="00941D30">
      <w:pPr>
        <w:pStyle w:val="Heading2"/>
        <w:spacing w:before="300" w:after="15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4.3 RQ3 — Do satisfaction and work-life balance predict attrition, controlling for income and overtime?</w:t>
      </w:r>
    </w:p>
    <w:p w:rsidR="00941D30" w:rsidRPr="00941D30" w:rsidRDefault="00941D30" w:rsidP="004C5CA6">
      <w:pPr>
        <w:spacing w:before="60" w:after="240" w:line="360" w:lineRule="auto"/>
        <w:rPr>
          <w:rFonts w:ascii="Times New Roman" w:hAnsi="Times New Roman" w:cs="Times New Roman"/>
          <w:sz w:val="24"/>
          <w:szCs w:val="24"/>
        </w:rPr>
      </w:pPr>
      <w:r w:rsidRPr="00941D30">
        <w:rPr>
          <w:rFonts w:ascii="Times New Roman" w:hAnsi="Times New Roman" w:cs="Times New Roman"/>
          <w:sz w:val="24"/>
          <w:szCs w:val="24"/>
        </w:rPr>
        <w:t>A logistic regression was fitted with Attrition as the outcome, using the corrected predictor set (Age and YearsAtCompany as binned categorical groups; MonthlyIncome rescaled to units of 1,000). All predictors passed the VIF and linearity checks described in Section 3.</w:t>
      </w:r>
      <w:r w:rsidR="004C5CA6">
        <w:rPr>
          <w:rFonts w:ascii="Times New Roman" w:hAnsi="Times New Roman" w:cs="Times New Roman"/>
          <w:sz w:val="24"/>
          <w:szCs w:val="24"/>
        </w:rPr>
        <w:br/>
      </w:r>
      <w:r w:rsidR="004C5CA6" w:rsidRPr="00941D30">
        <w:rPr>
          <w:rFonts w:ascii="Times New Roman" w:hAnsi="Times New Roman" w:cs="Times New Roman"/>
          <w:iCs/>
          <w:sz w:val="24"/>
          <w:szCs w:val="24"/>
        </w:rPr>
        <w:t>Table 2. Logis</w:t>
      </w:r>
      <w:r w:rsidR="004C5CA6">
        <w:rPr>
          <w:rFonts w:ascii="Times New Roman" w:hAnsi="Times New Roman" w:cs="Times New Roman"/>
          <w:iCs/>
          <w:sz w:val="24"/>
          <w:szCs w:val="24"/>
        </w:rPr>
        <w:t>tic regression results.</w:t>
      </w:r>
    </w:p>
    <w:tbl>
      <w:tblPr>
        <w:tblStyle w:val="TableGrid"/>
        <w:tblW w:w="9400" w:type="dxa"/>
        <w:tblLook w:val="0000" w:firstRow="0" w:lastRow="0" w:firstColumn="0" w:lastColumn="0" w:noHBand="0" w:noVBand="0"/>
      </w:tblPr>
      <w:tblGrid>
        <w:gridCol w:w="3100"/>
        <w:gridCol w:w="1400"/>
        <w:gridCol w:w="1100"/>
        <w:gridCol w:w="3800"/>
      </w:tblGrid>
      <w:tr w:rsidR="00941D30" w:rsidRPr="00941D30" w:rsidTr="004C5CA6">
        <w:tc>
          <w:tcPr>
            <w:tcW w:w="3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Predictor</w:t>
            </w:r>
          </w:p>
        </w:tc>
        <w:tc>
          <w:tcPr>
            <w:tcW w:w="1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Odds Ratio</w:t>
            </w:r>
          </w:p>
        </w:tc>
        <w:tc>
          <w:tcPr>
            <w:tcW w:w="1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p-value</w:t>
            </w:r>
          </w:p>
        </w:tc>
        <w:tc>
          <w:tcPr>
            <w:tcW w:w="3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Interpretation</w:t>
            </w:r>
          </w:p>
        </w:tc>
      </w:tr>
      <w:tr w:rsidR="00941D30" w:rsidRPr="00941D30" w:rsidTr="004C5CA6">
        <w:tc>
          <w:tcPr>
            <w:tcW w:w="3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OverTime (Yes vs No)</w:t>
            </w:r>
          </w:p>
        </w:tc>
        <w:tc>
          <w:tcPr>
            <w:tcW w:w="1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4.56</w:t>
            </w:r>
          </w:p>
        </w:tc>
        <w:tc>
          <w:tcPr>
            <w:tcW w:w="1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&lt; 0.001</w:t>
            </w:r>
          </w:p>
        </w:tc>
        <w:tc>
          <w:tcPr>
            <w:tcW w:w="3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4.6x higher odds of leaving</w:t>
            </w:r>
          </w:p>
        </w:tc>
      </w:tr>
      <w:tr w:rsidR="00941D30" w:rsidRPr="00941D30" w:rsidTr="004C5CA6">
        <w:tc>
          <w:tcPr>
            <w:tcW w:w="3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Job Satisfaction (per level)</w:t>
            </w:r>
          </w:p>
        </w:tc>
        <w:tc>
          <w:tcPr>
            <w:tcW w:w="1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0.71</w:t>
            </w:r>
          </w:p>
        </w:tc>
        <w:tc>
          <w:tcPr>
            <w:tcW w:w="1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&lt; 0.001</w:t>
            </w:r>
          </w:p>
        </w:tc>
        <w:tc>
          <w:tcPr>
            <w:tcW w:w="3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29% lower odds per level up</w:t>
            </w:r>
          </w:p>
        </w:tc>
      </w:tr>
      <w:tr w:rsidR="00941D30" w:rsidRPr="00941D30" w:rsidTr="004C5CA6">
        <w:tc>
          <w:tcPr>
            <w:tcW w:w="3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Work-Life Balance (per level)</w:t>
            </w:r>
          </w:p>
        </w:tc>
        <w:tc>
          <w:tcPr>
            <w:tcW w:w="1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0.77</w:t>
            </w:r>
          </w:p>
        </w:tc>
        <w:tc>
          <w:tcPr>
            <w:tcW w:w="1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0.015</w:t>
            </w:r>
          </w:p>
        </w:tc>
        <w:tc>
          <w:tcPr>
            <w:tcW w:w="3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23% lower odds per level up</w:t>
            </w:r>
          </w:p>
        </w:tc>
      </w:tr>
      <w:tr w:rsidR="00941D30" w:rsidRPr="00941D30" w:rsidTr="004C5CA6">
        <w:tc>
          <w:tcPr>
            <w:tcW w:w="3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lastRenderedPageBreak/>
              <w:t>Monthly Income (per 1,000 units)</w:t>
            </w:r>
          </w:p>
        </w:tc>
        <w:tc>
          <w:tcPr>
            <w:tcW w:w="1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0.93</w:t>
            </w:r>
          </w:p>
        </w:tc>
        <w:tc>
          <w:tcPr>
            <w:tcW w:w="1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0.019</w:t>
            </w:r>
          </w:p>
        </w:tc>
        <w:tc>
          <w:tcPr>
            <w:tcW w:w="3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7% lower odds per 1,000 units</w:t>
            </w:r>
          </w:p>
        </w:tc>
      </w:tr>
      <w:tr w:rsidR="00941D30" w:rsidRPr="00941D30" w:rsidTr="004C5CA6">
        <w:tc>
          <w:tcPr>
            <w:tcW w:w="3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Age 36-45 (vs 18-25)</w:t>
            </w:r>
          </w:p>
        </w:tc>
        <w:tc>
          <w:tcPr>
            <w:tcW w:w="1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0.29</w:t>
            </w:r>
          </w:p>
        </w:tc>
        <w:tc>
          <w:tcPr>
            <w:tcW w:w="1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&lt; 0.001</w:t>
            </w:r>
          </w:p>
        </w:tc>
        <w:tc>
          <w:tcPr>
            <w:tcW w:w="3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71% lower odds than 18-25 group</w:t>
            </w:r>
          </w:p>
        </w:tc>
      </w:tr>
      <w:tr w:rsidR="00941D30" w:rsidRPr="00941D30" w:rsidTr="004C5CA6">
        <w:tc>
          <w:tcPr>
            <w:tcW w:w="3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Years at Company 3-5 (vs 0-2)</w:t>
            </w:r>
          </w:p>
        </w:tc>
        <w:tc>
          <w:tcPr>
            <w:tcW w:w="1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0.37</w:t>
            </w:r>
          </w:p>
        </w:tc>
        <w:tc>
          <w:tcPr>
            <w:tcW w:w="1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&lt; 0.001</w:t>
            </w:r>
          </w:p>
        </w:tc>
        <w:tc>
          <w:tcPr>
            <w:tcW w:w="3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63% lower odds than 0-2 years</w:t>
            </w:r>
          </w:p>
        </w:tc>
      </w:tr>
      <w:tr w:rsidR="00941D30" w:rsidRPr="00941D30" w:rsidTr="004C5CA6">
        <w:tc>
          <w:tcPr>
            <w:tcW w:w="3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Years at Company 6-10 (vs 0-2)</w:t>
            </w:r>
          </w:p>
        </w:tc>
        <w:tc>
          <w:tcPr>
            <w:tcW w:w="1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0.40</w:t>
            </w:r>
          </w:p>
        </w:tc>
        <w:tc>
          <w:tcPr>
            <w:tcW w:w="1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&lt; 0.001</w:t>
            </w:r>
          </w:p>
        </w:tc>
        <w:tc>
          <w:tcPr>
            <w:tcW w:w="3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60% lower odds than 0-2 years</w:t>
            </w:r>
          </w:p>
        </w:tc>
      </w:tr>
      <w:tr w:rsidR="00941D30" w:rsidRPr="00941D30" w:rsidTr="004C5CA6">
        <w:tc>
          <w:tcPr>
            <w:tcW w:w="3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Years at Company 11+ (vs 0-2)</w:t>
            </w:r>
          </w:p>
        </w:tc>
        <w:tc>
          <w:tcPr>
            <w:tcW w:w="1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0.42</w:t>
            </w:r>
          </w:p>
        </w:tc>
        <w:tc>
          <w:tcPr>
            <w:tcW w:w="1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0.010</w:t>
            </w:r>
          </w:p>
        </w:tc>
        <w:tc>
          <w:tcPr>
            <w:tcW w:w="3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58% lower odds than 0-2 years</w:t>
            </w:r>
          </w:p>
        </w:tc>
      </w:tr>
      <w:tr w:rsidR="00941D30" w:rsidRPr="00941D30" w:rsidTr="004C5CA6">
        <w:tc>
          <w:tcPr>
            <w:tcW w:w="3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Total Working Years</w:t>
            </w:r>
          </w:p>
        </w:tc>
        <w:tc>
          <w:tcPr>
            <w:tcW w:w="1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0.99</w:t>
            </w:r>
          </w:p>
        </w:tc>
        <w:tc>
          <w:tcPr>
            <w:tcW w:w="11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0.632</w:t>
            </w:r>
          </w:p>
        </w:tc>
        <w:tc>
          <w:tcPr>
            <w:tcW w:w="38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Not significant</w:t>
            </w:r>
          </w:p>
        </w:tc>
      </w:tr>
    </w:tbl>
    <w:p w:rsidR="00941D30" w:rsidRDefault="004C5CA6" w:rsidP="00941D30">
      <w:pPr>
        <w:spacing w:after="160" w:line="360" w:lineRule="auto"/>
        <w:rPr>
          <w:rFonts w:ascii="Times New Roman" w:hAnsi="Times New Roman" w:cs="Times New Roman"/>
          <w:sz w:val="24"/>
          <w:szCs w:val="24"/>
        </w:rPr>
      </w:pPr>
      <w:r>
        <w:rPr>
          <w:rFonts w:ascii="Times New Roman" w:hAnsi="Times New Roman" w:cs="Times New Roman"/>
          <w:sz w:val="24"/>
          <w:szCs w:val="24"/>
        </w:rPr>
        <w:br/>
      </w:r>
      <w:r w:rsidR="00941D30" w:rsidRPr="00941D30">
        <w:rPr>
          <w:rFonts w:ascii="Times New Roman" w:hAnsi="Times New Roman" w:cs="Times New Roman"/>
          <w:sz w:val="24"/>
          <w:szCs w:val="24"/>
        </w:rPr>
        <w:t xml:space="preserve">Two findings stand out beyond statistical significance. </w:t>
      </w:r>
    </w:p>
    <w:p w:rsidR="00941D30" w:rsidRPr="00941D30" w:rsidRDefault="00941D30" w:rsidP="00941D30">
      <w:pPr>
        <w:pStyle w:val="ListParagraph"/>
        <w:numPr>
          <w:ilvl w:val="0"/>
          <w:numId w:val="2"/>
        </w:num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 xml:space="preserve">First, attrition risk by age is not a smooth decline: only the 36-45 group differs significantly from the 18-25 reference group, indicating younger employees are disproportionately likely to leave rather than risk falling steadily with age. </w:t>
      </w:r>
    </w:p>
    <w:p w:rsidR="00941D30" w:rsidRPr="00941D30" w:rsidRDefault="00941D30" w:rsidP="00941D30">
      <w:pPr>
        <w:pStyle w:val="ListParagraph"/>
        <w:numPr>
          <w:ilvl w:val="0"/>
          <w:numId w:val="2"/>
        </w:num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Second, attrition risk by tenure is concentrated almost entirely in the first two years: risk drops sharply after year two and then remains roughly flat, identifying early tenure as the critical retention window.</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RQ3 is confirmed: job satisfaction and work-life balance both significantly predict attrition even after controlling for income and overtime, with overtime remaining the single strongest driver in the model.</w:t>
      </w:r>
    </w:p>
    <w:p w:rsidR="00941D30" w:rsidRPr="00941D30" w:rsidRDefault="00941D30" w:rsidP="00941D30">
      <w:pPr>
        <w:pStyle w:val="Heading2"/>
        <w:spacing w:before="300" w:after="15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4.4 RQ4 — Which department carries the highest attrition-adjusted cost?</w:t>
      </w:r>
    </w:p>
    <w:p w:rsid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Replacement cost was estimated at 75% of annual salary per leaver, a stand</w:t>
      </w:r>
      <w:r w:rsidR="006E69E8">
        <w:rPr>
          <w:rFonts w:ascii="Times New Roman" w:hAnsi="Times New Roman" w:cs="Times New Roman"/>
          <w:sz w:val="24"/>
          <w:szCs w:val="24"/>
        </w:rPr>
        <w:t>ard HR rule-of-thumb assumption.</w:t>
      </w:r>
    </w:p>
    <w:p w:rsidR="004C5CA6" w:rsidRDefault="004C5CA6" w:rsidP="00941D30">
      <w:pPr>
        <w:spacing w:after="160" w:line="360" w:lineRule="auto"/>
        <w:rPr>
          <w:rFonts w:ascii="Times New Roman" w:hAnsi="Times New Roman" w:cs="Times New Roman"/>
          <w:sz w:val="24"/>
          <w:szCs w:val="24"/>
        </w:rPr>
      </w:pPr>
    </w:p>
    <w:p w:rsidR="004C5CA6" w:rsidRDefault="004C5CA6" w:rsidP="00941D30">
      <w:pPr>
        <w:spacing w:after="160" w:line="360" w:lineRule="auto"/>
        <w:rPr>
          <w:rFonts w:ascii="Times New Roman" w:hAnsi="Times New Roman" w:cs="Times New Roman"/>
          <w:sz w:val="24"/>
          <w:szCs w:val="24"/>
        </w:rPr>
      </w:pPr>
    </w:p>
    <w:p w:rsidR="004C5CA6" w:rsidRDefault="004C5CA6" w:rsidP="00941D30">
      <w:pPr>
        <w:spacing w:after="160" w:line="360" w:lineRule="auto"/>
        <w:rPr>
          <w:rFonts w:ascii="Times New Roman" w:hAnsi="Times New Roman" w:cs="Times New Roman"/>
          <w:sz w:val="24"/>
          <w:szCs w:val="24"/>
        </w:rPr>
      </w:pPr>
    </w:p>
    <w:p w:rsidR="004C5CA6" w:rsidRPr="00941D30" w:rsidRDefault="004C5CA6" w:rsidP="004C5CA6">
      <w:pPr>
        <w:spacing w:before="60" w:after="240" w:line="360" w:lineRule="auto"/>
        <w:rPr>
          <w:rFonts w:ascii="Times New Roman" w:hAnsi="Times New Roman" w:cs="Times New Roman"/>
          <w:sz w:val="24"/>
          <w:szCs w:val="24"/>
        </w:rPr>
      </w:pPr>
      <w:r w:rsidRPr="006E69E8">
        <w:rPr>
          <w:rFonts w:ascii="Times New Roman" w:hAnsi="Times New Roman" w:cs="Times New Roman"/>
          <w:iCs/>
          <w:sz w:val="24"/>
          <w:szCs w:val="24"/>
        </w:rPr>
        <w:lastRenderedPageBreak/>
        <w:t>Table 3. Department-level attrition rate and e</w:t>
      </w:r>
      <w:r>
        <w:rPr>
          <w:rFonts w:ascii="Times New Roman" w:hAnsi="Times New Roman" w:cs="Times New Roman"/>
          <w:iCs/>
          <w:sz w:val="24"/>
          <w:szCs w:val="24"/>
        </w:rPr>
        <w:t>stimated replacement cost.</w:t>
      </w:r>
    </w:p>
    <w:tbl>
      <w:tblPr>
        <w:tblStyle w:val="TableGrid"/>
        <w:tblW w:w="9400" w:type="dxa"/>
        <w:tblLook w:val="0000" w:firstRow="0" w:lastRow="0" w:firstColumn="0" w:lastColumn="0" w:noHBand="0" w:noVBand="0"/>
      </w:tblPr>
      <w:tblGrid>
        <w:gridCol w:w="2393"/>
        <w:gridCol w:w="1323"/>
        <w:gridCol w:w="1199"/>
        <w:gridCol w:w="1597"/>
        <w:gridCol w:w="2888"/>
      </w:tblGrid>
      <w:tr w:rsidR="00941D30" w:rsidRPr="00941D30" w:rsidTr="004C5CA6">
        <w:tc>
          <w:tcPr>
            <w:tcW w:w="2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Department</w:t>
            </w:r>
          </w:p>
        </w:tc>
        <w:tc>
          <w:tcPr>
            <w:tcW w:w="13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Employees</w:t>
            </w:r>
          </w:p>
        </w:tc>
        <w:tc>
          <w:tcPr>
            <w:tcW w:w="12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Leavers</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Attrition Rate</w:t>
            </w:r>
          </w:p>
        </w:tc>
        <w:tc>
          <w:tcPr>
            <w:tcW w:w="29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Total Est. Cost</w:t>
            </w:r>
          </w:p>
        </w:tc>
      </w:tr>
      <w:tr w:rsidR="00941D30" w:rsidRPr="00941D30" w:rsidTr="004C5CA6">
        <w:tc>
          <w:tcPr>
            <w:tcW w:w="2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Sales</w:t>
            </w:r>
          </w:p>
        </w:tc>
        <w:tc>
          <w:tcPr>
            <w:tcW w:w="13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446</w:t>
            </w:r>
          </w:p>
        </w:tc>
        <w:tc>
          <w:tcPr>
            <w:tcW w:w="12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92</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20.6%</w:t>
            </w:r>
          </w:p>
        </w:tc>
        <w:tc>
          <w:tcPr>
            <w:tcW w:w="29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4,892,202</w:t>
            </w:r>
          </w:p>
        </w:tc>
      </w:tr>
      <w:tr w:rsidR="00941D30" w:rsidRPr="00941D30" w:rsidTr="004C5CA6">
        <w:tc>
          <w:tcPr>
            <w:tcW w:w="2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Human Resources</w:t>
            </w:r>
          </w:p>
        </w:tc>
        <w:tc>
          <w:tcPr>
            <w:tcW w:w="13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63</w:t>
            </w:r>
          </w:p>
        </w:tc>
        <w:tc>
          <w:tcPr>
            <w:tcW w:w="12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12</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19.0%</w:t>
            </w:r>
          </w:p>
        </w:tc>
        <w:tc>
          <w:tcPr>
            <w:tcW w:w="29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401,301</w:t>
            </w:r>
          </w:p>
        </w:tc>
      </w:tr>
      <w:tr w:rsidR="00941D30" w:rsidRPr="00941D30" w:rsidTr="004C5CA6">
        <w:tc>
          <w:tcPr>
            <w:tcW w:w="2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Research &amp; Development</w:t>
            </w:r>
          </w:p>
        </w:tc>
        <w:tc>
          <w:tcPr>
            <w:tcW w:w="13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961</w:t>
            </w:r>
          </w:p>
        </w:tc>
        <w:tc>
          <w:tcPr>
            <w:tcW w:w="12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133</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13.8%</w:t>
            </w:r>
          </w:p>
        </w:tc>
        <w:tc>
          <w:tcPr>
            <w:tcW w:w="29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4,917,366</w:t>
            </w:r>
          </w:p>
        </w:tc>
      </w:tr>
    </w:tbl>
    <w:p w:rsidR="00941D30" w:rsidRPr="00941D30" w:rsidRDefault="004C5CA6" w:rsidP="00941D30">
      <w:pPr>
        <w:spacing w:after="160" w:line="360" w:lineRule="auto"/>
        <w:rPr>
          <w:rFonts w:ascii="Times New Roman" w:hAnsi="Times New Roman" w:cs="Times New Roman"/>
          <w:sz w:val="24"/>
          <w:szCs w:val="24"/>
        </w:rPr>
      </w:pPr>
      <w:r>
        <w:rPr>
          <w:rFonts w:ascii="Times New Roman" w:hAnsi="Times New Roman" w:cs="Times New Roman"/>
          <w:sz w:val="24"/>
          <w:szCs w:val="24"/>
        </w:rPr>
        <w:br/>
      </w:r>
      <w:r w:rsidR="00941D30" w:rsidRPr="00941D30">
        <w:rPr>
          <w:rFonts w:ascii="Times New Roman" w:hAnsi="Times New Roman" w:cs="Times New Roman"/>
          <w:sz w:val="24"/>
          <w:szCs w:val="24"/>
        </w:rPr>
        <w:t>Raw totals initially suggested Research &amp; Development was the bigger problem, since it had both the most leavers and the highest total cost. However, R&amp;D is also by far the largest department (961 employees). When measured by rate rather than raw count, Sales has the highest attrition rate of the three departments (20.6%), despite having less than half of R&amp;D's headcount. This reframes the business priority: Sales is losing staff proportionally faster than any other departmen</w:t>
      </w:r>
      <w:r w:rsidR="00231B36">
        <w:rPr>
          <w:rFonts w:ascii="Times New Roman" w:hAnsi="Times New Roman" w:cs="Times New Roman"/>
          <w:sz w:val="24"/>
          <w:szCs w:val="24"/>
        </w:rPr>
        <w:t>t.</w:t>
      </w:r>
      <w:bookmarkStart w:id="0" w:name="_GoBack"/>
      <w:bookmarkEnd w:id="0"/>
    </w:p>
    <w:p w:rsidR="00941D30" w:rsidRPr="00941D30" w:rsidRDefault="00941D30" w:rsidP="00941D30">
      <w:pPr>
        <w:pStyle w:val="Heading2"/>
        <w:spacing w:before="300" w:after="15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4.5 RQ5 — Can attrition be predicted for employees not yet observed?</w:t>
      </w:r>
    </w:p>
    <w:p w:rsidR="00941D30" w:rsidRPr="00941D30" w:rsidRDefault="00941D30" w:rsidP="004C5CA6">
      <w:pPr>
        <w:spacing w:before="60" w:after="240" w:line="360" w:lineRule="auto"/>
        <w:rPr>
          <w:rFonts w:ascii="Times New Roman" w:hAnsi="Times New Roman" w:cs="Times New Roman"/>
          <w:sz w:val="24"/>
          <w:szCs w:val="24"/>
        </w:rPr>
      </w:pPr>
      <w:r w:rsidRPr="00941D30">
        <w:rPr>
          <w:rFonts w:ascii="Times New Roman" w:hAnsi="Times New Roman" w:cs="Times New Roman"/>
          <w:sz w:val="24"/>
          <w:szCs w:val="24"/>
        </w:rPr>
        <w:t>The logistic regression model from RQ3 was retrained on a random 80% training split (1,176 employees) and evaluated on the remaining, unseen 20% test split (294 employees), stratified to preserve the 16% attrition rate in both sets. Because leavers are a minority class, the model was trained with class weighting so that misclassifying a leaver was penalised more heavily than misclassifying a stayer.</w:t>
      </w:r>
      <w:r w:rsidR="004C5CA6">
        <w:rPr>
          <w:rFonts w:ascii="Times New Roman" w:hAnsi="Times New Roman" w:cs="Times New Roman"/>
          <w:sz w:val="24"/>
          <w:szCs w:val="24"/>
        </w:rPr>
        <w:br/>
      </w:r>
      <w:r w:rsidR="004C5CA6" w:rsidRPr="004C5CA6">
        <w:rPr>
          <w:rFonts w:ascii="Times New Roman" w:hAnsi="Times New Roman" w:cs="Times New Roman"/>
          <w:iCs/>
          <w:sz w:val="24"/>
          <w:szCs w:val="24"/>
        </w:rPr>
        <w:t>Table 4. RQ5 model perfo</w:t>
      </w:r>
      <w:r w:rsidR="004C5CA6">
        <w:rPr>
          <w:rFonts w:ascii="Times New Roman" w:hAnsi="Times New Roman" w:cs="Times New Roman"/>
          <w:iCs/>
          <w:sz w:val="24"/>
          <w:szCs w:val="24"/>
        </w:rPr>
        <w:t>rmance.</w:t>
      </w:r>
    </w:p>
    <w:tbl>
      <w:tblPr>
        <w:tblStyle w:val="TableGrid"/>
        <w:tblW w:w="9400" w:type="dxa"/>
        <w:tblLook w:val="0000" w:firstRow="0" w:lastRow="0" w:firstColumn="0" w:lastColumn="0" w:noHBand="0" w:noVBand="0"/>
      </w:tblPr>
      <w:tblGrid>
        <w:gridCol w:w="2400"/>
        <w:gridCol w:w="1600"/>
        <w:gridCol w:w="5400"/>
      </w:tblGrid>
      <w:tr w:rsidR="00941D30" w:rsidRPr="00941D30" w:rsidTr="004C5CA6">
        <w:tc>
          <w:tcPr>
            <w:tcW w:w="2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Metric</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Value</w:t>
            </w:r>
          </w:p>
        </w:tc>
        <w:tc>
          <w:tcPr>
            <w:tcW w:w="5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b/>
                <w:bCs/>
                <w:sz w:val="24"/>
                <w:szCs w:val="24"/>
              </w:rPr>
              <w:t>Meaning</w:t>
            </w:r>
          </w:p>
        </w:tc>
      </w:tr>
      <w:tr w:rsidR="00941D30" w:rsidRPr="00941D30" w:rsidTr="004C5CA6">
        <w:tc>
          <w:tcPr>
            <w:tcW w:w="2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Recall (leavers)</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77%</w:t>
            </w:r>
          </w:p>
        </w:tc>
        <w:tc>
          <w:tcPr>
            <w:tcW w:w="5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Correctly identified 36 of 47 actual leavers in the test set</w:t>
            </w:r>
          </w:p>
        </w:tc>
      </w:tr>
      <w:tr w:rsidR="00941D30" w:rsidRPr="00941D30" w:rsidTr="004C5CA6">
        <w:tc>
          <w:tcPr>
            <w:tcW w:w="2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Precision (leavers)</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33%</w:t>
            </w:r>
          </w:p>
        </w:tc>
        <w:tc>
          <w:tcPr>
            <w:tcW w:w="5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1 in 3 flagged employees actually left</w:t>
            </w:r>
          </w:p>
        </w:tc>
      </w:tr>
      <w:tr w:rsidR="00941D30" w:rsidRPr="00941D30" w:rsidTr="004C5CA6">
        <w:tc>
          <w:tcPr>
            <w:tcW w:w="2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ROC-AUC</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0.77</w:t>
            </w:r>
          </w:p>
        </w:tc>
        <w:tc>
          <w:tcPr>
            <w:tcW w:w="5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Reasonable separation between leavers and stayers (0.5 = random, 1.0 = perfect)</w:t>
            </w:r>
          </w:p>
        </w:tc>
      </w:tr>
      <w:tr w:rsidR="00941D30" w:rsidRPr="00941D30" w:rsidTr="004C5CA6">
        <w:tc>
          <w:tcPr>
            <w:tcW w:w="2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lastRenderedPageBreak/>
              <w:t>Baseline accuracy</w:t>
            </w:r>
          </w:p>
        </w:tc>
        <w:tc>
          <w:tcPr>
            <w:tcW w:w="16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84%</w:t>
            </w:r>
          </w:p>
        </w:tc>
        <w:tc>
          <w:tcPr>
            <w:tcW w:w="5400" w:type="dxa"/>
          </w:tcPr>
          <w:p w:rsidR="00941D30" w:rsidRPr="00941D30" w:rsidRDefault="00941D30" w:rsidP="00941D30">
            <w:pPr>
              <w:spacing w:line="360" w:lineRule="auto"/>
              <w:rPr>
                <w:rFonts w:ascii="Times New Roman" w:hAnsi="Times New Roman" w:cs="Times New Roman"/>
                <w:sz w:val="24"/>
                <w:szCs w:val="24"/>
              </w:rPr>
            </w:pPr>
            <w:r w:rsidRPr="00941D30">
              <w:rPr>
                <w:rFonts w:ascii="Times New Roman" w:hAnsi="Times New Roman" w:cs="Times New Roman"/>
                <w:sz w:val="24"/>
                <w:szCs w:val="24"/>
              </w:rPr>
              <w:t>Accuracy of predicting 'no one leaves' — catches 0% of actual leavers</w:t>
            </w:r>
          </w:p>
        </w:tc>
      </w:tr>
    </w:tbl>
    <w:p w:rsidR="00941D30" w:rsidRPr="00941D30" w:rsidRDefault="004C5CA6" w:rsidP="00941D30">
      <w:pPr>
        <w:spacing w:after="160" w:line="360" w:lineRule="auto"/>
        <w:rPr>
          <w:rFonts w:ascii="Times New Roman" w:hAnsi="Times New Roman" w:cs="Times New Roman"/>
          <w:sz w:val="24"/>
          <w:szCs w:val="24"/>
        </w:rPr>
      </w:pPr>
      <w:r>
        <w:rPr>
          <w:rFonts w:ascii="Times New Roman" w:hAnsi="Times New Roman" w:cs="Times New Roman"/>
          <w:sz w:val="24"/>
          <w:szCs w:val="24"/>
        </w:rPr>
        <w:br/>
      </w:r>
      <w:r w:rsidR="00941D30" w:rsidRPr="00941D30">
        <w:rPr>
          <w:rFonts w:ascii="Times New Roman" w:hAnsi="Times New Roman" w:cs="Times New Roman"/>
          <w:sz w:val="24"/>
          <w:szCs w:val="24"/>
        </w:rPr>
        <w:t xml:space="preserve">The model's raw accuracy </w:t>
      </w:r>
      <w:r w:rsidR="006E69E8">
        <w:rPr>
          <w:rFonts w:ascii="Times New Roman" w:hAnsi="Times New Roman" w:cs="Times New Roman"/>
          <w:sz w:val="24"/>
          <w:szCs w:val="24"/>
        </w:rPr>
        <w:t>(77</w:t>
      </w:r>
      <w:r w:rsidR="00941D30" w:rsidRPr="00941D30">
        <w:rPr>
          <w:rFonts w:ascii="Times New Roman" w:hAnsi="Times New Roman" w:cs="Times New Roman"/>
          <w:sz w:val="24"/>
          <w:szCs w:val="24"/>
        </w:rPr>
        <w:t>%) is lower than the naive baseline of always predicting 'stayed' (84%). This is expected and intentional: the baseline achieves its accuracy by never once correctly identifying a leaver, which makes it useless for the business purpose of early intervention. The model trades some overall accuracy for a substantially higher recall, correctly flagging roughly 3 in 4 employees who are genuinely at risk, at the cost of also flagging some employees who were not actually going to leave. For a retention-intervention use case, this is the appropriate trade-off: the cost of missing a genuine leaver is materially higher than the cost of an unnecessary check-in.</w:t>
      </w:r>
    </w:p>
    <w:p w:rsidR="00941D30" w:rsidRPr="00941D30" w:rsidRDefault="00941D30" w:rsidP="00941D30">
      <w:pPr>
        <w:pStyle w:val="Heading1"/>
        <w:spacing w:before="400" w:after="20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5. Business Recommendations</w:t>
      </w:r>
    </w:p>
    <w:p w:rsidR="00941D30" w:rsidRPr="00941D30" w:rsidRDefault="00941D30" w:rsidP="00941D30">
      <w:pPr>
        <w:pStyle w:val="ListParagraph"/>
        <w:numPr>
          <w:ilvl w:val="0"/>
          <w:numId w:val="1"/>
        </w:numPr>
        <w:spacing w:after="100" w:line="360" w:lineRule="auto"/>
        <w:rPr>
          <w:rFonts w:ascii="Times New Roman" w:hAnsi="Times New Roman" w:cs="Times New Roman"/>
          <w:sz w:val="24"/>
          <w:szCs w:val="24"/>
        </w:rPr>
      </w:pPr>
      <w:r w:rsidRPr="00941D30">
        <w:rPr>
          <w:rFonts w:ascii="Times New Roman" w:hAnsi="Times New Roman" w:cs="Times New Roman"/>
          <w:sz w:val="24"/>
          <w:szCs w:val="24"/>
        </w:rPr>
        <w:t>Prioritise Sales for retention intervention: it carries the highest attrition rate of the three departments, concentrated heavily in the Sales Executive role.</w:t>
      </w:r>
    </w:p>
    <w:p w:rsidR="00941D30" w:rsidRPr="00941D30" w:rsidRDefault="00941D30" w:rsidP="00941D30">
      <w:pPr>
        <w:pStyle w:val="ListParagraph"/>
        <w:numPr>
          <w:ilvl w:val="0"/>
          <w:numId w:val="1"/>
        </w:numPr>
        <w:spacing w:after="100" w:line="360" w:lineRule="auto"/>
        <w:rPr>
          <w:rFonts w:ascii="Times New Roman" w:hAnsi="Times New Roman" w:cs="Times New Roman"/>
          <w:sz w:val="24"/>
          <w:szCs w:val="24"/>
        </w:rPr>
      </w:pPr>
      <w:r w:rsidRPr="00941D30">
        <w:rPr>
          <w:rFonts w:ascii="Times New Roman" w:hAnsi="Times New Roman" w:cs="Times New Roman"/>
          <w:sz w:val="24"/>
          <w:szCs w:val="24"/>
        </w:rPr>
        <w:t>Review overtime policy: overtime is the single strongest predictor of attrition (4.6x higher odds); reducing mandatory or excessive overtime, particularly in Sales, is likely to have the largest measurable impact.</w:t>
      </w:r>
    </w:p>
    <w:p w:rsidR="00941D30" w:rsidRPr="00941D30" w:rsidRDefault="00941D30" w:rsidP="00941D30">
      <w:pPr>
        <w:pStyle w:val="ListParagraph"/>
        <w:numPr>
          <w:ilvl w:val="0"/>
          <w:numId w:val="1"/>
        </w:numPr>
        <w:spacing w:after="100" w:line="360" w:lineRule="auto"/>
        <w:rPr>
          <w:rFonts w:ascii="Times New Roman" w:hAnsi="Times New Roman" w:cs="Times New Roman"/>
          <w:sz w:val="24"/>
          <w:szCs w:val="24"/>
        </w:rPr>
      </w:pPr>
      <w:r w:rsidRPr="00941D30">
        <w:rPr>
          <w:rFonts w:ascii="Times New Roman" w:hAnsi="Times New Roman" w:cs="Times New Roman"/>
          <w:sz w:val="24"/>
          <w:szCs w:val="24"/>
        </w:rPr>
        <w:t>Focus retention efforts on the first two years of tenure: attrition risk is concentrated almost entirely in employees with 0-2 years at the company, after which risk drops sharply and stays flat.</w:t>
      </w:r>
    </w:p>
    <w:p w:rsidR="00941D30" w:rsidRPr="00941D30" w:rsidRDefault="00941D30" w:rsidP="00941D30">
      <w:pPr>
        <w:pStyle w:val="ListParagraph"/>
        <w:numPr>
          <w:ilvl w:val="0"/>
          <w:numId w:val="1"/>
        </w:numPr>
        <w:spacing w:after="100" w:line="360" w:lineRule="auto"/>
        <w:rPr>
          <w:rFonts w:ascii="Times New Roman" w:hAnsi="Times New Roman" w:cs="Times New Roman"/>
          <w:sz w:val="24"/>
          <w:szCs w:val="24"/>
        </w:rPr>
      </w:pPr>
      <w:r w:rsidRPr="00941D30">
        <w:rPr>
          <w:rFonts w:ascii="Times New Roman" w:hAnsi="Times New Roman" w:cs="Times New Roman"/>
          <w:sz w:val="24"/>
          <w:szCs w:val="24"/>
        </w:rPr>
        <w:t>Use the predictive model as an early-warning tool, not a final decision-maker: it is designed to flag a wider pool of at-risk employees than will actually leave, so flagged employees should be understood as candidates for a conversation, not a confirmed attrition risk.</w:t>
      </w:r>
    </w:p>
    <w:p w:rsidR="004C5CA6" w:rsidRDefault="004C5CA6" w:rsidP="00941D30">
      <w:pPr>
        <w:pStyle w:val="Heading1"/>
        <w:spacing w:before="400" w:after="200" w:line="360" w:lineRule="auto"/>
        <w:rPr>
          <w:rFonts w:ascii="Times New Roman" w:hAnsi="Times New Roman" w:cs="Times New Roman"/>
          <w:b/>
          <w:bCs/>
          <w:color w:val="auto"/>
          <w:sz w:val="24"/>
          <w:szCs w:val="24"/>
        </w:rPr>
      </w:pPr>
    </w:p>
    <w:p w:rsidR="004C5CA6" w:rsidRDefault="004C5CA6" w:rsidP="00941D30">
      <w:pPr>
        <w:pStyle w:val="Heading1"/>
        <w:spacing w:before="400" w:after="200" w:line="360" w:lineRule="auto"/>
        <w:rPr>
          <w:rFonts w:ascii="Times New Roman" w:hAnsi="Times New Roman" w:cs="Times New Roman"/>
          <w:b/>
          <w:bCs/>
          <w:color w:val="auto"/>
          <w:sz w:val="24"/>
          <w:szCs w:val="24"/>
        </w:rPr>
      </w:pPr>
    </w:p>
    <w:p w:rsidR="00941D30" w:rsidRPr="00941D30" w:rsidRDefault="00941D30" w:rsidP="00941D30">
      <w:pPr>
        <w:pStyle w:val="Heading1"/>
        <w:spacing w:before="400" w:after="20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lastRenderedPageBreak/>
        <w:t>6. Limitations</w:t>
      </w:r>
    </w:p>
    <w:p w:rsidR="00941D30" w:rsidRPr="006E69E8" w:rsidRDefault="00941D30" w:rsidP="006E69E8">
      <w:pPr>
        <w:pStyle w:val="ListParagraph"/>
        <w:numPr>
          <w:ilvl w:val="0"/>
          <w:numId w:val="4"/>
        </w:numPr>
        <w:spacing w:after="160" w:line="360" w:lineRule="auto"/>
        <w:rPr>
          <w:rFonts w:ascii="Times New Roman" w:hAnsi="Times New Roman" w:cs="Times New Roman"/>
          <w:sz w:val="24"/>
          <w:szCs w:val="24"/>
        </w:rPr>
      </w:pPr>
      <w:r w:rsidRPr="006E69E8">
        <w:rPr>
          <w:rFonts w:ascii="Times New Roman" w:hAnsi="Times New Roman" w:cs="Times New Roman"/>
          <w:sz w:val="24"/>
          <w:szCs w:val="24"/>
        </w:rPr>
        <w:t>Replacement cost is estimated using a flat 75% of annual salary for all roles, a simplifying HR rule-of-thumb. In reality, replacement cost likely varies by seniority and role, and the true organisational cost was not available in this dataset.</w:t>
      </w:r>
    </w:p>
    <w:p w:rsidR="00941D30" w:rsidRPr="00941D30" w:rsidRDefault="00941D30" w:rsidP="006E69E8">
      <w:pPr>
        <w:pStyle w:val="ListParagraph"/>
        <w:numPr>
          <w:ilvl w:val="0"/>
          <w:numId w:val="4"/>
        </w:numPr>
        <w:spacing w:after="100" w:line="360" w:lineRule="auto"/>
        <w:rPr>
          <w:rFonts w:ascii="Times New Roman" w:hAnsi="Times New Roman" w:cs="Times New Roman"/>
          <w:sz w:val="24"/>
          <w:szCs w:val="24"/>
        </w:rPr>
      </w:pPr>
      <w:r w:rsidRPr="00941D30">
        <w:rPr>
          <w:rFonts w:ascii="Times New Roman" w:hAnsi="Times New Roman" w:cs="Times New Roman"/>
          <w:sz w:val="24"/>
          <w:szCs w:val="24"/>
        </w:rPr>
        <w:t>The currency of the MonthlyIncome field is not stated in the source data; all cost figures should be read as relative, not as a confirmed real-world currency amount.</w:t>
      </w:r>
    </w:p>
    <w:p w:rsidR="00941D30" w:rsidRPr="00941D30" w:rsidRDefault="00941D30" w:rsidP="006E69E8">
      <w:pPr>
        <w:pStyle w:val="ListParagraph"/>
        <w:numPr>
          <w:ilvl w:val="0"/>
          <w:numId w:val="4"/>
        </w:numPr>
        <w:spacing w:after="100" w:line="360" w:lineRule="auto"/>
        <w:rPr>
          <w:rFonts w:ascii="Times New Roman" w:hAnsi="Times New Roman" w:cs="Times New Roman"/>
          <w:sz w:val="24"/>
          <w:szCs w:val="24"/>
        </w:rPr>
      </w:pPr>
      <w:r w:rsidRPr="00941D30">
        <w:rPr>
          <w:rFonts w:ascii="Times New Roman" w:hAnsi="Times New Roman" w:cs="Times New Roman"/>
          <w:sz w:val="24"/>
          <w:szCs w:val="24"/>
        </w:rPr>
        <w:t>The test set used to evaluate the predictive model (RQ5) contained only 47 actual leavers; a sample of this size means recall and precision estimates carry meaningful uncertainty and should be revisited if more data becomes available.</w:t>
      </w:r>
    </w:p>
    <w:p w:rsidR="00941D30" w:rsidRPr="00941D30" w:rsidRDefault="00941D30" w:rsidP="006E69E8">
      <w:pPr>
        <w:pStyle w:val="ListParagraph"/>
        <w:numPr>
          <w:ilvl w:val="0"/>
          <w:numId w:val="4"/>
        </w:numPr>
        <w:spacing w:after="100" w:line="360" w:lineRule="auto"/>
        <w:rPr>
          <w:rFonts w:ascii="Times New Roman" w:hAnsi="Times New Roman" w:cs="Times New Roman"/>
          <w:sz w:val="24"/>
          <w:szCs w:val="24"/>
        </w:rPr>
      </w:pPr>
      <w:r w:rsidRPr="00941D30">
        <w:rPr>
          <w:rFonts w:ascii="Times New Roman" w:hAnsi="Times New Roman" w:cs="Times New Roman"/>
          <w:sz w:val="24"/>
          <w:szCs w:val="24"/>
        </w:rPr>
        <w:t>The dataset is a single historical snapshot with no date field, so attrition trends over time could not be assessed.</w:t>
      </w:r>
    </w:p>
    <w:p w:rsidR="00941D30" w:rsidRPr="00941D30" w:rsidRDefault="00941D30" w:rsidP="006E69E8">
      <w:pPr>
        <w:pStyle w:val="ListParagraph"/>
        <w:numPr>
          <w:ilvl w:val="0"/>
          <w:numId w:val="4"/>
        </w:numPr>
        <w:spacing w:after="100" w:line="360" w:lineRule="auto"/>
        <w:rPr>
          <w:rFonts w:ascii="Times New Roman" w:hAnsi="Times New Roman" w:cs="Times New Roman"/>
          <w:sz w:val="24"/>
          <w:szCs w:val="24"/>
        </w:rPr>
      </w:pPr>
      <w:r w:rsidRPr="00941D30">
        <w:rPr>
          <w:rFonts w:ascii="Times New Roman" w:hAnsi="Times New Roman" w:cs="Times New Roman"/>
          <w:sz w:val="24"/>
          <w:szCs w:val="24"/>
        </w:rPr>
        <w:t>The predictive model's precision (33%) means two in three employees it flags will not actually leave; it is intended to support, not replace, human judgement in retention decisions.</w:t>
      </w:r>
    </w:p>
    <w:p w:rsidR="00941D30" w:rsidRPr="00941D30" w:rsidRDefault="00941D30" w:rsidP="00941D30">
      <w:pPr>
        <w:pStyle w:val="Heading1"/>
        <w:spacing w:before="400" w:after="200" w:line="360" w:lineRule="auto"/>
        <w:rPr>
          <w:rFonts w:ascii="Times New Roman" w:hAnsi="Times New Roman" w:cs="Times New Roman"/>
          <w:color w:val="auto"/>
          <w:sz w:val="24"/>
          <w:szCs w:val="24"/>
        </w:rPr>
      </w:pPr>
      <w:r w:rsidRPr="00941D30">
        <w:rPr>
          <w:rFonts w:ascii="Times New Roman" w:hAnsi="Times New Roman" w:cs="Times New Roman"/>
          <w:b/>
          <w:bCs/>
          <w:color w:val="auto"/>
          <w:sz w:val="24"/>
          <w:szCs w:val="24"/>
        </w:rPr>
        <w:t>7. Conclusion</w:t>
      </w:r>
    </w:p>
    <w:p w:rsidR="00941D30" w:rsidRPr="00941D30" w:rsidRDefault="00941D30" w:rsidP="00941D30">
      <w:pPr>
        <w:spacing w:after="160" w:line="360" w:lineRule="auto"/>
        <w:rPr>
          <w:rFonts w:ascii="Times New Roman" w:hAnsi="Times New Roman" w:cs="Times New Roman"/>
          <w:sz w:val="24"/>
          <w:szCs w:val="24"/>
        </w:rPr>
      </w:pPr>
      <w:r w:rsidRPr="00941D30">
        <w:rPr>
          <w:rFonts w:ascii="Times New Roman" w:hAnsi="Times New Roman" w:cs="Times New Roman"/>
          <w:sz w:val="24"/>
          <w:szCs w:val="24"/>
        </w:rPr>
        <w:t>This analysis moved beyond simple description to identify, quantify, and predict employee attrition within the dataset. Overtime, low job satisfaction, poor work-life balance, lower income, younger age, and short tenure were all confirmed as statistically significant and interpretable drivers of attrition. Sales was identified as the department with the highest attrition rate once department size was properly accounted for, and a validated predictive model demonstrated that at-risk employees can be identified in advance with a meaningful degree of reliability. Together, these findings and the model provide a concrete, actionable basis for HR intervention rather than a purely descriptive summary of past departures.</w:t>
      </w:r>
    </w:p>
    <w:sectPr w:rsidR="00941D30" w:rsidRPr="00941D3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05B5" w:rsidRDefault="00D205B5" w:rsidP="004C5CA6">
      <w:r>
        <w:separator/>
      </w:r>
    </w:p>
  </w:endnote>
  <w:endnote w:type="continuationSeparator" w:id="0">
    <w:p w:rsidR="00D205B5" w:rsidRDefault="00D205B5" w:rsidP="004C5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2674753"/>
      <w:docPartObj>
        <w:docPartGallery w:val="Page Numbers (Bottom of Page)"/>
        <w:docPartUnique/>
      </w:docPartObj>
    </w:sdtPr>
    <w:sdtEndPr>
      <w:rPr>
        <w:noProof/>
      </w:rPr>
    </w:sdtEndPr>
    <w:sdtContent>
      <w:p w:rsidR="004C5CA6" w:rsidRDefault="004C5CA6">
        <w:pPr>
          <w:pStyle w:val="Footer"/>
          <w:jc w:val="center"/>
        </w:pPr>
        <w:r>
          <w:fldChar w:fldCharType="begin"/>
        </w:r>
        <w:r>
          <w:instrText xml:space="preserve"> PAGE   \* MERGEFORMAT </w:instrText>
        </w:r>
        <w:r>
          <w:fldChar w:fldCharType="separate"/>
        </w:r>
        <w:r w:rsidR="009A518D">
          <w:rPr>
            <w:noProof/>
          </w:rPr>
          <w:t>8</w:t>
        </w:r>
        <w:r>
          <w:rPr>
            <w:noProof/>
          </w:rPr>
          <w:fldChar w:fldCharType="end"/>
        </w:r>
      </w:p>
    </w:sdtContent>
  </w:sdt>
  <w:p w:rsidR="004C5CA6" w:rsidRDefault="004C5CA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05B5" w:rsidRDefault="00D205B5" w:rsidP="004C5CA6">
      <w:r>
        <w:separator/>
      </w:r>
    </w:p>
  </w:footnote>
  <w:footnote w:type="continuationSeparator" w:id="0">
    <w:p w:rsidR="00D205B5" w:rsidRDefault="00D205B5" w:rsidP="004C5CA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2674E2"/>
    <w:multiLevelType w:val="hybridMultilevel"/>
    <w:tmpl w:val="A3EABAB8"/>
    <w:lvl w:ilvl="0" w:tplc="853484D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FD3EAB"/>
    <w:multiLevelType w:val="hybridMultilevel"/>
    <w:tmpl w:val="D9E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C65D14"/>
    <w:multiLevelType w:val="hybridMultilevel"/>
    <w:tmpl w:val="2DD22F86"/>
    <w:lvl w:ilvl="0" w:tplc="853484DC">
      <w:start w:val="1"/>
      <w:numFmt w:val="bullet"/>
      <w:lvlText w:val="●"/>
      <w:lvlJc w:val="left"/>
      <w:pPr>
        <w:ind w:left="720" w:hanging="360"/>
      </w:pPr>
    </w:lvl>
    <w:lvl w:ilvl="1" w:tplc="4FC23562">
      <w:start w:val="1"/>
      <w:numFmt w:val="bullet"/>
      <w:lvlText w:val="○"/>
      <w:lvlJc w:val="left"/>
      <w:pPr>
        <w:ind w:left="1440" w:hanging="360"/>
      </w:pPr>
    </w:lvl>
    <w:lvl w:ilvl="2" w:tplc="53A67DA6">
      <w:start w:val="1"/>
      <w:numFmt w:val="bullet"/>
      <w:lvlText w:val="■"/>
      <w:lvlJc w:val="left"/>
      <w:pPr>
        <w:ind w:left="2160" w:hanging="360"/>
      </w:pPr>
    </w:lvl>
    <w:lvl w:ilvl="3" w:tplc="A7088614">
      <w:start w:val="1"/>
      <w:numFmt w:val="bullet"/>
      <w:lvlText w:val="●"/>
      <w:lvlJc w:val="left"/>
      <w:pPr>
        <w:ind w:left="2880" w:hanging="360"/>
      </w:pPr>
    </w:lvl>
    <w:lvl w:ilvl="4" w:tplc="0D7240A2">
      <w:start w:val="1"/>
      <w:numFmt w:val="bullet"/>
      <w:lvlText w:val="○"/>
      <w:lvlJc w:val="left"/>
      <w:pPr>
        <w:ind w:left="3600" w:hanging="360"/>
      </w:pPr>
    </w:lvl>
    <w:lvl w:ilvl="5" w:tplc="E71E004E">
      <w:start w:val="1"/>
      <w:numFmt w:val="bullet"/>
      <w:lvlText w:val="■"/>
      <w:lvlJc w:val="left"/>
      <w:pPr>
        <w:ind w:left="4320" w:hanging="360"/>
      </w:pPr>
    </w:lvl>
    <w:lvl w:ilvl="6" w:tplc="0CC6539A">
      <w:start w:val="1"/>
      <w:numFmt w:val="bullet"/>
      <w:lvlText w:val="●"/>
      <w:lvlJc w:val="left"/>
      <w:pPr>
        <w:ind w:left="5040" w:hanging="360"/>
      </w:pPr>
    </w:lvl>
    <w:lvl w:ilvl="7" w:tplc="A456E084">
      <w:start w:val="1"/>
      <w:numFmt w:val="bullet"/>
      <w:lvlText w:val="●"/>
      <w:lvlJc w:val="left"/>
      <w:pPr>
        <w:ind w:left="5760" w:hanging="360"/>
      </w:pPr>
    </w:lvl>
    <w:lvl w:ilvl="8" w:tplc="D2246EDC">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D30"/>
    <w:rsid w:val="00231B36"/>
    <w:rsid w:val="004A175E"/>
    <w:rsid w:val="004C5CA6"/>
    <w:rsid w:val="006E69E8"/>
    <w:rsid w:val="00941D30"/>
    <w:rsid w:val="009A518D"/>
    <w:rsid w:val="00D20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6568"/>
  <w15:chartTrackingRefBased/>
  <w15:docId w15:val="{3DC3487E-7D5A-45A9-83F0-6C0031DCE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1D30"/>
    <w:pPr>
      <w:spacing w:after="0" w:line="240" w:lineRule="auto"/>
    </w:pPr>
    <w:rPr>
      <w:rFonts w:ascii="Calibri" w:eastAsia="Calibri" w:hAnsi="Calibri" w:cs="Calibri"/>
      <w:sz w:val="20"/>
      <w:szCs w:val="20"/>
    </w:rPr>
  </w:style>
  <w:style w:type="paragraph" w:styleId="Heading1">
    <w:name w:val="heading 1"/>
    <w:link w:val="Heading1Char"/>
    <w:qFormat/>
    <w:rsid w:val="00941D30"/>
    <w:pPr>
      <w:spacing w:after="0" w:line="240" w:lineRule="auto"/>
      <w:outlineLvl w:val="0"/>
    </w:pPr>
    <w:rPr>
      <w:rFonts w:ascii="Calibri" w:eastAsia="Calibri" w:hAnsi="Calibri" w:cs="Calibri"/>
      <w:color w:val="2E74B5"/>
      <w:sz w:val="32"/>
      <w:szCs w:val="32"/>
    </w:rPr>
  </w:style>
  <w:style w:type="paragraph" w:styleId="Heading2">
    <w:name w:val="heading 2"/>
    <w:link w:val="Heading2Char"/>
    <w:qFormat/>
    <w:rsid w:val="00941D30"/>
    <w:pPr>
      <w:spacing w:after="0" w:line="240" w:lineRule="auto"/>
      <w:outlineLvl w:val="1"/>
    </w:pPr>
    <w:rPr>
      <w:rFonts w:ascii="Calibri" w:eastAsia="Calibri" w:hAnsi="Calibri" w:cs="Calibri"/>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1D30"/>
    <w:rPr>
      <w:rFonts w:ascii="Calibri" w:eastAsia="Calibri" w:hAnsi="Calibri" w:cs="Calibri"/>
      <w:color w:val="2E74B5"/>
      <w:sz w:val="32"/>
      <w:szCs w:val="32"/>
    </w:rPr>
  </w:style>
  <w:style w:type="character" w:customStyle="1" w:styleId="Heading2Char">
    <w:name w:val="Heading 2 Char"/>
    <w:basedOn w:val="DefaultParagraphFont"/>
    <w:link w:val="Heading2"/>
    <w:rsid w:val="00941D30"/>
    <w:rPr>
      <w:rFonts w:ascii="Calibri" w:eastAsia="Calibri" w:hAnsi="Calibri" w:cs="Calibri"/>
      <w:color w:val="2E74B5"/>
      <w:sz w:val="26"/>
      <w:szCs w:val="26"/>
    </w:rPr>
  </w:style>
  <w:style w:type="paragraph" w:styleId="ListParagraph">
    <w:name w:val="List Paragraph"/>
    <w:qFormat/>
    <w:rsid w:val="00941D30"/>
    <w:pPr>
      <w:spacing w:after="0" w:line="240" w:lineRule="auto"/>
    </w:pPr>
    <w:rPr>
      <w:rFonts w:ascii="Calibri" w:eastAsia="Calibri" w:hAnsi="Calibri" w:cs="Calibri"/>
      <w:sz w:val="20"/>
      <w:szCs w:val="20"/>
    </w:rPr>
  </w:style>
  <w:style w:type="table" w:styleId="TableGrid">
    <w:name w:val="Table Grid"/>
    <w:basedOn w:val="TableNormal"/>
    <w:uiPriority w:val="39"/>
    <w:rsid w:val="006E6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5CA6"/>
    <w:pPr>
      <w:tabs>
        <w:tab w:val="center" w:pos="4680"/>
        <w:tab w:val="right" w:pos="9360"/>
      </w:tabs>
    </w:pPr>
  </w:style>
  <w:style w:type="character" w:customStyle="1" w:styleId="HeaderChar">
    <w:name w:val="Header Char"/>
    <w:basedOn w:val="DefaultParagraphFont"/>
    <w:link w:val="Header"/>
    <w:uiPriority w:val="99"/>
    <w:rsid w:val="004C5CA6"/>
    <w:rPr>
      <w:rFonts w:ascii="Calibri" w:eastAsia="Calibri" w:hAnsi="Calibri" w:cs="Calibri"/>
      <w:sz w:val="20"/>
      <w:szCs w:val="20"/>
    </w:rPr>
  </w:style>
  <w:style w:type="paragraph" w:styleId="Footer">
    <w:name w:val="footer"/>
    <w:basedOn w:val="Normal"/>
    <w:link w:val="FooterChar"/>
    <w:uiPriority w:val="99"/>
    <w:unhideWhenUsed/>
    <w:rsid w:val="004C5CA6"/>
    <w:pPr>
      <w:tabs>
        <w:tab w:val="center" w:pos="4680"/>
        <w:tab w:val="right" w:pos="9360"/>
      </w:tabs>
    </w:pPr>
  </w:style>
  <w:style w:type="character" w:customStyle="1" w:styleId="FooterChar">
    <w:name w:val="Footer Char"/>
    <w:basedOn w:val="DefaultParagraphFont"/>
    <w:link w:val="Footer"/>
    <w:uiPriority w:val="99"/>
    <w:rsid w:val="004C5CA6"/>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DEDD8-8D3F-46C4-8977-B6C6FD01D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1667</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2026-10-03T11:30:00Z</dcterms:created>
  <dcterms:modified xsi:type="dcterms:W3CDTF">2026-10-03T12:22:00Z</dcterms:modified>
</cp:coreProperties>
</file>