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ind-bold.ttf" ContentType="application/x-font-ttf"/>
  <Override PartName="/word/fonts/Hind-regular.ttf" ContentType="application/x-font-ttf"/>
  <Override PartName="/word/fonts/IBMPlexMono-bold.ttf" ContentType="application/x-font-ttf"/>
  <Override PartName="/word/fonts/IBMPlexMono-boldItalic.ttf" ContentType="application/x-font-ttf"/>
  <Override PartName="/word/fonts/IBMPlexMono-italic.ttf" ContentType="application/x-font-ttf"/>
  <Override PartName="/word/fonts/IBMPlexMono-regular.ttf" ContentType="application/x-font-ttf"/>
  <Override PartName="/word/fonts/IBMPlexSans-bold.ttf" ContentType="application/x-font-ttf"/>
  <Override PartName="/word/fonts/IBMPlexSans-boldItalic.ttf" ContentType="application/x-font-ttf"/>
  <Override PartName="/word/fonts/IBMPlexSans-italic.ttf" ContentType="application/x-font-ttf"/>
  <Override PartName="/word/fonts/IBMPlexSan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r/>
      <w:r>
        <w:rPr>
          <w:rFonts w:ascii="IBM Plex Sans" w:hAnsi="IBM Plex Sans"/>
          <w:b/>
          <w:color w:val="111827"/>
          <w:sz w:val="26"/>
        </w:rPr>
        <w:t>MACHINE LEARNING CANVAS</w:t>
      </w:r>
      <w:r>
        <w:rPr>
          <w:rFonts w:ascii="IBM Plex Sans" w:hAnsi="IBM Plex Sans"/>
          <w:b/>
          <w:color w:val="4B5563"/>
          <w:sz w:val="15"/>
        </w:rPr>
        <w:t xml:space="preserve">   |   Designed for: </w:t>
      </w:r>
      <w:r>
        <w:rPr>
          <w:rFonts w:ascii="IBM Plex Sans" w:hAnsi="IBM Plex Sans"/>
          <w:b w:val="0"/>
          <w:color w:val="1F2937"/>
          <w:sz w:val="15"/>
        </w:rPr>
        <w:t>MiBici (AMIM Jalisco)</w:t>
      </w:r>
      <w:r>
        <w:rPr>
          <w:rFonts w:ascii="IBM Plex Sans" w:hAnsi="IBM Plex Sans"/>
          <w:b/>
          <w:color w:val="4B5563"/>
          <w:sz w:val="15"/>
        </w:rPr>
        <w:t xml:space="preserve">   Designed by: </w:t>
      </w:r>
      <w:r>
        <w:rPr>
          <w:rFonts w:ascii="IBM Plex Sans" w:hAnsi="IBM Plex Sans"/>
          <w:b w:val="0"/>
          <w:color w:val="1F2937"/>
          <w:sz w:val="15"/>
        </w:rPr>
        <w:t>Bryan, Miguel Ángel y Kevin</w:t>
      </w:r>
      <w:r>
        <w:rPr>
          <w:rFonts w:ascii="IBM Plex Sans" w:hAnsi="IBM Plex Sans"/>
          <w:b/>
          <w:color w:val="4B5563"/>
          <w:sz w:val="15"/>
        </w:rPr>
        <w:t xml:space="preserve">   Date: </w:t>
      </w:r>
      <w:r>
        <w:rPr>
          <w:rFonts w:ascii="IBM Plex Sans" w:hAnsi="IBM Plex Sans"/>
          <w:b w:val="0"/>
          <w:color w:val="1F2937"/>
          <w:sz w:val="15"/>
        </w:rPr>
        <w:t>2026-10-16</w:t>
      </w:r>
      <w:r>
        <w:rPr>
          <w:rFonts w:ascii="IBM Plex Sans" w:hAnsi="IBM Plex Sans"/>
          <w:b/>
          <w:color w:val="4B5563"/>
          <w:sz w:val="15"/>
        </w:rPr>
        <w:t xml:space="preserve">   Iteration: </w:t>
      </w:r>
      <w:r>
        <w:rPr>
          <w:rFonts w:ascii="IBM Plex Sans" w:hAnsi="IBM Plex Sans"/>
          <w:b w:val="0"/>
          <w:color w:val="1F2937"/>
          <w:sz w:val="15"/>
        </w:rPr>
        <w:t>v1.0 (P1, P2, P3)</w:t>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pPr>
              <w:spacing w:before="40" w:after="40" w:line="252" w:lineRule="auto"/>
            </w:pPr>
            <w:r>
              <w:rPr>
                <w:rFonts w:ascii="IBM Plex Sans" w:hAnsi="IBM Plex Sans"/>
                <w:b/>
                <w:color w:val="1E3A8A"/>
                <w:sz w:val="14"/>
              </w:rPr>
              <w:t xml:space="preserve">Módulos Predictivos Coordinados: </w:t>
            </w:r>
            <w:r>
              <w:rPr>
                <w:rFonts w:ascii="IBM Plex Sans" w:hAnsi="IBM Plex Sans"/>
                <w:color w:val="1F2937"/>
                <w:sz w:val="13"/>
              </w:rPr>
              <w:t>• P1 (Regresión): Estimar conteo de viajes iniciados en la estación s en la hora t+1: y_{s, t+1} ∈ R+.</w:t>
              <w:br/>
              <w:t>• P2 (Clasificación): Predecir riesgo crítico de stockout o saturación en s en t+1: c_{s, t+1} ∈ {0, 1}.</w:t>
              <w:br/>
              <w:t>• P3 (Clustering): Segmentación no supervisada de 473 estaciones según perfil horario y flujo.</w:t>
            </w:r>
          </w:p>
          <w:p>
            <w:pPr>
              <w:spacing w:before="40" w:after="40" w:line="252" w:lineRule="auto"/>
            </w:pPr>
            <w:r>
              <w:rPr>
                <w:rFonts w:ascii="IBM Plex Sans" w:hAnsi="IBM Plex Sans"/>
                <w:b/>
                <w:color w:val="1E3A8A"/>
                <w:sz w:val="14"/>
              </w:rPr>
              <w:t xml:space="preserve">Entidad &amp; Horizonte: </w:t>
            </w:r>
            <w:r>
              <w:rPr>
                <w:rFonts w:ascii="IBM Plex Sans" w:hAnsi="IBM Plex Sans"/>
                <w:color w:val="1F2937"/>
                <w:sz w:val="13"/>
              </w:rPr>
              <w:t>• P1/P2: Par (estación s, intervalo 1 hora). Horizonte: 1 hora adelante.</w:t>
              <w:br/>
              <w:t>• P3: Estación individual s (análisis trimestral/anual).</w:t>
            </w:r>
          </w:p>
          <w:p>
            <w:pPr>
              <w:spacing w:before="40" w:after="40" w:line="252" w:lineRule="auto"/>
            </w:pPr>
            <w:r>
              <w:rPr>
                <w:rFonts w:ascii="IBM Plex Sans" w:hAnsi="IBM Plex Sans"/>
                <w:b/>
                <w:color w:val="1E3A8A"/>
                <w:sz w:val="14"/>
              </w:rPr>
              <w:t xml:space="preserve">Observación de Resultados: </w:t>
            </w:r>
            <w:r>
              <w:rPr>
                <w:rFonts w:ascii="IBM Plex Sans" w:hAnsi="IBM Plex Sans"/>
                <w:color w:val="1F2937"/>
                <w:sz w:val="13"/>
              </w:rPr>
              <w:t>• P1/P2 al cerrar la hora t+1 con registros reales de viajes de MiBici.</w:t>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pPr>
              <w:spacing w:before="40" w:after="40" w:line="252" w:lineRule="auto"/>
            </w:pPr>
            <w:r>
              <w:rPr>
                <w:rFonts w:ascii="IBM Plex Sans" w:hAnsi="IBM Plex Sans"/>
                <w:b/>
                <w:color w:val="1E3A8A"/>
                <w:sz w:val="14"/>
              </w:rPr>
              <w:t xml:space="preserve">Acciones Basadas en Predicción: </w:t>
            </w:r>
            <w:r>
              <w:rPr>
                <w:rFonts w:ascii="IBM Plex Sans" w:hAnsi="IBM Plex Sans"/>
                <w:color w:val="1F2937"/>
                <w:sz w:val="13"/>
              </w:rPr>
              <w:t>• P1 (Demanda): Ajuste del inventario base por estación antes de las 5:00 AM.</w:t>
              <w:br/>
              <w:t>• P2 (Riesgo Desbalance): Si P(Riesgo) &gt; τ (0.65), despacho automático de furgoneta para retirar/suministrar Q bicis (horizonte de 1-2h).</w:t>
              <w:br/>
              <w:t>• P3 (Clustering): Asignación prioritaria de presupuesto y ampliación de anclajes a estaciones polo laboral o residencial.</w:t>
            </w:r>
          </w:p>
          <w:p>
            <w:pPr>
              <w:spacing w:before="40" w:after="40" w:line="252" w:lineRule="auto"/>
            </w:pPr>
            <w:r>
              <w:rPr>
                <w:rFonts w:ascii="IBM Plex Sans" w:hAnsi="IBM Plex Sans"/>
                <w:b/>
                <w:color w:val="1E3A8A"/>
                <w:sz w:val="14"/>
              </w:rPr>
              <w:t xml:space="preserve">Parámetros Operativos: </w:t>
            </w:r>
            <w:r>
              <w:rPr>
                <w:rFonts w:ascii="IBM Plex Sans" w:hAnsi="IBM Plex Sans"/>
                <w:color w:val="1F2937"/>
                <w:sz w:val="13"/>
              </w:rPr>
              <w:t>• Ventana de alerta: 60-120 min. Cuota mínima de seguridad: 3 bicis o 20% de capacidad. Capacidad de furgoneta: 15-20 bicis.</w:t>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pPr>
              <w:spacing w:before="40" w:after="40" w:line="252" w:lineRule="auto"/>
            </w:pPr>
            <w:r>
              <w:rPr>
                <w:rFonts w:ascii="IBM Plex Sans" w:hAnsi="IBM Plex Sans"/>
                <w:b/>
                <w:color w:val="1E3A8A"/>
                <w:sz w:val="14"/>
              </w:rPr>
              <w:t xml:space="preserve">Beneficiarios Clave: </w:t>
            </w:r>
            <w:r>
              <w:rPr>
                <w:rFonts w:ascii="IBM Plex Sans" w:hAnsi="IBM Plex Sans"/>
                <w:color w:val="1F2937"/>
                <w:sz w:val="13"/>
              </w:rPr>
              <w:t>• Operador central (AMIM / BKT): Planeación global de flota activa.</w:t>
              <w:br/>
              <w:t>• Cuadrillas de rebalanceo: Prevención de estaciones vacías o colapsadas.</w:t>
              <w:br/>
              <w:t>• Planeación Urbana AMIM: Expansión estratégica de estaciones y ciclovías.</w:t>
            </w:r>
          </w:p>
          <w:p>
            <w:pPr>
              <w:spacing w:before="40" w:after="40" w:line="252" w:lineRule="auto"/>
            </w:pPr>
            <w:r>
              <w:rPr>
                <w:rFonts w:ascii="IBM Plex Sans" w:hAnsi="IBM Plex Sans"/>
                <w:b/>
                <w:color w:val="1E3A8A"/>
                <w:sz w:val="14"/>
              </w:rPr>
              <w:t xml:space="preserve">Dolores Resueltos: </w:t>
            </w:r>
            <w:r>
              <w:rPr>
                <w:rFonts w:ascii="IBM Plex Sans" w:hAnsi="IBM Plex Sans"/>
                <w:color w:val="1F2937"/>
                <w:sz w:val="13"/>
              </w:rPr>
              <w:t>• Usuarios sin bici para salir o sin anclaje disponible al llegar.</w:t>
              <w:br/>
              <w:t>• Rebalanceo reactivo por intuición que desperdicia viajes y combustible.</w:t>
              <w:br/>
              <w:t>• Falta de evidencia de patrones espacio-temporales para inversiones.</w:t>
            </w:r>
          </w:p>
          <w:p>
            <w:pPr>
              <w:spacing w:before="40" w:after="40" w:line="252" w:lineRule="auto"/>
            </w:pPr>
            <w:r>
              <w:rPr>
                <w:rFonts w:ascii="IBM Plex Sans" w:hAnsi="IBM Plex Sans"/>
                <w:b/>
                <w:color w:val="1E3A8A"/>
                <w:sz w:val="14"/>
              </w:rPr>
              <w:t xml:space="preserve">Integración y UI: </w:t>
            </w:r>
            <w:r>
              <w:rPr>
                <w:rFonts w:ascii="IBM Plex Sans" w:hAnsi="IBM Plex Sans"/>
                <w:color w:val="1F2937"/>
                <w:sz w:val="13"/>
              </w:rPr>
              <w:t>• Dashboard operativo en tiempo real (Grafana/Streamlit) y app en tablets de cuadrillas con mapa de alertas de estaciones críticas.</w:t>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pPr>
              <w:spacing w:before="40" w:after="40" w:line="252" w:lineRule="auto"/>
            </w:pPr>
            <w:r>
              <w:rPr>
                <w:rFonts w:ascii="IBM Plex Sans" w:hAnsi="IBM Plex Sans"/>
                <w:b/>
                <w:color w:val="1E3A8A"/>
                <w:sz w:val="14"/>
              </w:rPr>
              <w:t xml:space="preserve">Extracción Inicial: </w:t>
            </w:r>
            <w:r>
              <w:rPr>
                <w:rFonts w:ascii="IBM Plex Sans" w:hAnsi="IBM Plex Sans"/>
                <w:color w:val="1F2937"/>
                <w:sz w:val="13"/>
              </w:rPr>
              <w:t>• 36 meses históricos (oct 2023 - sep 2026) descargados desde el portal oficial de datos abiertos (13.3M viajes y catálogo de estaciones).</w:t>
            </w:r>
          </w:p>
          <w:p>
            <w:pPr>
              <w:spacing w:before="40" w:after="40" w:line="252" w:lineRule="auto"/>
            </w:pPr>
            <w:r>
              <w:rPr>
                <w:rFonts w:ascii="IBM Plex Sans" w:hAnsi="IBM Plex Sans"/>
                <w:b/>
                <w:color w:val="1E3A8A"/>
                <w:sz w:val="14"/>
              </w:rPr>
              <w:t xml:space="preserve">Automatización y Frescura: </w:t>
            </w:r>
            <w:r>
              <w:rPr>
                <w:rFonts w:ascii="IBM Plex Sans" w:hAnsi="IBM Plex Sans"/>
                <w:color w:val="1F2937"/>
                <w:sz w:val="13"/>
              </w:rPr>
              <w:t>• Pipeline automatizado con Typer + DVC (`task data`).</w:t>
              <w:br/>
              <w:t>• Actualización mensual programada al publicarse nuevos CSVs en la web.</w:t>
              <w:br/>
              <w:t>• Formato Parquet columnar comprimido con Snappy (~391 MB vs 2.5 GB CSVs) versionado con DVC en Google Cloud Storage (`gs://mibici-mlops-project`).</w:t>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pPr>
              <w:spacing w:before="40" w:after="40" w:line="252" w:lineRule="auto"/>
            </w:pPr>
            <w:r>
              <w:rPr>
                <w:rFonts w:ascii="IBM Plex Sans" w:hAnsi="IBM Plex Sans"/>
                <w:b/>
                <w:color w:val="1E3A8A"/>
                <w:sz w:val="14"/>
              </w:rPr>
              <w:t xml:space="preserve">Fuentes Principales: </w:t>
            </w:r>
            <w:r>
              <w:rPr>
                <w:rFonts w:ascii="IBM Plex Sans" w:hAnsi="IBM Plex Sans"/>
                <w:color w:val="1F2937"/>
                <w:sz w:val="13"/>
              </w:rPr>
              <w:t>• Portal MiBici (`mibici.net/es/datos-abiertos/`): Archivos mensuales de viajes (`trip_id`, `started_at`, `ended_at`, `origin_id`, `dest_id`, `user_id`, etc.).</w:t>
              <w:br/>
              <w:t>• Catálogo Nomenclatura: `stations_nomenclature.csv` (`id`, `name`, `latitude`, `longitude`, `dpcapacity`).</w:t>
            </w:r>
          </w:p>
          <w:p>
            <w:pPr>
              <w:spacing w:before="40" w:after="40" w:line="252" w:lineRule="auto"/>
            </w:pPr>
            <w:r>
              <w:rPr>
                <w:rFonts w:ascii="IBM Plex Sans" w:hAnsi="IBM Plex Sans"/>
                <w:b/>
                <w:color w:val="1E3A8A"/>
                <w:sz w:val="14"/>
              </w:rPr>
              <w:t xml:space="preserve">Fuentes Secundarias / Contexto: </w:t>
            </w:r>
            <w:r>
              <w:rPr>
                <w:rFonts w:ascii="IBM Plex Sans" w:hAnsi="IBM Plex Sans"/>
                <w:color w:val="1F2937"/>
                <w:sz w:val="13"/>
              </w:rPr>
              <w:t>• Calendario escolar (UdeG/SEP) y días festivos federales/locales.</w:t>
              <w:br/>
              <w:t>• Open-Meteo API: Precipitación pluvial, temperatura y viento horario.</w:t>
              <w:br/>
              <w:t>• OpenStreetMap: Matriz de distancias de red ciclista entre estaciones.</w:t>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pPr>
              <w:spacing w:before="40" w:after="40" w:line="252" w:lineRule="auto"/>
            </w:pPr>
            <w:r>
              <w:rPr>
                <w:rFonts w:ascii="IBM Plex Sans" w:hAnsi="IBM Plex Sans"/>
                <w:b/>
                <w:color w:val="1E3A8A"/>
                <w:sz w:val="14"/>
              </w:rPr>
              <w:t xml:space="preserve">Matriz de Costo/Beneficio: </w:t>
            </w:r>
            <w:r>
              <w:rPr>
                <w:rFonts w:ascii="IBM Plex Sans" w:hAnsi="IBM Plex Sans"/>
                <w:color w:val="1F2937"/>
                <w:sz w:val="13"/>
              </w:rPr>
              <w:t>• Falso Negativo P2 (estación vacía sin alertar): Alto costo (-$350 MXN) por viaje frustrado, abandono de usuario y penalización de servicio.</w:t>
              <w:br/>
              <w:t>• Falso Positivo P2 (alerta innecesaria): Bajo costo (-$60 MXN) por desvío menor de furgoneta de rebalanceo.</w:t>
              <w:br/>
              <w:t>• Verdadero Positivo: +$120 MXN ganancia neta en viajes retenidos y SLA.</w:t>
            </w:r>
          </w:p>
          <w:p>
            <w:pPr>
              <w:spacing w:before="40" w:after="40" w:line="252" w:lineRule="auto"/>
            </w:pPr>
            <w:r>
              <w:rPr>
                <w:rFonts w:ascii="IBM Plex Sans" w:hAnsi="IBM Plex Sans"/>
                <w:b/>
                <w:color w:val="1E3A8A"/>
                <w:sz w:val="14"/>
              </w:rPr>
              <w:t xml:space="preserve">Datos de Simulación Pre-despliegue: </w:t>
            </w:r>
            <w:r>
              <w:rPr>
                <w:rFonts w:ascii="IBM Plex Sans" w:hAnsi="IBM Plex Sans"/>
                <w:color w:val="1F2937"/>
                <w:sz w:val="13"/>
              </w:rPr>
              <w:t>• Conjunto Out-of-Time estricto (abril 2026 - septiembre 2026, 2.2M viajes).</w:t>
            </w:r>
          </w:p>
          <w:p>
            <w:pPr>
              <w:spacing w:before="40" w:after="40" w:line="252" w:lineRule="auto"/>
            </w:pPr>
            <w:r>
              <w:rPr>
                <w:rFonts w:ascii="IBM Plex Sans" w:hAnsi="IBM Plex Sans"/>
                <w:b/>
                <w:color w:val="1E3A8A"/>
                <w:sz w:val="14"/>
              </w:rPr>
              <w:t xml:space="preserve">Criterios de Aceptación: </w:t>
            </w:r>
            <w:r>
              <w:rPr>
                <w:rFonts w:ascii="IBM Plex Sans" w:hAnsi="IBM Plex Sans"/>
                <w:color w:val="1F2937"/>
                <w:sz w:val="13"/>
              </w:rPr>
              <w:t>• P1: WAPE &lt; 25% y superar baseline naive lag-168h por &gt;15%.</w:t>
              <w:br/>
              <w:t>• P2: PR-AUC &gt; 0.70, Recall &gt;= 80% para eventos críticos.</w:t>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pPr>
              <w:spacing w:before="40" w:after="40" w:line="252" w:lineRule="auto"/>
            </w:pPr>
            <w:r>
              <w:rPr>
                <w:rFonts w:ascii="IBM Plex Sans" w:hAnsi="IBM Plex Sans"/>
                <w:b/>
                <w:color w:val="1E3A8A"/>
                <w:sz w:val="14"/>
              </w:rPr>
              <w:t xml:space="preserve">Modo de Inferencia: </w:t>
            </w:r>
            <w:r>
              <w:rPr>
                <w:rFonts w:ascii="IBM Plex Sans" w:hAnsi="IBM Plex Sans"/>
                <w:color w:val="1F2937"/>
                <w:sz w:val="13"/>
              </w:rPr>
              <w:t>• Batch periódico cada 30-60 minutos durante horario de servicio (5:00 a 01:00 hrs) para P1 y P2.</w:t>
              <w:br/>
              <w:t>• Batch estacional/anual para P3 (expansión y zonificación urbana).</w:t>
            </w:r>
          </w:p>
          <w:p>
            <w:pPr>
              <w:spacing w:before="40" w:after="40" w:line="252" w:lineRule="auto"/>
            </w:pPr>
            <w:r>
              <w:rPr>
                <w:rFonts w:ascii="IBM Plex Sans" w:hAnsi="IBM Plex Sans"/>
                <w:b/>
                <w:color w:val="1E3A8A"/>
                <w:sz w:val="14"/>
              </w:rPr>
              <w:t xml:space="preserve">Latencia y Capacidad: </w:t>
            </w:r>
            <w:r>
              <w:rPr>
                <w:rFonts w:ascii="IBM Plex Sans" w:hAnsi="IBM Plex Sans"/>
                <w:color w:val="1F2937"/>
                <w:sz w:val="13"/>
              </w:rPr>
              <w:t>• Tiempo disponible: &lt; 2 minutos por ciclo (extracción de features, inferencia y ordenamiento de criticidad para 473 estaciones).</w:t>
              <w:br/>
              <w:t>• Microservicio en contenedor Docker (FastAPI / Celery) con 2 vCPUs y 4 GB RAM.</w:t>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pPr>
              <w:spacing w:before="40" w:after="40" w:line="252" w:lineRule="auto"/>
            </w:pPr>
            <w:r>
              <w:rPr>
                <w:rFonts w:ascii="IBM Plex Sans" w:hAnsi="IBM Plex Sans"/>
                <w:b/>
                <w:color w:val="1E3A8A"/>
                <w:sz w:val="14"/>
              </w:rPr>
              <w:t xml:space="preserve">Modelos en Producción: </w:t>
            </w:r>
            <w:r>
              <w:rPr>
                <w:rFonts w:ascii="IBM Plex Sans" w:hAnsi="IBM Plex Sans"/>
                <w:color w:val="1F2937"/>
                <w:sz w:val="13"/>
              </w:rPr>
              <w:t>• 1 modelo global de regresión (P1: LightGBM / HistGradientBoosting).</w:t>
              <w:br/>
              <w:t>• 1 modelo global de clasificación (P2: LightGBM con focal loss/balanced weights).</w:t>
              <w:br/>
              <w:t>• 1 pipeline de clustering (P3: K-Means k=4 + HDBSCAN).</w:t>
            </w:r>
          </w:p>
          <w:p>
            <w:pPr>
              <w:spacing w:before="40" w:after="40" w:line="252" w:lineRule="auto"/>
            </w:pPr>
            <w:r>
              <w:rPr>
                <w:rFonts w:ascii="IBM Plex Sans" w:hAnsi="IBM Plex Sans"/>
                <w:b/>
                <w:color w:val="1E3A8A"/>
                <w:sz w:val="14"/>
              </w:rPr>
              <w:t xml:space="preserve">Ciclo de Reentrenamiento: </w:t>
            </w:r>
            <w:r>
              <w:rPr>
                <w:rFonts w:ascii="IBM Plex Sans" w:hAnsi="IBM Plex Sans"/>
                <w:color w:val="1F2937"/>
                <w:sz w:val="13"/>
              </w:rPr>
              <w:t>• Reentrenamiento mensual automatizado al llegar nuevos datos mediante DVC pipeline y GitHub Actions / GCP Cloud Build.</w:t>
            </w:r>
          </w:p>
          <w:p>
            <w:pPr>
              <w:spacing w:before="40" w:after="40" w:line="252" w:lineRule="auto"/>
            </w:pPr>
            <w:r>
              <w:rPr>
                <w:rFonts w:ascii="IBM Plex Sans" w:hAnsi="IBM Plex Sans"/>
                <w:b/>
                <w:color w:val="1E3A8A"/>
                <w:sz w:val="14"/>
              </w:rPr>
              <w:t xml:space="preserve">Recursos de Entrenamiento: </w:t>
            </w:r>
            <w:r>
              <w:rPr>
                <w:rFonts w:ascii="IBM Plex Sans" w:hAnsi="IBM Plex Sans"/>
                <w:color w:val="1F2937"/>
                <w:sz w:val="13"/>
              </w:rPr>
              <w:t>• Instancia GCP (4 vCPUs, 16 GB RAM); tiempo de entrenamiento &lt; 15 min gracias a binned histograms y Parquet optimizado.</w:t>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pPr>
              <w:spacing w:before="40" w:after="40" w:line="252" w:lineRule="auto"/>
            </w:pPr>
            <w:r>
              <w:rPr>
                <w:rFonts w:ascii="IBM Plex Sans" w:hAnsi="IBM Plex Sans"/>
                <w:b/>
                <w:color w:val="1E3A8A"/>
                <w:sz w:val="14"/>
              </w:rPr>
              <w:t xml:space="preserve">Representación Temporal y Lags: </w:t>
            </w:r>
            <w:r>
              <w:rPr>
                <w:rFonts w:ascii="IBM Plex Sans" w:hAnsi="IBM Plex Sans"/>
                <w:color w:val="1F2937"/>
                <w:sz w:val="13"/>
              </w:rPr>
              <w:t>• Lags de demanda y flujo neto: t-1h, t-2h, t-24h (mismo horario ayer), t-168h (misma hora semana previa).</w:t>
              <w:br/>
              <w:t>• Promedios y desviaciones móviles de 3h y 6h.</w:t>
            </w:r>
          </w:p>
          <w:p>
            <w:pPr>
              <w:spacing w:before="40" w:after="40" w:line="252" w:lineRule="auto"/>
            </w:pPr>
            <w:r>
              <w:rPr>
                <w:rFonts w:ascii="IBM Plex Sans" w:hAnsi="IBM Plex Sans"/>
                <w:b/>
                <w:color w:val="1E3A8A"/>
                <w:sz w:val="14"/>
              </w:rPr>
              <w:t xml:space="preserve">Ciclos y Calendario: </w:t>
            </w:r>
            <w:r>
              <w:rPr>
                <w:rFonts w:ascii="IBM Plex Sans" w:hAnsi="IBM Plex Sans"/>
                <w:color w:val="1F2937"/>
                <w:sz w:val="13"/>
              </w:rPr>
              <w:t>• Transformaciones seno/coseno de hora del día y mes; banderas de día hábil, fin de semana y festivo.</w:t>
            </w:r>
          </w:p>
          <w:p>
            <w:pPr>
              <w:spacing w:before="40" w:after="40" w:line="252" w:lineRule="auto"/>
            </w:pPr>
            <w:r>
              <w:rPr>
                <w:rFonts w:ascii="IBM Plex Sans" w:hAnsi="IBM Plex Sans"/>
                <w:b/>
                <w:color w:val="1E3A8A"/>
                <w:sz w:val="14"/>
              </w:rPr>
              <w:t xml:space="preserve">Atributos de Estación: </w:t>
            </w:r>
            <w:r>
              <w:rPr>
                <w:rFonts w:ascii="IBM Plex Sans" w:hAnsi="IBM Plex Sans"/>
                <w:color w:val="1F2937"/>
                <w:sz w:val="13"/>
              </w:rPr>
              <w:t>• Capacidad nominal (`dpcapacity`), coordenadas (`lat`, `lon`), centralidad espacial, ratio histórico llegadas/salidas.</w:t>
              <w:br/>
              <w:t>• Grid completo cartesiano (estaciones x horas) imputando 0 en horas sin viajes.</w:t>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p>
            <w:pPr>
              <w:spacing w:before="40" w:after="40" w:line="252" w:lineRule="auto"/>
            </w:pPr>
            <w:r>
              <w:rPr>
                <w:rFonts w:ascii="IBM Plex Sans" w:hAnsi="IBM Plex Sans"/>
                <w:b/>
                <w:color w:val="1E3A8A"/>
                <w:sz w:val="14"/>
              </w:rPr>
              <w:t xml:space="preserve">Métricas Técnicas: </w:t>
            </w:r>
            <w:r>
              <w:rPr>
                <w:rFonts w:ascii="IBM Plex Sans" w:hAnsi="IBM Plex Sans"/>
                <w:color w:val="1F2937"/>
                <w:sz w:val="13"/>
              </w:rPr>
              <w:t>• P1: MAE, RMSE, WAPE.</w:t>
              <w:br/>
              <w:t>• P2: PR-AUC, F1-Score, Brier Score de calibración.</w:t>
              <w:br/>
              <w:t>• Drift: Population Stability Index (PSI) en demanda y Wasserstein distance en features.</w:t>
            </w:r>
          </w:p>
          <w:p>
            <w:pPr>
              <w:spacing w:before="40" w:after="40" w:line="252" w:lineRule="auto"/>
            </w:pPr>
            <w:r>
              <w:rPr>
                <w:rFonts w:ascii="IBM Plex Sans" w:hAnsi="IBM Plex Sans"/>
                <w:b/>
                <w:color w:val="1E3A8A"/>
                <w:sz w:val="14"/>
              </w:rPr>
              <w:t xml:space="preserve">KPIs de Negocio: </w:t>
            </w:r>
            <w:r>
              <w:rPr>
                <w:rFonts w:ascii="IBM Plex Sans" w:hAnsi="IBM Plex Sans"/>
                <w:color w:val="1F2937"/>
                <w:sz w:val="13"/>
              </w:rPr>
              <w:t>• % de estaciones disponibles (&gt;95% en horas pico).</w:t>
              <w:br/>
              <w:t>• Tiempo promedio de estación vacía/saturada (&lt;20 min).</w:t>
              <w:br/>
              <w:t>• Eficiencia de rebalanceo (bicis movidas por km recorrido de furgoneta).</w:t>
            </w:r>
          </w:p>
          <w:p>
            <w:pPr>
              <w:spacing w:before="40" w:after="40" w:line="252" w:lineRule="auto"/>
            </w:pPr>
            <w:r>
              <w:rPr>
                <w:rFonts w:ascii="IBM Plex Sans" w:hAnsi="IBM Plex Sans"/>
                <w:b/>
                <w:color w:val="1E3A8A"/>
                <w:sz w:val="14"/>
              </w:rPr>
              <w:t xml:space="preserve">Frecuencia de Revisión: </w:t>
            </w:r>
            <w:r>
              <w:rPr>
                <w:rFonts w:ascii="IBM Plex Sans" w:hAnsi="IBM Plex Sans"/>
                <w:color w:val="1F2937"/>
                <w:sz w:val="13"/>
              </w:rPr>
              <w:t>• Monitoreo continuo con alertas automáticas (Slack/PagerDuty si degradación &gt; 20% en 3 días) y reporte ejecutivo mensual a AMIM.</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24000" cy="324000"/>
                          </a:xfrm>
                          <a:prstGeom prst="rect"/>
                          <a:ln/>
                        </pic:spPr>
                      </pic:pic>
                    </a:graphicData>
                  </a:graphic>
                </wp:anchor>
              </w:drawing>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22" Type="http://schemas.openxmlformats.org/officeDocument/2006/relationships/hyperlink" Target="https://www.ownml.co/" TargetMode="External"/><Relationship Id="rId10" Type="http://schemas.openxmlformats.org/officeDocument/2006/relationships/image" Target="media/image1.png"/><Relationship Id="rId21" Type="http://schemas.openxmlformats.org/officeDocument/2006/relationships/hyperlink" Target="https://creativecommons.org/licenses/by-sa/4.0/" TargetMode="External"/><Relationship Id="rId13" Type="http://schemas.openxmlformats.org/officeDocument/2006/relationships/image" Target="media/image3.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12.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5.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