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color w:val="1A3C6D"/>
          <w:sz w:val="84"/>
        </w:rPr>
        <w:t>松颂宠食</w:t>
      </w:r>
    </w:p>
    <w:p>
      <w:pPr>
        <w:spacing w:before="240"/>
        <w:jc w:val="center"/>
      </w:pPr>
      <w:r>
        <w:rPr>
          <w:rFonts w:ascii="微软雅黑" w:hAnsi="微软雅黑" w:eastAsia="微软雅黑"/>
          <w:color w:val="555555"/>
          <w:sz w:val="36"/>
        </w:rPr>
        <w:t>——自然甄选，颂扬生命本真</w:t>
      </w:r>
    </w:p>
    <w:p/>
    <w:p/>
    <w:p>
      <w:pPr>
        <w:jc w:val="center"/>
      </w:pPr>
      <w:r>
        <w:rPr>
          <w:rFonts w:ascii="微软雅黑" w:hAnsi="微软雅黑" w:eastAsia="微软雅黑"/>
          <w:sz w:val="26"/>
        </w:rPr>
        <w:t>融资阶段：种子轮</w:t>
      </w:r>
    </w:p>
    <w:p>
      <w:pPr>
        <w:jc w:val="center"/>
      </w:pPr>
      <w:r>
        <w:rPr>
          <w:rFonts w:ascii="微软雅黑" w:hAnsi="微软雅黑" w:eastAsia="微软雅黑"/>
          <w:sz w:val="26"/>
        </w:rPr>
        <w:t>计划时间：2026年6月</w:t>
      </w:r>
    </w:p>
    <w:p/>
    <w:p>
      <w:pPr>
        <w:jc w:val="center"/>
      </w:pPr>
      <w:r>
        <w:rPr>
          <w:rFonts w:ascii="微软雅黑" w:hAnsi="微软雅黑" w:eastAsia="微软雅黑"/>
          <w:sz w:val="26"/>
        </w:rPr>
        <w:t>松颂宠食团队</w:t>
      </w:r>
    </w:p>
    <w:p>
      <w:r>
        <w:br w:type="page"/>
      </w:r>
    </w:p>
    <w:p>
      <w:pPr>
        <w:spacing w:after="480"/>
        <w:jc w:val="center"/>
      </w:pPr>
      <w:r>
        <w:rPr>
          <w:rFonts w:ascii="微软雅黑" w:hAnsi="微软雅黑" w:eastAsia="微软雅黑"/>
          <w:b/>
          <w:sz w:val="52"/>
        </w:rPr>
        <w:t>目  录</w:t>
      </w:r>
    </w:p>
    <w:p>
      <w:pPr>
        <w:spacing w:after="200"/>
        <w:ind w:left="1134"/>
      </w:pPr>
      <w:r>
        <w:rPr>
          <w:rFonts w:ascii="微软雅黑" w:hAnsi="微软雅黑" w:eastAsia="微软雅黑"/>
          <w:sz w:val="28"/>
        </w:rPr>
        <w:t>1. 执行摘要</w:t>
      </w:r>
    </w:p>
    <w:p>
      <w:pPr>
        <w:spacing w:after="200"/>
        <w:ind w:left="1134"/>
      </w:pPr>
      <w:r>
        <w:rPr>
          <w:rFonts w:ascii="微软雅黑" w:hAnsi="微软雅黑" w:eastAsia="微软雅黑"/>
          <w:sz w:val="28"/>
        </w:rPr>
        <w:t>2. 行业分析</w:t>
      </w:r>
    </w:p>
    <w:p>
      <w:pPr>
        <w:spacing w:after="200"/>
        <w:ind w:left="1134"/>
      </w:pPr>
      <w:r>
        <w:rPr>
          <w:rFonts w:ascii="微软雅黑" w:hAnsi="微软雅黑" w:eastAsia="微软雅黑"/>
          <w:sz w:val="28"/>
        </w:rPr>
        <w:t>3. 痛点与解决方案</w:t>
      </w:r>
    </w:p>
    <w:p>
      <w:pPr>
        <w:spacing w:after="200"/>
        <w:ind w:left="1134"/>
      </w:pPr>
      <w:r>
        <w:rPr>
          <w:rFonts w:ascii="微软雅黑" w:hAnsi="微软雅黑" w:eastAsia="微软雅黑"/>
          <w:sz w:val="28"/>
        </w:rPr>
        <w:t>4. 产品与核心竞争力</w:t>
      </w:r>
    </w:p>
    <w:p>
      <w:pPr>
        <w:spacing w:after="200"/>
        <w:ind w:left="1134"/>
      </w:pPr>
      <w:r>
        <w:rPr>
          <w:rFonts w:ascii="微软雅黑" w:hAnsi="微软雅黑" w:eastAsia="微软雅黑"/>
          <w:sz w:val="28"/>
        </w:rPr>
        <w:t>5. 商业模式（OEM代工模式）</w:t>
      </w:r>
    </w:p>
    <w:p>
      <w:pPr>
        <w:spacing w:after="200"/>
        <w:ind w:left="1134"/>
      </w:pPr>
      <w:r>
        <w:rPr>
          <w:rFonts w:ascii="微软雅黑" w:hAnsi="微软雅黑" w:eastAsia="微软雅黑"/>
          <w:sz w:val="28"/>
        </w:rPr>
        <w:t>6. 市场定位与目标客群</w:t>
      </w:r>
    </w:p>
    <w:p>
      <w:pPr>
        <w:spacing w:after="200"/>
        <w:ind w:left="1134"/>
      </w:pPr>
      <w:r>
        <w:rPr>
          <w:rFonts w:ascii="微软雅黑" w:hAnsi="微软雅黑" w:eastAsia="微软雅黑"/>
          <w:sz w:val="28"/>
        </w:rPr>
        <w:t>7. 产品分析</w:t>
      </w:r>
    </w:p>
    <w:p>
      <w:pPr>
        <w:spacing w:after="200"/>
        <w:ind w:left="1134"/>
      </w:pPr>
      <w:r>
        <w:rPr>
          <w:rFonts w:ascii="微软雅黑" w:hAnsi="微软雅黑" w:eastAsia="微软雅黑"/>
          <w:sz w:val="28"/>
        </w:rPr>
        <w:t>8. 营销策略与获客计划</w:t>
      </w:r>
    </w:p>
    <w:p>
      <w:pPr>
        <w:spacing w:after="200"/>
        <w:ind w:left="1134"/>
      </w:pPr>
      <w:r>
        <w:rPr>
          <w:rFonts w:ascii="微软雅黑" w:hAnsi="微软雅黑" w:eastAsia="微软雅黑"/>
          <w:sz w:val="28"/>
        </w:rPr>
        <w:t>9. 团队介绍</w:t>
      </w:r>
    </w:p>
    <w:p>
      <w:pPr>
        <w:spacing w:after="200"/>
        <w:ind w:left="1134"/>
      </w:pPr>
      <w:r>
        <w:rPr>
          <w:rFonts w:ascii="微软雅黑" w:hAnsi="微软雅黑" w:eastAsia="微软雅黑"/>
          <w:sz w:val="28"/>
        </w:rPr>
        <w:t>10. 财务预测</w:t>
      </w:r>
    </w:p>
    <w:p>
      <w:pPr>
        <w:spacing w:after="200"/>
        <w:ind w:left="1134"/>
      </w:pPr>
      <w:r>
        <w:rPr>
          <w:rFonts w:ascii="微软雅黑" w:hAnsi="微软雅黑" w:eastAsia="微软雅黑"/>
          <w:sz w:val="28"/>
        </w:rPr>
        <w:t>11. 融资计划</w:t>
      </w:r>
    </w:p>
    <w:p>
      <w:pPr>
        <w:spacing w:after="200"/>
        <w:ind w:left="1134"/>
      </w:pPr>
      <w:r>
        <w:rPr>
          <w:rFonts w:ascii="微软雅黑" w:hAnsi="微软雅黑" w:eastAsia="微软雅黑"/>
          <w:sz w:val="28"/>
        </w:rPr>
        <w:t>12. 风险与应对方案</w:t>
      </w:r>
    </w:p>
    <w:p>
      <w:r>
        <w:br w:type="page"/>
      </w:r>
    </w:p>
    <w:p>
      <w:pPr>
        <w:pStyle w:val="Heading1"/>
      </w:pPr>
      <w:r>
        <w:rPr>
          <w:rFonts w:ascii="微软雅黑" w:hAnsi="微软雅黑" w:eastAsia="微软雅黑"/>
        </w:rPr>
        <w:t>1. 执行摘要</w:t>
      </w:r>
    </w:p>
    <w:p>
      <w:pPr>
        <w:spacing w:after="120"/>
        <w:jc w:val="left"/>
      </w:pPr>
      <w:r>
        <w:rPr>
          <w:rFonts w:ascii="微软雅黑" w:hAnsi="微软雅黑" w:eastAsia="微软雅黑"/>
          <w:b/>
          <w:sz w:val="24"/>
        </w:rPr>
        <w:t>一句话项目介绍</w:t>
      </w:r>
    </w:p>
    <w:p>
      <w:pPr>
        <w:spacing w:after="120"/>
        <w:jc w:val="left"/>
      </w:pPr>
      <w:r>
        <w:rPr>
          <w:rFonts w:ascii="微软雅黑" w:hAnsi="微软雅黑" w:eastAsia="微软雅黑"/>
          <w:b w:val="0"/>
          <w:sz w:val="22"/>
        </w:rPr>
        <w:t>松颂宠食是一个依托广西最大宠物食品代工厂——广西艾坤生物科技，以OEM极致轻资产模式启动的中高端功能性猫粮品牌。我们首期以"平价引流+三大功能利润款"组合切入市场，为90-00后都市白领养宠人群提供配方透明、功效可感、质价比优越的专业喂养方案。</w:t>
      </w:r>
    </w:p>
    <w:p>
      <w:pPr>
        <w:spacing w:after="120"/>
        <w:jc w:val="left"/>
      </w:pPr>
      <w:r>
        <w:rPr>
          <w:rFonts w:ascii="微软雅黑" w:hAnsi="微软雅黑" w:eastAsia="微软雅黑"/>
          <w:b/>
          <w:sz w:val="24"/>
        </w:rPr>
        <w:t>市场机会</w:t>
      </w:r>
    </w:p>
    <w:p>
      <w:pPr>
        <w:spacing w:after="120"/>
        <w:jc w:val="left"/>
      </w:pPr>
      <w:r>
        <w:rPr>
          <w:rFonts w:ascii="微软雅黑" w:hAnsi="微软雅黑" w:eastAsia="微软雅黑"/>
          <w:b w:val="0"/>
          <w:sz w:val="22"/>
        </w:rPr>
        <w:t>国内宠物猫粮市场规模已超400亿元，其中定价30-60元/斤的中高端功能性赛道增速最快。90-00后养宠者已成为消费主力，他们成分意识强，拒绝为品牌溢价买单，渴望找到一款品质可比肩进口、价格却更友好的国产专业粮。这一供需断层，正是松颂宠食切入的绝佳机会。</w:t>
      </w:r>
    </w:p>
    <w:p>
      <w:pPr>
        <w:spacing w:after="120"/>
        <w:jc w:val="left"/>
      </w:pPr>
      <w:r>
        <w:rPr>
          <w:rFonts w:ascii="微软雅黑" w:hAnsi="微软雅黑" w:eastAsia="微软雅黑"/>
          <w:b/>
          <w:sz w:val="24"/>
        </w:rPr>
        <w:t>核心差异化</w:t>
      </w:r>
    </w:p>
    <w:p>
      <w:pPr>
        <w:spacing w:after="120"/>
        <w:jc w:val="left"/>
      </w:pPr>
      <w:r>
        <w:rPr>
          <w:rFonts w:ascii="微软雅黑" w:hAnsi="微软雅黑" w:eastAsia="微软雅黑"/>
          <w:b w:val="0"/>
          <w:sz w:val="22"/>
        </w:rPr>
        <w:t>我们的核心竞争力在于"大厂品质背书+黄金价格带卡位+完全透明的产品主义"。依托艾坤生物科技的先进产线，我们将成本优势转化为质价比，锚定30-40元/斤核心价格带，并建立"一物一码，批批溯源"的信任体系，为新一代养宠者提供毫无决策负担的高品质选择。</w:t>
      </w:r>
    </w:p>
    <w:p>
      <w:pPr>
        <w:spacing w:after="120"/>
        <w:jc w:val="left"/>
      </w:pPr>
      <w:r>
        <w:rPr>
          <w:rFonts w:ascii="微软雅黑" w:hAnsi="微软雅黑" w:eastAsia="微软雅黑"/>
          <w:b/>
          <w:sz w:val="24"/>
        </w:rPr>
        <w:t>融资需求（双方案）</w:t>
      </w:r>
    </w:p>
    <w:p>
      <w:pPr>
        <w:spacing w:after="120"/>
        <w:jc w:val="left"/>
      </w:pPr>
      <w:r>
        <w:rPr>
          <w:rFonts w:ascii="微软雅黑" w:hAnsi="微软雅黑" w:eastAsia="微软雅黑"/>
          <w:b w:val="0"/>
          <w:sz w:val="22"/>
        </w:rPr>
        <w:t>本轮为种子轮融资，我们提供两种启动方案供投资人选择：</w:t>
      </w:r>
    </w:p>
    <w:p>
      <w:pPr>
        <w:pStyle w:val="ListBullet"/>
        <w:spacing w:after="60"/>
      </w:pPr>
      <w:r>
        <w:rPr>
          <w:rFonts w:ascii="微软雅黑" w:hAnsi="微软雅黑" w:eastAsia="微软雅黑"/>
          <w:b/>
          <w:sz w:val="21"/>
        </w:rPr>
        <w:t>方案A：</w:t>
      </w:r>
      <w:r>
        <w:rPr>
          <w:rFonts w:ascii="微软雅黑" w:hAnsi="微软雅黑" w:eastAsia="微软雅黑"/>
          <w:sz w:val="21"/>
        </w:rPr>
        <w:t>方案A（极致精益验证）：融资30万元，稀释15%股权。目标：12个月内跑通首批用户验证与私域复购闭环。</w:t>
      </w:r>
    </w:p>
    <w:p>
      <w:pPr>
        <w:pStyle w:val="ListBullet"/>
        <w:spacing w:after="60"/>
      </w:pPr>
      <w:r>
        <w:rPr>
          <w:rFonts w:ascii="微软雅黑" w:hAnsi="微软雅黑" w:eastAsia="微软雅黑"/>
          <w:b/>
          <w:sz w:val="21"/>
        </w:rPr>
        <w:t>方案B：</w:t>
      </w:r>
      <w:r>
        <w:rPr>
          <w:rFonts w:ascii="微软雅黑" w:hAnsi="微软雅黑" w:eastAsia="微软雅黑"/>
          <w:sz w:val="21"/>
        </w:rPr>
        <w:t>方案B（小步快跑验证）：融资50万元，稀释20%股权。目标：同期完成品牌基础建设，同步上线电商平台，并留足营销试错空间。</w:t>
      </w:r>
    </w:p>
    <w:p>
      <w:pPr>
        <w:spacing w:after="120"/>
        <w:jc w:val="left"/>
      </w:pPr>
      <w:r>
        <w:rPr>
          <w:rFonts w:ascii="微软雅黑" w:hAnsi="微软雅黑" w:eastAsia="微软雅黑"/>
          <w:b w:val="0"/>
          <w:sz w:val="22"/>
        </w:rPr>
        <w:t>（最终估值与稀释比例可在深入沟通后协商确认，股权出让区间为15%-40%。）</w:t>
      </w:r>
    </w:p>
    <w:p>
      <w:pPr>
        <w:spacing w:after="120"/>
        <w:jc w:val="left"/>
      </w:pPr>
      <w:r>
        <w:rPr>
          <w:rFonts w:ascii="微软雅黑" w:hAnsi="微软雅黑" w:eastAsia="微软雅黑"/>
          <w:b/>
          <w:sz w:val="24"/>
        </w:rPr>
        <w:t>资金用途与预期收益</w:t>
      </w:r>
    </w:p>
    <w:p>
      <w:pPr>
        <w:pStyle w:val="ListBullet"/>
        <w:spacing w:after="60"/>
      </w:pPr>
      <w:r>
        <w:rPr>
          <w:rFonts w:ascii="微软雅黑" w:hAnsi="微软雅黑" w:eastAsia="微软雅黑"/>
          <w:sz w:val="21"/>
        </w:rPr>
        <w:t>产品打样备货、种子用户获客、创始人半年薪酬（约4000元/人/月）。</w:t>
      </w:r>
    </w:p>
    <w:p>
      <w:pPr>
        <w:pStyle w:val="ListBullet"/>
        <w:spacing w:after="60"/>
      </w:pPr>
      <w:r>
        <w:rPr>
          <w:rFonts w:ascii="微软雅黑" w:hAnsi="微软雅黑" w:eastAsia="微软雅黑"/>
          <w:sz w:val="21"/>
        </w:rPr>
        <w:t>方案B有更多预算用于电商入驻、品牌视觉升级及营销内容测试。</w:t>
      </w:r>
    </w:p>
    <w:p>
      <w:pPr>
        <w:pStyle w:val="ListBullet"/>
        <w:spacing w:after="60"/>
      </w:pPr>
      <w:r>
        <w:rPr>
          <w:rFonts w:ascii="微软雅黑" w:hAnsi="微软雅黑" w:eastAsia="微软雅黑"/>
          <w:sz w:val="21"/>
        </w:rPr>
        <w:t>预计12个月内，方案A/方案B将分别积累300/500名高价值种子用户，达成单月5-8万元/8-12万元营收，并验证出&gt;20%的核心复购率，为下一轮融资提供坚实数据。</w:t>
      </w:r>
    </w:p>
    <w:p>
      <w:r>
        <w:br w:type="page"/>
      </w:r>
    </w:p>
    <w:p>
      <w:pPr>
        <w:pStyle w:val="Heading1"/>
      </w:pPr>
      <w:r>
        <w:rPr>
          <w:rFonts w:ascii="微软雅黑" w:hAnsi="微软雅黑" w:eastAsia="微软雅黑"/>
        </w:rPr>
        <w:t>2. 行业分析</w:t>
      </w:r>
    </w:p>
    <w:p>
      <w:pPr>
        <w:spacing w:after="120"/>
        <w:jc w:val="left"/>
      </w:pPr>
      <w:r>
        <w:rPr>
          <w:rFonts w:ascii="微软雅黑" w:hAnsi="微软雅黑" w:eastAsia="微软雅黑"/>
          <w:b/>
          <w:sz w:val="24"/>
        </w:rPr>
        <w:t>国内宠物猫粮市场规模、增速与渗透率</w:t>
      </w:r>
    </w:p>
    <w:p>
      <w:pPr>
        <w:spacing w:after="120"/>
        <w:jc w:val="left"/>
      </w:pPr>
      <w:r>
        <w:rPr>
          <w:rFonts w:ascii="微软雅黑" w:hAnsi="微软雅黑" w:eastAsia="微软雅黑"/>
          <w:b w:val="0"/>
          <w:sz w:val="22"/>
        </w:rPr>
        <w:t>据《中国宠物行业白皮书》，国内猫粮市场2023年规模约400亿元，未来五年将保持15%以上年均复合增长。相较成熟市场，我国专业干粮渗透率仍有极大提升空间，消费升级是核心驱动力。</w:t>
      </w:r>
    </w:p>
    <w:p>
      <w:pPr>
        <w:spacing w:after="120"/>
        <w:jc w:val="left"/>
      </w:pPr>
      <w:r>
        <w:rPr>
          <w:rFonts w:ascii="微软雅黑" w:hAnsi="微软雅黑" w:eastAsia="微软雅黑"/>
          <w:b/>
          <w:sz w:val="24"/>
        </w:rPr>
        <w:t>中高端猫粮现状与30-40元价格带机会</w:t>
      </w:r>
    </w:p>
    <w:p>
      <w:pPr>
        <w:spacing w:after="120"/>
        <w:jc w:val="left"/>
      </w:pPr>
      <w:r>
        <w:rPr>
          <w:rFonts w:ascii="微软雅黑" w:hAnsi="微软雅黑" w:eastAsia="微软雅黑"/>
          <w:b w:val="0"/>
          <w:sz w:val="22"/>
        </w:rPr>
        <w:t>30-60元/斤已成为增长最快的中高端主战场。30-40元/斤区间尤为关键，它是国产新锐品牌证明产品力、承接消费升级需求的"黄金窗口带"。此区间内，进口品牌受供应链所困，多品牌代工的低质高价产品正被加速淘汰，而真正用料扎实、透明度高的品牌，正迎来结构性替代机会。</w:t>
      </w:r>
    </w:p>
    <w:p>
      <w:pPr>
        <w:spacing w:after="120"/>
        <w:jc w:val="left"/>
      </w:pPr>
      <w:r>
        <w:rPr>
          <w:rFonts w:ascii="微软雅黑" w:hAnsi="微软雅黑" w:eastAsia="微软雅黑"/>
          <w:b/>
          <w:sz w:val="24"/>
        </w:rPr>
        <w:t>功能性猫粮赛道趋势</w:t>
      </w:r>
    </w:p>
    <w:p>
      <w:pPr>
        <w:spacing w:after="120"/>
        <w:jc w:val="left"/>
      </w:pPr>
      <w:r>
        <w:rPr>
          <w:rFonts w:ascii="微软雅黑" w:hAnsi="微软雅黑" w:eastAsia="微软雅黑"/>
          <w:b w:val="0"/>
          <w:sz w:val="22"/>
        </w:rPr>
        <w:t>"肠胃养护"、"美毛护肤"是猫咪日常养护的最刚需。赛道正从"概念添加"向"精准营养"迭代。我们将推出添加特定菌株的"肠胃款"和富含Omega-3的"美毛款"，直击用户痛点。</w:t>
      </w:r>
    </w:p>
    <w:p>
      <w:pPr>
        <w:spacing w:after="120"/>
        <w:jc w:val="left"/>
      </w:pPr>
      <w:r>
        <w:rPr>
          <w:rFonts w:ascii="微软雅黑" w:hAnsi="微软雅黑" w:eastAsia="微软雅黑"/>
          <w:b/>
          <w:sz w:val="24"/>
        </w:rPr>
        <w:t>OEM代工模式可行性分析（依托艾坤生物科技）</w:t>
      </w:r>
    </w:p>
    <w:p>
      <w:pPr>
        <w:spacing w:after="120"/>
        <w:jc w:val="left"/>
      </w:pPr>
      <w:r>
        <w:rPr>
          <w:rFonts w:ascii="微软雅黑" w:hAnsi="微软雅黑" w:eastAsia="微软雅黑"/>
          <w:b w:val="0"/>
          <w:sz w:val="22"/>
        </w:rPr>
        <w:t>广西艾坤生物科技作为广西最大的宠物食品代工厂，其技术标准、产能及正规化程度为品牌提供了坚实起点。合作具有以下优势：</w:t>
      </w:r>
    </w:p>
    <w:p>
      <w:pPr>
        <w:pStyle w:val="ListBullet"/>
        <w:spacing w:after="60"/>
      </w:pPr>
      <w:r>
        <w:rPr>
          <w:rFonts w:ascii="微软雅黑" w:hAnsi="微软雅黑" w:eastAsia="微软雅黑"/>
          <w:b/>
          <w:sz w:val="21"/>
        </w:rPr>
        <w:t>地理与沟通便捷性：</w:t>
      </w:r>
      <w:r>
        <w:rPr>
          <w:rFonts w:ascii="微软雅黑" w:hAnsi="微软雅黑" w:eastAsia="微软雅黑"/>
          <w:sz w:val="21"/>
        </w:rPr>
        <w:t>便于我方团队近距离驻场，实现深度品控。</w:t>
      </w:r>
    </w:p>
    <w:p>
      <w:pPr>
        <w:pStyle w:val="ListBullet"/>
        <w:spacing w:after="60"/>
      </w:pPr>
      <w:r>
        <w:rPr>
          <w:rFonts w:ascii="微软雅黑" w:hAnsi="微软雅黑" w:eastAsia="微软雅黑"/>
          <w:b/>
          <w:sz w:val="21"/>
        </w:rPr>
        <w:t>品质背书：</w:t>
      </w:r>
      <w:r>
        <w:rPr>
          <w:rFonts w:ascii="微软雅黑" w:hAnsi="微软雅黑" w:eastAsia="微软雅黑"/>
          <w:sz w:val="21"/>
        </w:rPr>
        <w:t>可向市场传递"与大厂共线生产"的信任状。</w:t>
      </w:r>
    </w:p>
    <w:p>
      <w:pPr>
        <w:pStyle w:val="ListBullet"/>
        <w:spacing w:after="60"/>
      </w:pPr>
      <w:r>
        <w:rPr>
          <w:rFonts w:ascii="微软雅黑" w:hAnsi="微软雅黑" w:eastAsia="微软雅黑"/>
          <w:b/>
          <w:sz w:val="21"/>
        </w:rPr>
        <w:t>柔性合作潜力：</w:t>
      </w:r>
      <w:r>
        <w:rPr>
          <w:rFonts w:ascii="微软雅黑" w:hAnsi="微软雅黑" w:eastAsia="微软雅黑"/>
          <w:sz w:val="21"/>
        </w:rPr>
        <w:t>相比山东河北产业集群的成熟大厂，区域内领先工厂更有可能为新品牌提供初期所需的柔性定制与配合度。</w:t>
      </w:r>
    </w:p>
    <w:p>
      <w:r>
        <w:br w:type="page"/>
      </w:r>
    </w:p>
    <w:p>
      <w:pPr>
        <w:pStyle w:val="Heading1"/>
      </w:pPr>
      <w:r>
        <w:rPr>
          <w:rFonts w:ascii="微软雅黑" w:hAnsi="微软雅黑" w:eastAsia="微软雅黑"/>
        </w:rPr>
        <w:t>3. 痛点与解决方案</w:t>
      </w:r>
    </w:p>
    <w:tbl>
      <w:tblPr>
        <w:tblStyle w:val="LightGrid-Accent1"/>
        <w:tblW w:type="auto" w:w="0"/>
        <w:jc w:val="center"/>
        <w:tblLook w:firstColumn="1" w:firstRow="1" w:lastColumn="0" w:lastRow="0" w:noHBand="0" w:noVBand="1" w:val="04A0"/>
      </w:tblPr>
      <w:tblGrid>
        <w:gridCol w:w="4533"/>
        <w:gridCol w:w="4533"/>
      </w:tblGrid>
      <w:tr>
        <w:tc>
          <w:tcPr>
            <w:tcW w:type="dxa" w:w="4533"/>
          </w:tcPr>
          <w:p>
            <w:pPr>
              <w:jc w:val="center"/>
            </w:pPr>
            <w:r/>
            <w:r>
              <w:rPr>
                <w:rFonts w:ascii="微软雅黑" w:hAnsi="微软雅黑" w:eastAsia="微软雅黑"/>
                <w:b/>
                <w:sz w:val="22"/>
              </w:rPr>
              <w:t>市场痛点</w:t>
            </w:r>
          </w:p>
        </w:tc>
        <w:tc>
          <w:tcPr>
            <w:tcW w:type="dxa" w:w="4533"/>
          </w:tcPr>
          <w:p>
            <w:pPr>
              <w:jc w:val="center"/>
            </w:pPr>
            <w:r/>
            <w:r>
              <w:rPr>
                <w:rFonts w:ascii="微软雅黑" w:hAnsi="微软雅黑" w:eastAsia="微软雅黑"/>
                <w:b/>
                <w:sz w:val="22"/>
              </w:rPr>
              <w:t>松颂宠食的解决方案</w:t>
            </w:r>
          </w:p>
        </w:tc>
      </w:tr>
      <w:tr>
        <w:tc>
          <w:tcPr>
            <w:tcW w:type="dxa" w:w="4533"/>
          </w:tcPr>
          <w:p>
            <w:pPr>
              <w:jc w:val="left"/>
            </w:pPr>
            <w:r/>
            <w:r>
              <w:rPr>
                <w:rFonts w:ascii="微软雅黑" w:hAnsi="微软雅黑" w:eastAsia="微软雅黑"/>
                <w:b w:val="0"/>
                <w:sz w:val="20"/>
              </w:rPr>
              <w:t>配方不透明：</w:t>
              <w:br/>
              <w:t>功能性成分概念添加，剂量不足，无实际功效。</w:t>
            </w:r>
          </w:p>
        </w:tc>
        <w:tc>
          <w:tcPr>
            <w:tcW w:type="dxa" w:w="4533"/>
          </w:tcPr>
          <w:p>
            <w:pPr>
              <w:jc w:val="left"/>
            </w:pPr>
            <w:r/>
            <w:r>
              <w:rPr>
                <w:rFonts w:ascii="微软雅黑" w:hAnsi="微软雅黑" w:eastAsia="微软雅黑"/>
                <w:b w:val="0"/>
                <w:sz w:val="20"/>
              </w:rPr>
              <w:t>聚焦有效添加：</w:t>
              <w:br/>
              <w:t>肠胃款明确标注布拉迪酵母等菌株号及添加量；全系产品实现"一物一码"，扫码可看SGS等第三方全项检测报告，让功效看得见。</w:t>
            </w:r>
          </w:p>
        </w:tc>
      </w:tr>
      <w:tr>
        <w:tc>
          <w:tcPr>
            <w:tcW w:type="dxa" w:w="4533"/>
          </w:tcPr>
          <w:p>
            <w:pPr>
              <w:jc w:val="left"/>
            </w:pPr>
            <w:r/>
            <w:r>
              <w:rPr>
                <w:rFonts w:ascii="微软雅黑" w:hAnsi="微软雅黑" w:eastAsia="微软雅黑"/>
                <w:b w:val="0"/>
                <w:sz w:val="20"/>
              </w:rPr>
              <w:t>性价比失衡：</w:t>
              <w:br/>
              <w:t>品质稍好的国产粮定价直逼进口，而30元/斤以下市场又充斥低质产品。</w:t>
            </w:r>
          </w:p>
        </w:tc>
        <w:tc>
          <w:tcPr>
            <w:tcW w:type="dxa" w:w="4533"/>
          </w:tcPr>
          <w:p>
            <w:pPr>
              <w:jc w:val="left"/>
            </w:pPr>
            <w:r/>
            <w:r>
              <w:rPr>
                <w:rFonts w:ascii="微软雅黑" w:hAnsi="微软雅黑" w:eastAsia="微软雅黑"/>
                <w:b w:val="0"/>
                <w:sz w:val="20"/>
              </w:rPr>
              <w:t>锚定30-40元黄金价格带：</w:t>
              <w:br/>
              <w:t>依托艾坤大厂成熟供应链的成本效率，将预算精准投入原料端，砍掉多余的品牌溢价，做出极具冲击力的质价比。</w:t>
            </w:r>
          </w:p>
        </w:tc>
      </w:tr>
      <w:tr>
        <w:tc>
          <w:tcPr>
            <w:tcW w:type="dxa" w:w="4533"/>
          </w:tcPr>
          <w:p>
            <w:pPr>
              <w:jc w:val="left"/>
            </w:pPr>
            <w:r/>
            <w:r>
              <w:rPr>
                <w:rFonts w:ascii="微软雅黑" w:hAnsi="微软雅黑" w:eastAsia="微软雅黑"/>
                <w:b w:val="0"/>
                <w:sz w:val="20"/>
              </w:rPr>
              <w:t>功能与价格难两全：</w:t>
              <w:br/>
              <w:t>肠胃、美毛等功能粮常是高端款的专属，价格普遍在50元/斤以上，让年轻用户望而却步。</w:t>
            </w:r>
          </w:p>
        </w:tc>
        <w:tc>
          <w:tcPr>
            <w:tcW w:type="dxa" w:w="4533"/>
          </w:tcPr>
          <w:p>
            <w:pPr>
              <w:jc w:val="left"/>
            </w:pPr>
            <w:r/>
            <w:r>
              <w:rPr>
                <w:rFonts w:ascii="微软雅黑" w:hAnsi="微软雅黑" w:eastAsia="微软雅黑"/>
                <w:b w:val="0"/>
                <w:sz w:val="20"/>
              </w:rPr>
              <w:t>功能普惠，精准覆盖：</w:t>
              <w:br/>
              <w:t>设置专款专用的"肠胃款"与"美毛款"利润产品，将价格带精准卡在35-40元/斤，让功能性喂养不再是高消费。</w:t>
            </w:r>
          </w:p>
        </w:tc>
      </w:tr>
      <w:tr>
        <w:tc>
          <w:tcPr>
            <w:tcW w:type="dxa" w:w="4533"/>
          </w:tcPr>
          <w:p>
            <w:pPr>
              <w:jc w:val="left"/>
            </w:pPr>
            <w:r/>
            <w:r>
              <w:rPr>
                <w:rFonts w:ascii="微软雅黑" w:hAnsi="微软雅黑" w:eastAsia="微软雅黑"/>
                <w:b w:val="0"/>
                <w:sz w:val="20"/>
              </w:rPr>
              <w:t>新品牌缺乏信任。</w:t>
            </w:r>
          </w:p>
        </w:tc>
        <w:tc>
          <w:tcPr>
            <w:tcW w:type="dxa" w:w="4533"/>
          </w:tcPr>
          <w:p>
            <w:pPr>
              <w:jc w:val="left"/>
            </w:pPr>
            <w:r/>
            <w:r>
              <w:rPr>
                <w:rFonts w:ascii="微软雅黑" w:hAnsi="微软雅黑" w:eastAsia="微软雅黑"/>
                <w:b w:val="0"/>
                <w:sz w:val="20"/>
              </w:rPr>
              <w:t>"大厂品质+透明工厂"双重背书：</w:t>
              <w:br/>
              <w:t>借力广西艾坤的产业名片，通过创始人驻厂Vlog、工厂直播等形式，将生产全程对用户"透明可见"，快速建立初始信任。</w:t>
            </w:r>
          </w:p>
        </w:tc>
      </w:tr>
    </w:tbl>
    <w:p>
      <w:r>
        <w:br w:type="page"/>
      </w:r>
    </w:p>
    <w:p>
      <w:pPr>
        <w:pStyle w:val="Heading1"/>
      </w:pPr>
      <w:r>
        <w:rPr>
          <w:rFonts w:ascii="微软雅黑" w:hAnsi="微软雅黑" w:eastAsia="微软雅黑"/>
        </w:rPr>
        <w:t>4. 产品与核心竞争力</w:t>
      </w:r>
    </w:p>
    <w:p>
      <w:pPr>
        <w:spacing w:after="120"/>
        <w:jc w:val="left"/>
      </w:pPr>
      <w:r>
        <w:rPr>
          <w:rFonts w:ascii="微软雅黑" w:hAnsi="微软雅黑" w:eastAsia="微软雅黑"/>
          <w:b/>
          <w:sz w:val="24"/>
        </w:rPr>
        <w:t>功能定位、配方理念与原料标准</w:t>
      </w:r>
    </w:p>
    <w:p>
      <w:pPr>
        <w:spacing w:after="120"/>
        <w:jc w:val="left"/>
      </w:pPr>
      <w:r>
        <w:rPr>
          <w:rFonts w:ascii="微软雅黑" w:hAnsi="微软雅黑" w:eastAsia="微软雅黑"/>
          <w:b w:val="0"/>
          <w:sz w:val="22"/>
        </w:rPr>
        <w:t>我们遵循"自然·本源·精准"的配方哲学。</w:t>
      </w:r>
    </w:p>
    <w:p>
      <w:pPr>
        <w:pStyle w:val="ListBullet"/>
        <w:spacing w:after="60"/>
      </w:pPr>
      <w:r>
        <w:rPr>
          <w:rFonts w:ascii="微软雅黑" w:hAnsi="微软雅黑" w:eastAsia="微软雅黑"/>
          <w:b/>
          <w:sz w:val="21"/>
        </w:rPr>
        <w:t>配方理念：</w:t>
      </w:r>
      <w:r>
        <w:rPr>
          <w:rFonts w:ascii="微软雅黑" w:hAnsi="微软雅黑" w:eastAsia="微软雅黑"/>
          <w:sz w:val="21"/>
        </w:rPr>
        <w:t>不堆砌原料，采用优质动物蛋白为第一成分，针对不同功能需求，精准配伍功能性成分。</w:t>
      </w:r>
    </w:p>
    <w:p>
      <w:pPr>
        <w:pStyle w:val="ListBullet"/>
        <w:spacing w:after="60"/>
      </w:pPr>
      <w:r>
        <w:rPr>
          <w:rFonts w:ascii="微软雅黑" w:hAnsi="微软雅黑" w:eastAsia="微软雅黑"/>
          <w:b/>
          <w:sz w:val="21"/>
        </w:rPr>
        <w:t>原料标准：</w:t>
      </w:r>
      <w:r>
        <w:rPr>
          <w:rFonts w:ascii="微软雅黑" w:hAnsi="微软雅黑" w:eastAsia="微软雅黑"/>
          <w:sz w:val="21"/>
        </w:rPr>
        <w:t>承诺全线产品无化学诱食剂、无人工色素、无4D肉。核心肉源优先选择资质齐全、可溯源的大型屠宰企业。</w:t>
      </w:r>
    </w:p>
    <w:p>
      <w:pPr>
        <w:spacing w:after="120"/>
        <w:jc w:val="left"/>
      </w:pPr>
      <w:r>
        <w:rPr>
          <w:rFonts w:ascii="微软雅黑" w:hAnsi="微软雅黑" w:eastAsia="微软雅黑"/>
          <w:b/>
          <w:sz w:val="24"/>
        </w:rPr>
        <w:t>核心竞争力（松颂的护城河）</w:t>
      </w:r>
    </w:p>
    <w:tbl>
      <w:tblPr>
        <w:tblStyle w:val="LightGrid-Accent1"/>
        <w:tblW w:type="auto" w:w="0"/>
        <w:jc w:val="center"/>
        <w:tblLook w:firstColumn="1" w:firstRow="1" w:lastColumn="0" w:lastRow="0" w:noHBand="0" w:noVBand="1" w:val="04A0"/>
      </w:tblPr>
      <w:tblGrid>
        <w:gridCol w:w="4533"/>
        <w:gridCol w:w="4533"/>
      </w:tblGrid>
      <w:tr>
        <w:tc>
          <w:tcPr>
            <w:tcW w:type="dxa" w:w="4533"/>
          </w:tcPr>
          <w:p>
            <w:pPr>
              <w:jc w:val="center"/>
            </w:pPr>
            <w:r/>
            <w:r>
              <w:rPr>
                <w:rFonts w:ascii="微软雅黑" w:hAnsi="微软雅黑" w:eastAsia="微软雅黑"/>
                <w:b/>
                <w:sz w:val="22"/>
              </w:rPr>
              <w:t>竞争力</w:t>
            </w:r>
          </w:p>
        </w:tc>
        <w:tc>
          <w:tcPr>
            <w:tcW w:type="dxa" w:w="4533"/>
          </w:tcPr>
          <w:p>
            <w:pPr>
              <w:jc w:val="center"/>
            </w:pPr>
            <w:r/>
            <w:r>
              <w:rPr>
                <w:rFonts w:ascii="微软雅黑" w:hAnsi="微软雅黑" w:eastAsia="微软雅黑"/>
                <w:b/>
                <w:sz w:val="22"/>
              </w:rPr>
              <w:t>说明</w:t>
            </w:r>
          </w:p>
        </w:tc>
      </w:tr>
      <w:tr>
        <w:tc>
          <w:tcPr>
            <w:tcW w:type="dxa" w:w="4533"/>
          </w:tcPr>
          <w:p>
            <w:pPr>
              <w:jc w:val="left"/>
            </w:pPr>
            <w:r/>
            <w:r>
              <w:rPr>
                <w:rFonts w:ascii="微软雅黑" w:hAnsi="微软雅黑" w:eastAsia="微软雅黑"/>
                <w:b/>
                <w:sz w:val="20"/>
              </w:rPr>
              <w:t>产业地缘优势</w:t>
            </w:r>
          </w:p>
        </w:tc>
        <w:tc>
          <w:tcPr>
            <w:tcW w:type="dxa" w:w="4533"/>
          </w:tcPr>
          <w:p>
            <w:pPr>
              <w:jc w:val="left"/>
            </w:pPr>
            <w:r/>
            <w:r>
              <w:rPr>
                <w:rFonts w:ascii="微软雅黑" w:hAnsi="微软雅黑" w:eastAsia="微软雅黑"/>
                <w:b w:val="0"/>
                <w:sz w:val="20"/>
              </w:rPr>
              <w:t>深度绑定广西最大的宠物食品代工厂——艾坤生物科技，获得近距离沟通、柔性配合及"大厂共线"的品牌信任状。</w:t>
            </w:r>
          </w:p>
        </w:tc>
      </w:tr>
      <w:tr>
        <w:tc>
          <w:tcPr>
            <w:tcW w:type="dxa" w:w="4533"/>
          </w:tcPr>
          <w:p>
            <w:pPr>
              <w:jc w:val="left"/>
            </w:pPr>
            <w:r/>
            <w:r>
              <w:rPr>
                <w:rFonts w:ascii="微软雅黑" w:hAnsi="微软雅黑" w:eastAsia="微软雅黑"/>
                <w:b/>
                <w:sz w:val="20"/>
              </w:rPr>
              <w:t>黄金价格带卡位</w:t>
            </w:r>
          </w:p>
        </w:tc>
        <w:tc>
          <w:tcPr>
            <w:tcW w:type="dxa" w:w="4533"/>
          </w:tcPr>
          <w:p>
            <w:pPr>
              <w:jc w:val="left"/>
            </w:pPr>
            <w:r/>
            <w:r>
              <w:rPr>
                <w:rFonts w:ascii="微软雅黑" w:hAnsi="微软雅黑" w:eastAsia="微软雅黑"/>
                <w:b w:val="0"/>
                <w:sz w:val="20"/>
              </w:rPr>
              <w:t>以30-40元/斤的精准定价，卡住用户消费升级的心理门槛，形成对进口品牌（&gt;60元/斤）和低端品牌（&lt;20元/斤）的双向竞争优势。</w:t>
            </w:r>
          </w:p>
        </w:tc>
      </w:tr>
      <w:tr>
        <w:tc>
          <w:tcPr>
            <w:tcW w:type="dxa" w:w="4533"/>
          </w:tcPr>
          <w:p>
            <w:pPr>
              <w:jc w:val="left"/>
            </w:pPr>
            <w:r/>
            <w:r>
              <w:rPr>
                <w:rFonts w:ascii="微软雅黑" w:hAnsi="微软雅黑" w:eastAsia="微软雅黑"/>
                <w:b/>
                <w:sz w:val="20"/>
              </w:rPr>
              <w:t>极致透明</w:t>
            </w:r>
          </w:p>
        </w:tc>
        <w:tc>
          <w:tcPr>
            <w:tcW w:type="dxa" w:w="4533"/>
          </w:tcPr>
          <w:p>
            <w:pPr>
              <w:jc w:val="left"/>
            </w:pPr>
            <w:r/>
            <w:r>
              <w:rPr>
                <w:rFonts w:ascii="微软雅黑" w:hAnsi="微软雅黑" w:eastAsia="微软雅黑"/>
                <w:b w:val="0"/>
                <w:sz w:val="20"/>
              </w:rPr>
              <w:t>从原料入库到成品出厂，关键环节实施"一物一码"溯源，用户扫码可见检测报告，这是赢得90-00后"成分党"信任的核心武器。</w:t>
            </w:r>
          </w:p>
        </w:tc>
      </w:tr>
      <w:tr>
        <w:tc>
          <w:tcPr>
            <w:tcW w:type="dxa" w:w="4533"/>
          </w:tcPr>
          <w:p>
            <w:pPr>
              <w:jc w:val="left"/>
            </w:pPr>
            <w:r/>
            <w:r>
              <w:rPr>
                <w:rFonts w:ascii="微软雅黑" w:hAnsi="微软雅黑" w:eastAsia="微软雅黑"/>
                <w:b/>
                <w:sz w:val="20"/>
              </w:rPr>
              <w:t>团队驻场品控</w:t>
            </w:r>
          </w:p>
        </w:tc>
        <w:tc>
          <w:tcPr>
            <w:tcW w:type="dxa" w:w="4533"/>
          </w:tcPr>
          <w:p>
            <w:pPr>
              <w:jc w:val="left"/>
            </w:pPr>
            <w:r/>
            <w:r>
              <w:rPr>
                <w:rFonts w:ascii="微软雅黑" w:hAnsi="微软雅黑" w:eastAsia="微软雅黑"/>
                <w:b w:val="0"/>
                <w:sz w:val="20"/>
              </w:rPr>
              <w:t>创始团队核心成员能够便利地驻厂进行全程品控管理，确保"所想即所得"。</w:t>
            </w:r>
          </w:p>
        </w:tc>
      </w:tr>
    </w:tbl>
    <w:p>
      <w:r>
        <w:br w:type="page"/>
      </w:r>
    </w:p>
    <w:p>
      <w:pPr>
        <w:pStyle w:val="Heading1"/>
      </w:pPr>
      <w:r>
        <w:rPr>
          <w:rFonts w:ascii="微软雅黑" w:hAnsi="微软雅黑" w:eastAsia="微软雅黑"/>
        </w:rPr>
        <w:t>5. 商业模式（OEM代工模式）</w:t>
      </w:r>
    </w:p>
    <w:p>
      <w:pPr>
        <w:spacing w:after="120"/>
        <w:jc w:val="left"/>
      </w:pPr>
      <w:r>
        <w:rPr>
          <w:rFonts w:ascii="微软雅黑" w:hAnsi="微软雅黑" w:eastAsia="微软雅黑"/>
          <w:b/>
          <w:sz w:val="24"/>
        </w:rPr>
        <w:t>供应链结构</w:t>
      </w:r>
    </w:p>
    <w:p>
      <w:pPr>
        <w:spacing w:after="120"/>
        <w:jc w:val="left"/>
      </w:pPr>
      <w:r>
        <w:rPr>
          <w:rFonts w:ascii="微软雅黑" w:hAnsi="微软雅黑" w:eastAsia="微软雅黑"/>
          <w:b w:val="0"/>
          <w:sz w:val="22"/>
        </w:rPr>
        <w:t>品牌方（松颂宠食）掌握"配方研发、原料指定、品控、品牌与销售"四大核心。生产环节全部委托战略合作方——广西艾坤生物科技完成。模式为"我方研发指定，艾坤专线生产"。</w:t>
      </w:r>
    </w:p>
    <w:p>
      <w:pPr>
        <w:spacing w:after="120"/>
        <w:jc w:val="left"/>
      </w:pPr>
      <w:r>
        <w:rPr>
          <w:rFonts w:ascii="微软雅黑" w:hAnsi="微软雅黑" w:eastAsia="微软雅黑"/>
          <w:b/>
          <w:sz w:val="24"/>
        </w:rPr>
        <w:t>代工厂（艾坤生物科技）优势</w:t>
      </w:r>
    </w:p>
    <w:p>
      <w:pPr>
        <w:pStyle w:val="ListBullet"/>
        <w:spacing w:after="60"/>
      </w:pPr>
      <w:r>
        <w:rPr>
          <w:rFonts w:ascii="微软雅黑" w:hAnsi="微软雅黑" w:eastAsia="微软雅黑"/>
          <w:b/>
          <w:sz w:val="21"/>
        </w:rPr>
        <w:t>产业地位：</w:t>
      </w:r>
      <w:r>
        <w:rPr>
          <w:rFonts w:ascii="微软雅黑" w:hAnsi="微软雅黑" w:eastAsia="微软雅黑"/>
          <w:sz w:val="21"/>
        </w:rPr>
        <w:t>广西领先、产能最大的宠物食品代工厂，具备正规化、规模化生产能力。</w:t>
      </w:r>
    </w:p>
    <w:p>
      <w:pPr>
        <w:pStyle w:val="ListBullet"/>
        <w:spacing w:after="60"/>
      </w:pPr>
      <w:r>
        <w:rPr>
          <w:rFonts w:ascii="微软雅黑" w:hAnsi="微软雅黑" w:eastAsia="微软雅黑"/>
          <w:b/>
          <w:sz w:val="21"/>
        </w:rPr>
        <w:t>地理优势：</w:t>
      </w:r>
      <w:r>
        <w:rPr>
          <w:rFonts w:ascii="微软雅黑" w:hAnsi="微软雅黑" w:eastAsia="微软雅黑"/>
          <w:sz w:val="21"/>
        </w:rPr>
        <w:t>与团队同处或临近区域，极大降低沟通与驻场管理成本，便于实现小批次、高频率的精益生产模式。</w:t>
      </w:r>
    </w:p>
    <w:p>
      <w:pPr>
        <w:pStyle w:val="ListBullet"/>
        <w:spacing w:after="60"/>
      </w:pPr>
      <w:r>
        <w:rPr>
          <w:rFonts w:ascii="微软雅黑" w:hAnsi="微软雅黑" w:eastAsia="微软雅黑"/>
          <w:b/>
          <w:sz w:val="21"/>
        </w:rPr>
        <w:t>合作愿景：</w:t>
      </w:r>
      <w:r>
        <w:rPr>
          <w:rFonts w:ascii="微软雅黑" w:hAnsi="微软雅黑" w:eastAsia="微软雅黑"/>
          <w:sz w:val="21"/>
        </w:rPr>
        <w:t>作为其扶持区域新品牌、丰富客户矩阵的战略伙伴，有望获得更优的合作条款与柔性支持。</w:t>
      </w:r>
    </w:p>
    <w:p>
      <w:pPr>
        <w:spacing w:after="120"/>
        <w:jc w:val="left"/>
      </w:pPr>
      <w:r>
        <w:rPr>
          <w:rFonts w:ascii="微软雅黑" w:hAnsi="微软雅黑" w:eastAsia="微软雅黑"/>
          <w:b/>
          <w:sz w:val="24"/>
        </w:rPr>
        <w:t>采购、生产与库存管理</w:t>
      </w:r>
    </w:p>
    <w:p>
      <w:pPr>
        <w:pStyle w:val="ListBullet"/>
        <w:spacing w:after="60"/>
      </w:pPr>
      <w:r>
        <w:rPr>
          <w:rFonts w:ascii="微软雅黑" w:hAnsi="微软雅黑" w:eastAsia="微软雅黑"/>
          <w:b/>
          <w:sz w:val="21"/>
        </w:rPr>
        <w:t>核心模式：</w:t>
      </w:r>
      <w:r>
        <w:rPr>
          <w:rFonts w:ascii="微软雅黑" w:hAnsi="微软雅黑" w:eastAsia="微软雅黑"/>
          <w:sz w:val="21"/>
        </w:rPr>
        <w:t>初期采用"小单预售+小批量安全库存"模式。通过社群等渠道发起新品预售，集单后再向艾坤下达1-2吨的生产指令。</w:t>
      </w:r>
    </w:p>
    <w:p>
      <w:pPr>
        <w:pStyle w:val="ListBullet"/>
        <w:spacing w:after="60"/>
      </w:pPr>
      <w:r>
        <w:rPr>
          <w:rFonts w:ascii="微软雅黑" w:hAnsi="微软雅黑" w:eastAsia="微软雅黑"/>
          <w:b/>
          <w:sz w:val="21"/>
        </w:rPr>
        <w:t>品控流程：</w:t>
      </w:r>
      <w:r>
        <w:rPr>
          <w:rFonts w:ascii="微软雅黑" w:hAnsi="微软雅黑" w:eastAsia="微软雅黑"/>
          <w:sz w:val="21"/>
        </w:rPr>
        <w:t>创始人/供应链负责人在生产关键节点驻场，对来料、投料、成品进行全程监控，并坚持批批送检第三方，合格后方可发货。</w:t>
      </w:r>
    </w:p>
    <w:p>
      <w:pPr>
        <w:pStyle w:val="ListBullet"/>
        <w:spacing w:after="60"/>
      </w:pPr>
      <w:r>
        <w:rPr>
          <w:rFonts w:ascii="微软雅黑" w:hAnsi="微软雅黑" w:eastAsia="微软雅黑"/>
          <w:b/>
          <w:sz w:val="21"/>
        </w:rPr>
        <w:t>库存管理：</w:t>
      </w:r>
      <w:r>
        <w:rPr>
          <w:rFonts w:ascii="微软雅黑" w:hAnsi="微软雅黑" w:eastAsia="微软雅黑"/>
          <w:sz w:val="21"/>
        </w:rPr>
        <w:t>追求精益库存，成品周转周期控制在1个月内，减少资金占用。</w:t>
      </w:r>
    </w:p>
    <w:p>
      <w:pPr>
        <w:spacing w:after="120"/>
        <w:jc w:val="left"/>
      </w:pPr>
      <w:r>
        <w:rPr>
          <w:rFonts w:ascii="微软雅黑" w:hAnsi="微软雅黑" w:eastAsia="微软雅黑"/>
          <w:b/>
          <w:sz w:val="24"/>
        </w:rPr>
        <w:t>盈利逻辑与回款模式</w:t>
      </w:r>
    </w:p>
    <w:p>
      <w:pPr>
        <w:pStyle w:val="ListBullet"/>
        <w:spacing w:after="60"/>
      </w:pPr>
      <w:r>
        <w:rPr>
          <w:rFonts w:ascii="微软雅黑" w:hAnsi="微软雅黑" w:eastAsia="微软雅黑"/>
          <w:b/>
          <w:sz w:val="21"/>
        </w:rPr>
        <w:t>盈利逻辑：</w:t>
      </w:r>
      <w:r>
        <w:rPr>
          <w:rFonts w:ascii="微软雅黑" w:hAnsi="微软雅黑" w:eastAsia="微软雅黑"/>
          <w:sz w:val="21"/>
        </w:rPr>
        <w:t>通过"平价款引流，功能款获利"的产品组合，实现整体财务健康。初期毛利率预计在35%-45%。</w:t>
      </w:r>
    </w:p>
    <w:p>
      <w:pPr>
        <w:pStyle w:val="ListBullet"/>
        <w:spacing w:after="60"/>
      </w:pPr>
      <w:r>
        <w:rPr>
          <w:rFonts w:ascii="微软雅黑" w:hAnsi="微软雅黑" w:eastAsia="微软雅黑"/>
          <w:b/>
          <w:sz w:val="21"/>
        </w:rPr>
        <w:t>回款模式：</w:t>
      </w:r>
      <w:r>
        <w:rPr>
          <w:rFonts w:ascii="微软雅黑" w:hAnsi="微软雅黑" w:eastAsia="微软雅黑"/>
          <w:sz w:val="21"/>
        </w:rPr>
        <w:t>以线上直营"先款后货"为核心，确保健康的现金流。</w:t>
      </w:r>
    </w:p>
    <w:p>
      <w:r>
        <w:br w:type="page"/>
      </w:r>
    </w:p>
    <w:p>
      <w:pPr>
        <w:pStyle w:val="Heading1"/>
      </w:pPr>
      <w:r>
        <w:rPr>
          <w:rFonts w:ascii="微软雅黑" w:hAnsi="微软雅黑" w:eastAsia="微软雅黑"/>
        </w:rPr>
        <w:t>6. 市场定位与目标客群</w:t>
      </w:r>
    </w:p>
    <w:p>
      <w:pPr>
        <w:spacing w:after="120"/>
        <w:jc w:val="left"/>
      </w:pPr>
      <w:r>
        <w:rPr>
          <w:rFonts w:ascii="微软雅黑" w:hAnsi="微软雅黑" w:eastAsia="微软雅黑"/>
          <w:b/>
          <w:sz w:val="24"/>
        </w:rPr>
        <w:t>价格带定位</w:t>
      </w:r>
    </w:p>
    <w:p>
      <w:pPr>
        <w:spacing w:after="120"/>
        <w:jc w:val="left"/>
      </w:pPr>
      <w:r>
        <w:rPr>
          <w:rFonts w:ascii="微软雅黑" w:hAnsi="微软雅黑" w:eastAsia="微软雅黑"/>
          <w:b w:val="0"/>
          <w:sz w:val="22"/>
        </w:rPr>
        <w:t>主力产品价格带精准锚定30-40元/斤。这是一个兼具品质感和广泛消费基础的"甜点区间"，能最大程度转化90-00后的消费升级需求。</w:t>
      </w:r>
    </w:p>
    <w:p>
      <w:pPr>
        <w:spacing w:after="120"/>
        <w:jc w:val="left"/>
      </w:pPr>
      <w:r>
        <w:rPr>
          <w:rFonts w:ascii="微软雅黑" w:hAnsi="微软雅黑" w:eastAsia="微软雅黑"/>
          <w:b/>
          <w:sz w:val="24"/>
        </w:rPr>
        <w:t>目标人群画像</w:t>
      </w:r>
    </w:p>
    <w:tbl>
      <w:tblPr>
        <w:tblStyle w:val="LightGrid-Accent1"/>
        <w:tblW w:type="auto" w:w="0"/>
        <w:jc w:val="center"/>
        <w:tblLook w:firstColumn="1" w:firstRow="1" w:lastColumn="0" w:lastRow="0" w:noHBand="0" w:noVBand="1" w:val="04A0"/>
      </w:tblPr>
      <w:tblGrid>
        <w:gridCol w:w="4533"/>
        <w:gridCol w:w="4533"/>
      </w:tblGrid>
      <w:tr>
        <w:tc>
          <w:tcPr>
            <w:tcW w:type="dxa" w:w="4533"/>
          </w:tcPr>
          <w:p>
            <w:pPr>
              <w:jc w:val="center"/>
            </w:pPr>
            <w:r/>
            <w:r>
              <w:rPr>
                <w:rFonts w:ascii="微软雅黑" w:hAnsi="微软雅黑" w:eastAsia="微软雅黑"/>
                <w:b/>
                <w:sz w:val="22"/>
              </w:rPr>
              <w:t>维度</w:t>
            </w:r>
          </w:p>
        </w:tc>
        <w:tc>
          <w:tcPr>
            <w:tcW w:type="dxa" w:w="4533"/>
          </w:tcPr>
          <w:p>
            <w:pPr>
              <w:jc w:val="center"/>
            </w:pPr>
            <w:r/>
            <w:r>
              <w:rPr>
                <w:rFonts w:ascii="微软雅黑" w:hAnsi="微软雅黑" w:eastAsia="微软雅黑"/>
                <w:b/>
                <w:sz w:val="22"/>
              </w:rPr>
              <w:t>画像描述</w:t>
            </w:r>
          </w:p>
        </w:tc>
      </w:tr>
      <w:tr>
        <w:tc>
          <w:tcPr>
            <w:tcW w:type="dxa" w:w="4533"/>
          </w:tcPr>
          <w:p>
            <w:pPr>
              <w:jc w:val="left"/>
            </w:pPr>
            <w:r/>
            <w:r>
              <w:rPr>
                <w:rFonts w:ascii="微软雅黑" w:hAnsi="微软雅黑" w:eastAsia="微软雅黑"/>
                <w:b/>
                <w:sz w:val="20"/>
              </w:rPr>
              <w:t>年龄与城市</w:t>
            </w:r>
          </w:p>
        </w:tc>
        <w:tc>
          <w:tcPr>
            <w:tcW w:type="dxa" w:w="4533"/>
          </w:tcPr>
          <w:p>
            <w:pPr>
              <w:jc w:val="left"/>
            </w:pPr>
            <w:r/>
            <w:r>
              <w:rPr>
                <w:rFonts w:ascii="微软雅黑" w:hAnsi="微软雅黑" w:eastAsia="微软雅黑"/>
                <w:b w:val="0"/>
                <w:sz w:val="20"/>
              </w:rPr>
              <w:t>90-00后，生活在一线、新一线及核心二线城市的都市白领、Z世代职场新人。</w:t>
            </w:r>
          </w:p>
        </w:tc>
      </w:tr>
      <w:tr>
        <w:tc>
          <w:tcPr>
            <w:tcW w:type="dxa" w:w="4533"/>
          </w:tcPr>
          <w:p>
            <w:pPr>
              <w:jc w:val="left"/>
            </w:pPr>
            <w:r/>
            <w:r>
              <w:rPr>
                <w:rFonts w:ascii="微软雅黑" w:hAnsi="微软雅黑" w:eastAsia="微软雅黑"/>
                <w:b/>
                <w:sz w:val="20"/>
              </w:rPr>
              <w:t>养宠理念</w:t>
            </w:r>
          </w:p>
        </w:tc>
        <w:tc>
          <w:tcPr>
            <w:tcW w:type="dxa" w:w="4533"/>
          </w:tcPr>
          <w:p>
            <w:pPr>
              <w:jc w:val="left"/>
            </w:pPr>
            <w:r/>
            <w:r>
              <w:rPr>
                <w:rFonts w:ascii="微软雅黑" w:hAnsi="微软雅黑" w:eastAsia="微软雅黑"/>
                <w:b w:val="0"/>
                <w:sz w:val="20"/>
              </w:rPr>
              <w:t>互联网原住民，养宠"成分党"，信息检索能力极强。他们是小红书的深度用户，信KOC测评，信数据，不信广告。</w:t>
            </w:r>
          </w:p>
        </w:tc>
      </w:tr>
      <w:tr>
        <w:tc>
          <w:tcPr>
            <w:tcW w:type="dxa" w:w="4533"/>
          </w:tcPr>
          <w:p>
            <w:pPr>
              <w:jc w:val="left"/>
            </w:pPr>
            <w:r/>
            <w:r>
              <w:rPr>
                <w:rFonts w:ascii="微软雅黑" w:hAnsi="微软雅黑" w:eastAsia="微软雅黑"/>
                <w:b/>
                <w:sz w:val="20"/>
              </w:rPr>
              <w:t>消费习惯</w:t>
            </w:r>
          </w:p>
        </w:tc>
        <w:tc>
          <w:tcPr>
            <w:tcW w:type="dxa" w:w="4533"/>
          </w:tcPr>
          <w:p>
            <w:pPr>
              <w:jc w:val="left"/>
            </w:pPr>
            <w:r/>
            <w:r>
              <w:rPr>
                <w:rFonts w:ascii="微软雅黑" w:hAnsi="微软雅黑" w:eastAsia="微软雅黑"/>
                <w:b w:val="0"/>
                <w:sz w:val="20"/>
              </w:rPr>
              <w:t>精明消费，追求"质价比"。愿意为猫咪健康花钱，但每一分钱都想花在看得见的原料上，拒绝为品牌故事支付过高溢价。</w:t>
            </w:r>
          </w:p>
        </w:tc>
      </w:tr>
      <w:tr>
        <w:tc>
          <w:tcPr>
            <w:tcW w:type="dxa" w:w="4533"/>
          </w:tcPr>
          <w:p>
            <w:pPr>
              <w:jc w:val="left"/>
            </w:pPr>
            <w:r/>
            <w:r>
              <w:rPr>
                <w:rFonts w:ascii="微软雅黑" w:hAnsi="微软雅黑" w:eastAsia="微软雅黑"/>
                <w:b/>
                <w:sz w:val="20"/>
              </w:rPr>
              <w:t>决策关注点</w:t>
            </w:r>
          </w:p>
        </w:tc>
        <w:tc>
          <w:tcPr>
            <w:tcW w:type="dxa" w:w="4533"/>
          </w:tcPr>
          <w:p>
            <w:pPr>
              <w:jc w:val="left"/>
            </w:pPr>
            <w:r/>
            <w:r>
              <w:rPr>
                <w:rFonts w:ascii="微软雅黑" w:hAnsi="微软雅黑" w:eastAsia="微软雅黑"/>
                <w:b w:val="0"/>
                <w:sz w:val="20"/>
              </w:rPr>
              <w:t>配料表前三位是不是纯肉？蛋白脂肪比是多少？有没有第三方检测报告？用户评价里有没有"软便"、"呕吐"等关键词？以及，在预算内它是不是最好的选择。</w:t>
            </w:r>
          </w:p>
        </w:tc>
      </w:tr>
    </w:tbl>
    <w:p>
      <w:r>
        <w:br w:type="page"/>
      </w:r>
    </w:p>
    <w:p>
      <w:pPr>
        <w:pStyle w:val="Heading1"/>
      </w:pPr>
      <w:r>
        <w:rPr>
          <w:rFonts w:ascii="微软雅黑" w:hAnsi="微软雅黑" w:eastAsia="微软雅黑"/>
        </w:rPr>
        <w:t>7. 产品分析</w:t>
      </w:r>
    </w:p>
    <w:p>
      <w:pPr>
        <w:spacing w:after="120"/>
        <w:jc w:val="left"/>
      </w:pPr>
      <w:r>
        <w:rPr>
          <w:rFonts w:ascii="微软雅黑" w:hAnsi="微软雅黑" w:eastAsia="微软雅黑"/>
          <w:b/>
          <w:sz w:val="24"/>
        </w:rPr>
        <w:t>产品矩阵概览</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
              <w:rPr>
                <w:rFonts w:ascii="微软雅黑" w:hAnsi="微软雅黑" w:eastAsia="微软雅黑"/>
                <w:b/>
                <w:sz w:val="21"/>
              </w:rPr>
              <w:t>产品</w:t>
            </w:r>
          </w:p>
        </w:tc>
        <w:tc>
          <w:tcPr>
            <w:tcW w:type="dxa" w:w="2266"/>
          </w:tcPr>
          <w:p>
            <w:pPr>
              <w:jc w:val="center"/>
            </w:pPr>
            <w:r/>
            <w:r>
              <w:rPr>
                <w:rFonts w:ascii="微软雅黑" w:hAnsi="微软雅黑" w:eastAsia="微软雅黑"/>
                <w:b/>
                <w:sz w:val="21"/>
              </w:rPr>
              <w:t>定价</w:t>
            </w:r>
          </w:p>
        </w:tc>
        <w:tc>
          <w:tcPr>
            <w:tcW w:type="dxa" w:w="2266"/>
          </w:tcPr>
          <w:p>
            <w:pPr>
              <w:jc w:val="center"/>
            </w:pPr>
            <w:r/>
            <w:r>
              <w:rPr>
                <w:rFonts w:ascii="微软雅黑" w:hAnsi="微软雅黑" w:eastAsia="微软雅黑"/>
                <w:b/>
                <w:sz w:val="21"/>
              </w:rPr>
              <w:t>核心卖点</w:t>
            </w:r>
          </w:p>
        </w:tc>
        <w:tc>
          <w:tcPr>
            <w:tcW w:type="dxa" w:w="2266"/>
          </w:tcPr>
          <w:p>
            <w:pPr>
              <w:jc w:val="center"/>
            </w:pPr>
            <w:r/>
            <w:r>
              <w:rPr>
                <w:rFonts w:ascii="微软雅黑" w:hAnsi="微软雅黑" w:eastAsia="微软雅黑"/>
                <w:b/>
                <w:sz w:val="21"/>
              </w:rPr>
              <w:t>目标角色</w:t>
            </w:r>
          </w:p>
        </w:tc>
      </w:tr>
      <w:tr>
        <w:tc>
          <w:tcPr>
            <w:tcW w:type="dxa" w:w="2266"/>
          </w:tcPr>
          <w:p>
            <w:pPr>
              <w:jc w:val="left"/>
            </w:pPr>
            <w:r/>
            <w:r>
              <w:rPr>
                <w:rFonts w:ascii="微软雅黑" w:hAnsi="微软雅黑" w:eastAsia="微软雅黑"/>
                <w:b/>
                <w:sz w:val="20"/>
              </w:rPr>
              <w:t>平价基础款</w:t>
            </w:r>
          </w:p>
        </w:tc>
        <w:tc>
          <w:tcPr>
            <w:tcW w:type="dxa" w:w="2266"/>
          </w:tcPr>
          <w:p>
            <w:pPr>
              <w:jc w:val="center"/>
            </w:pPr>
            <w:r/>
            <w:r>
              <w:rPr>
                <w:rFonts w:ascii="微软雅黑" w:hAnsi="微软雅黑" w:eastAsia="微软雅黑"/>
                <w:b w:val="0"/>
                <w:sz w:val="20"/>
              </w:rPr>
              <w:t>30-32元/斤</w:t>
            </w:r>
          </w:p>
        </w:tc>
        <w:tc>
          <w:tcPr>
            <w:tcW w:type="dxa" w:w="2266"/>
          </w:tcPr>
          <w:p>
            <w:pPr>
              <w:jc w:val="left"/>
            </w:pPr>
            <w:r/>
            <w:r>
              <w:rPr>
                <w:rFonts w:ascii="微软雅黑" w:hAnsi="微软雅黑" w:eastAsia="微软雅黑"/>
                <w:b w:val="0"/>
                <w:sz w:val="19"/>
              </w:rPr>
              <w:t>高肉含量·无谷配方</w:t>
              <w:br/>
              <w:t>日常主粮优选</w:t>
            </w:r>
          </w:p>
        </w:tc>
        <w:tc>
          <w:tcPr>
            <w:tcW w:type="dxa" w:w="2266"/>
          </w:tcPr>
          <w:p>
            <w:pPr>
              <w:jc w:val="left"/>
            </w:pPr>
            <w:r/>
            <w:r>
              <w:rPr>
                <w:rFonts w:ascii="微软雅黑" w:hAnsi="微软雅黑" w:eastAsia="微软雅黑"/>
                <w:b w:val="0"/>
                <w:sz w:val="19"/>
              </w:rPr>
              <w:t>引流款</w:t>
              <w:br/>
              <w:t>拉新获客</w:t>
            </w:r>
          </w:p>
        </w:tc>
      </w:tr>
      <w:tr>
        <w:tc>
          <w:tcPr>
            <w:tcW w:type="dxa" w:w="2266"/>
          </w:tcPr>
          <w:p>
            <w:pPr>
              <w:jc w:val="left"/>
            </w:pPr>
            <w:r/>
            <w:r>
              <w:rPr>
                <w:rFonts w:ascii="微软雅黑" w:hAnsi="微软雅黑" w:eastAsia="微软雅黑"/>
                <w:b/>
                <w:sz w:val="20"/>
              </w:rPr>
              <w:t>肠胃养护款</w:t>
            </w:r>
          </w:p>
        </w:tc>
        <w:tc>
          <w:tcPr>
            <w:tcW w:type="dxa" w:w="2266"/>
          </w:tcPr>
          <w:p>
            <w:pPr>
              <w:jc w:val="center"/>
            </w:pPr>
            <w:r/>
            <w:r>
              <w:rPr>
                <w:rFonts w:ascii="微软雅黑" w:hAnsi="微软雅黑" w:eastAsia="微软雅黑"/>
                <w:b w:val="0"/>
                <w:sz w:val="20"/>
              </w:rPr>
              <w:t>36-38元/斤</w:t>
            </w:r>
          </w:p>
        </w:tc>
        <w:tc>
          <w:tcPr>
            <w:tcW w:type="dxa" w:w="2266"/>
          </w:tcPr>
          <w:p>
            <w:pPr>
              <w:jc w:val="left"/>
            </w:pPr>
            <w:r/>
            <w:r>
              <w:rPr>
                <w:rFonts w:ascii="微软雅黑" w:hAnsi="微软雅黑" w:eastAsia="微软雅黑"/>
                <w:b w:val="0"/>
                <w:sz w:val="19"/>
              </w:rPr>
              <w:t>布拉迪酵母菌</w:t>
              <w:br/>
              <w:t>定向肠胃调理</w:t>
            </w:r>
          </w:p>
        </w:tc>
        <w:tc>
          <w:tcPr>
            <w:tcW w:type="dxa" w:w="2266"/>
          </w:tcPr>
          <w:p>
            <w:pPr>
              <w:jc w:val="left"/>
            </w:pPr>
            <w:r/>
            <w:r>
              <w:rPr>
                <w:rFonts w:ascii="微软雅黑" w:hAnsi="微软雅黑" w:eastAsia="微软雅黑"/>
                <w:b w:val="0"/>
                <w:sz w:val="19"/>
              </w:rPr>
              <w:t>利润款</w:t>
              <w:br/>
              <w:t>功能主打</w:t>
            </w:r>
          </w:p>
        </w:tc>
      </w:tr>
      <w:tr>
        <w:tc>
          <w:tcPr>
            <w:tcW w:type="dxa" w:w="2266"/>
          </w:tcPr>
          <w:p>
            <w:pPr>
              <w:jc w:val="left"/>
            </w:pPr>
            <w:r/>
            <w:r>
              <w:rPr>
                <w:rFonts w:ascii="微软雅黑" w:hAnsi="微软雅黑" w:eastAsia="微软雅黑"/>
                <w:b/>
                <w:sz w:val="20"/>
              </w:rPr>
              <w:t>美毛亮肤款</w:t>
            </w:r>
          </w:p>
        </w:tc>
        <w:tc>
          <w:tcPr>
            <w:tcW w:type="dxa" w:w="2266"/>
          </w:tcPr>
          <w:p>
            <w:pPr>
              <w:jc w:val="center"/>
            </w:pPr>
            <w:r/>
            <w:r>
              <w:rPr>
                <w:rFonts w:ascii="微软雅黑" w:hAnsi="微软雅黑" w:eastAsia="微软雅黑"/>
                <w:b w:val="0"/>
                <w:sz w:val="20"/>
              </w:rPr>
              <w:t>38-40元/斤</w:t>
            </w:r>
          </w:p>
        </w:tc>
        <w:tc>
          <w:tcPr>
            <w:tcW w:type="dxa" w:w="2266"/>
          </w:tcPr>
          <w:p>
            <w:pPr>
              <w:jc w:val="left"/>
            </w:pPr>
            <w:r/>
            <w:r>
              <w:rPr>
                <w:rFonts w:ascii="微软雅黑" w:hAnsi="微软雅黑" w:eastAsia="微软雅黑"/>
                <w:b w:val="0"/>
                <w:sz w:val="19"/>
              </w:rPr>
              <w:t>深海鱼油Omega-3</w:t>
              <w:br/>
              <w:t>毛发亮泽柔顺</w:t>
            </w:r>
          </w:p>
        </w:tc>
        <w:tc>
          <w:tcPr>
            <w:tcW w:type="dxa" w:w="2266"/>
          </w:tcPr>
          <w:p>
            <w:pPr>
              <w:jc w:val="left"/>
            </w:pPr>
            <w:r/>
            <w:r>
              <w:rPr>
                <w:rFonts w:ascii="微软雅黑" w:hAnsi="微软雅黑" w:eastAsia="微软雅黑"/>
                <w:b w:val="0"/>
                <w:sz w:val="19"/>
              </w:rPr>
              <w:t>利润款</w:t>
              <w:br/>
              <w:t>颜值经济</w:t>
            </w:r>
          </w:p>
        </w:tc>
      </w:tr>
      <w:tr>
        <w:tc>
          <w:tcPr>
            <w:tcW w:type="dxa" w:w="2266"/>
          </w:tcPr>
          <w:p>
            <w:pPr>
              <w:jc w:val="left"/>
            </w:pPr>
            <w:r/>
            <w:r>
              <w:rPr>
                <w:rFonts w:ascii="微软雅黑" w:hAnsi="微软雅黑" w:eastAsia="微软雅黑"/>
                <w:b/>
                <w:sz w:val="20"/>
              </w:rPr>
              <w:t>泌尿健康款</w:t>
            </w:r>
          </w:p>
        </w:tc>
        <w:tc>
          <w:tcPr>
            <w:tcW w:type="dxa" w:w="2266"/>
          </w:tcPr>
          <w:p>
            <w:pPr>
              <w:jc w:val="center"/>
            </w:pPr>
            <w:r/>
            <w:r>
              <w:rPr>
                <w:rFonts w:ascii="微软雅黑" w:hAnsi="微软雅黑" w:eastAsia="微软雅黑"/>
                <w:b w:val="0"/>
                <w:sz w:val="20"/>
              </w:rPr>
              <w:t>36-38元/斤</w:t>
            </w:r>
          </w:p>
        </w:tc>
        <w:tc>
          <w:tcPr>
            <w:tcW w:type="dxa" w:w="2266"/>
          </w:tcPr>
          <w:p>
            <w:pPr>
              <w:jc w:val="left"/>
            </w:pPr>
            <w:r/>
            <w:r>
              <w:rPr>
                <w:rFonts w:ascii="微软雅黑" w:hAnsi="微软雅黑" w:eastAsia="微软雅黑"/>
                <w:b w:val="0"/>
                <w:sz w:val="19"/>
              </w:rPr>
              <w:t>蔓越莓提取物</w:t>
              <w:br/>
              <w:t>泌尿系统养护</w:t>
            </w:r>
          </w:p>
        </w:tc>
        <w:tc>
          <w:tcPr>
            <w:tcW w:type="dxa" w:w="2266"/>
          </w:tcPr>
          <w:p>
            <w:pPr>
              <w:jc w:val="left"/>
            </w:pPr>
            <w:r/>
            <w:r>
              <w:rPr>
                <w:rFonts w:ascii="微软雅黑" w:hAnsi="微软雅黑" w:eastAsia="微软雅黑"/>
                <w:b w:val="0"/>
                <w:sz w:val="19"/>
              </w:rPr>
              <w:t>利润款</w:t>
              <w:br/>
              <w:t>细分刚需</w:t>
            </w:r>
          </w:p>
        </w:tc>
      </w:tr>
    </w:tbl>
    <w:p/>
    <w:p>
      <w:pPr>
        <w:spacing w:after="120"/>
        <w:jc w:val="left"/>
      </w:pPr>
      <w:r>
        <w:rPr>
          <w:rFonts w:ascii="微软雅黑" w:hAnsi="微软雅黑" w:eastAsia="微软雅黑"/>
          <w:b/>
          <w:sz w:val="24"/>
        </w:rPr>
        <w:t>产品策略说明</w:t>
      </w:r>
    </w:p>
    <w:p>
      <w:pPr>
        <w:pStyle w:val="ListBullet"/>
        <w:spacing w:after="60"/>
      </w:pPr>
      <w:r>
        <w:rPr>
          <w:rFonts w:ascii="微软雅黑" w:hAnsi="微软雅黑" w:eastAsia="微软雅黑"/>
          <w:sz w:val="21"/>
        </w:rPr>
        <w:t>以极具质价比的基础款吸引用户首次尝试，降低决策门槛。</w:t>
      </w:r>
    </w:p>
    <w:p>
      <w:pPr>
        <w:pStyle w:val="ListBullet"/>
        <w:spacing w:after="60"/>
      </w:pPr>
      <w:r>
        <w:rPr>
          <w:rFonts w:ascii="微软雅黑" w:hAnsi="微软雅黑" w:eastAsia="微软雅黑"/>
          <w:sz w:val="21"/>
        </w:rPr>
        <w:t>通过三款功能性产品满足细分需求，实现用户价值深挖与利润贡献。</w:t>
      </w:r>
    </w:p>
    <w:p>
      <w:pPr>
        <w:pStyle w:val="ListBullet"/>
        <w:spacing w:after="60"/>
      </w:pPr>
      <w:r>
        <w:rPr>
          <w:rFonts w:ascii="微软雅黑" w:hAnsi="微软雅黑" w:eastAsia="微软雅黑"/>
          <w:sz w:val="21"/>
        </w:rPr>
        <w:t>全线产品坚持"一物一码"溯源，扫码可查SGS等第三方检测报告，建立长期信任。</w:t>
      </w:r>
    </w:p>
    <w:p>
      <w:r>
        <w:br w:type="page"/>
      </w:r>
    </w:p>
    <w:p>
      <w:pPr>
        <w:pStyle w:val="Heading1"/>
      </w:pPr>
      <w:r>
        <w:rPr>
          <w:rFonts w:ascii="微软雅黑" w:hAnsi="微软雅黑" w:eastAsia="微软雅黑"/>
        </w:rPr>
        <w:t>8. 营销策略与获客计划</w:t>
      </w:r>
    </w:p>
    <w:p>
      <w:pPr>
        <w:spacing w:after="120"/>
        <w:jc w:val="left"/>
      </w:pPr>
      <w:r>
        <w:rPr>
          <w:rFonts w:ascii="微软雅黑" w:hAnsi="微软雅黑" w:eastAsia="微软雅黑"/>
          <w:b/>
          <w:sz w:val="24"/>
        </w:rPr>
        <w:t>方案A：私域深耕闭环</w:t>
      </w:r>
    </w:p>
    <w:tbl>
      <w:tblPr>
        <w:tblStyle w:val="LightGrid-Accent1"/>
        <w:tblW w:type="auto" w:w="0"/>
        <w:jc w:val="center"/>
        <w:tblLook w:firstColumn="1" w:firstRow="1" w:lastColumn="0" w:lastRow="0" w:noHBand="0" w:noVBand="1" w:val="04A0"/>
      </w:tblPr>
      <w:tblGrid>
        <w:gridCol w:w="4533"/>
        <w:gridCol w:w="4533"/>
      </w:tblGrid>
      <w:tr>
        <w:tc>
          <w:tcPr>
            <w:tcW w:type="dxa" w:w="4533"/>
          </w:tcPr>
          <w:p>
            <w:pPr>
              <w:jc w:val="center"/>
            </w:pPr>
            <w:r/>
            <w:r>
              <w:rPr>
                <w:rFonts w:ascii="微软雅黑" w:hAnsi="微软雅黑" w:eastAsia="微软雅黑"/>
                <w:b/>
                <w:sz w:val="22"/>
              </w:rPr>
              <w:t>阶段</w:t>
            </w:r>
          </w:p>
        </w:tc>
        <w:tc>
          <w:tcPr>
            <w:tcW w:type="dxa" w:w="4533"/>
          </w:tcPr>
          <w:p>
            <w:pPr>
              <w:jc w:val="center"/>
            </w:pPr>
            <w:r/>
            <w:r>
              <w:rPr>
                <w:rFonts w:ascii="微软雅黑" w:hAnsi="微软雅黑" w:eastAsia="微软雅黑"/>
                <w:b/>
                <w:sz w:val="22"/>
              </w:rPr>
              <w:t>核心动作</w:t>
            </w:r>
          </w:p>
        </w:tc>
      </w:tr>
      <w:tr>
        <w:tc>
          <w:tcPr>
            <w:tcW w:type="dxa" w:w="4533"/>
          </w:tcPr>
          <w:p>
            <w:pPr>
              <w:jc w:val="center"/>
            </w:pPr>
            <w:r/>
            <w:r>
              <w:rPr>
                <w:rFonts w:ascii="微软雅黑" w:hAnsi="微软雅黑" w:eastAsia="微软雅黑"/>
                <w:b/>
                <w:sz w:val="20"/>
              </w:rPr>
              <w:t>第一阶段</w:t>
              <w:br/>
              <w:t>种子积累</w:t>
            </w:r>
          </w:p>
        </w:tc>
        <w:tc>
          <w:tcPr>
            <w:tcW w:type="dxa" w:w="4533"/>
          </w:tcPr>
          <w:p>
            <w:pPr>
              <w:jc w:val="left"/>
            </w:pPr>
            <w:r/>
            <w:r>
              <w:rPr>
                <w:rFonts w:ascii="微软雅黑" w:hAnsi="微软雅黑" w:eastAsia="微软雅黑"/>
                <w:b w:val="0"/>
                <w:sz w:val="20"/>
              </w:rPr>
              <w:t>小红书KOC测评种草</w:t>
              <w:br/>
              <w:t>宠物社群精准渗透</w:t>
              <w:br/>
              <w:t>创始人个人IP打造</w:t>
            </w:r>
          </w:p>
        </w:tc>
      </w:tr>
      <w:tr>
        <w:tc>
          <w:tcPr>
            <w:tcW w:type="dxa" w:w="4533"/>
          </w:tcPr>
          <w:p>
            <w:pPr>
              <w:jc w:val="center"/>
            </w:pPr>
            <w:r/>
            <w:r>
              <w:rPr>
                <w:rFonts w:ascii="微软雅黑" w:hAnsi="微软雅黑" w:eastAsia="微软雅黑"/>
                <w:b/>
                <w:sz w:val="20"/>
              </w:rPr>
              <w:t>第二阶段</w:t>
              <w:br/>
              <w:t>私域沉淀</w:t>
            </w:r>
          </w:p>
        </w:tc>
        <w:tc>
          <w:tcPr>
            <w:tcW w:type="dxa" w:w="4533"/>
          </w:tcPr>
          <w:p>
            <w:pPr>
              <w:jc w:val="left"/>
            </w:pPr>
            <w:r/>
            <w:r>
              <w:rPr>
                <w:rFonts w:ascii="微软雅黑" w:hAnsi="微软雅黑" w:eastAsia="微软雅黑"/>
                <w:b w:val="0"/>
                <w:sz w:val="20"/>
              </w:rPr>
              <w:t>企业微信承接流量</w:t>
              <w:br/>
              <w:t>建立"松颂猫友会"社群</w:t>
              <w:br/>
              <w:t>一对一喂养顾问服务</w:t>
            </w:r>
          </w:p>
        </w:tc>
      </w:tr>
      <w:tr>
        <w:tc>
          <w:tcPr>
            <w:tcW w:type="dxa" w:w="4533"/>
          </w:tcPr>
          <w:p>
            <w:pPr>
              <w:jc w:val="center"/>
            </w:pPr>
            <w:r/>
            <w:r>
              <w:rPr>
                <w:rFonts w:ascii="微软雅黑" w:hAnsi="微软雅黑" w:eastAsia="微软雅黑"/>
                <w:b/>
                <w:sz w:val="20"/>
              </w:rPr>
              <w:t>第三阶段</w:t>
              <w:br/>
              <w:t>复购转化</w:t>
            </w:r>
          </w:p>
        </w:tc>
        <w:tc>
          <w:tcPr>
            <w:tcW w:type="dxa" w:w="4533"/>
          </w:tcPr>
          <w:p>
            <w:pPr>
              <w:jc w:val="left"/>
            </w:pPr>
            <w:r/>
            <w:r>
              <w:rPr>
                <w:rFonts w:ascii="微软雅黑" w:hAnsi="微软雅黑" w:eastAsia="微软雅黑"/>
                <w:b w:val="0"/>
                <w:sz w:val="20"/>
              </w:rPr>
              <w:t>新品预售集单模式</w:t>
              <w:br/>
              <w:t>老带新裂变机制</w:t>
              <w:br/>
              <w:t>用户UGC内容反哺</w:t>
            </w:r>
          </w:p>
        </w:tc>
      </w:tr>
      <w:tr>
        <w:tc>
          <w:tcPr>
            <w:tcW w:type="dxa" w:w="4533"/>
          </w:tcPr>
          <w:p>
            <w:pPr>
              <w:jc w:val="center"/>
            </w:pPr>
            <w:r/>
            <w:r>
              <w:rPr>
                <w:rFonts w:ascii="微软雅黑" w:hAnsi="微软雅黑" w:eastAsia="微软雅黑"/>
                <w:b/>
                <w:sz w:val="20"/>
              </w:rPr>
              <w:t>第四阶段</w:t>
              <w:br/>
              <w:t>数据验证</w:t>
            </w:r>
          </w:p>
        </w:tc>
        <w:tc>
          <w:tcPr>
            <w:tcW w:type="dxa" w:w="4533"/>
          </w:tcPr>
          <w:p>
            <w:pPr>
              <w:jc w:val="left"/>
            </w:pPr>
            <w:r/>
            <w:r>
              <w:rPr>
                <w:rFonts w:ascii="微软雅黑" w:hAnsi="微软雅黑" w:eastAsia="微软雅黑"/>
                <w:b w:val="0"/>
                <w:sz w:val="20"/>
              </w:rPr>
              <w:t>复购率&gt;20%即验证模型</w:t>
              <w:br/>
              <w:t>用户LTV/CAC比值分析</w:t>
              <w:br/>
              <w:t>为下一轮融资准备数据</w:t>
            </w:r>
          </w:p>
        </w:tc>
      </w:tr>
    </w:tbl>
    <w:p/>
    <w:p>
      <w:pPr>
        <w:spacing w:after="120"/>
        <w:jc w:val="left"/>
      </w:pPr>
      <w:r>
        <w:rPr>
          <w:rFonts w:ascii="微软雅黑" w:hAnsi="微软雅黑" w:eastAsia="微软雅黑"/>
          <w:b/>
          <w:sz w:val="24"/>
        </w:rPr>
        <w:t>方案B：内容种草 - 电商承接 - 私域复购</w:t>
      </w:r>
    </w:p>
    <w:tbl>
      <w:tblPr>
        <w:tblStyle w:val="LightGrid-Accent1"/>
        <w:tblW w:type="auto" w:w="0"/>
        <w:jc w:val="center"/>
        <w:tblLook w:firstColumn="1" w:firstRow="1" w:lastColumn="0" w:lastRow="0" w:noHBand="0" w:noVBand="1" w:val="04A0"/>
      </w:tblPr>
      <w:tblGrid>
        <w:gridCol w:w="4533"/>
        <w:gridCol w:w="4533"/>
      </w:tblGrid>
      <w:tr>
        <w:tc>
          <w:tcPr>
            <w:tcW w:type="dxa" w:w="4533"/>
          </w:tcPr>
          <w:p>
            <w:pPr>
              <w:jc w:val="center"/>
            </w:pPr>
            <w:r/>
            <w:r>
              <w:rPr>
                <w:rFonts w:ascii="微软雅黑" w:hAnsi="微软雅黑" w:eastAsia="微软雅黑"/>
                <w:b/>
                <w:sz w:val="22"/>
              </w:rPr>
              <w:t>阶段</w:t>
            </w:r>
          </w:p>
        </w:tc>
        <w:tc>
          <w:tcPr>
            <w:tcW w:type="dxa" w:w="4533"/>
          </w:tcPr>
          <w:p>
            <w:pPr>
              <w:jc w:val="center"/>
            </w:pPr>
            <w:r/>
            <w:r>
              <w:rPr>
                <w:rFonts w:ascii="微软雅黑" w:hAnsi="微软雅黑" w:eastAsia="微软雅黑"/>
                <w:b/>
                <w:sz w:val="22"/>
              </w:rPr>
              <w:t>核心动作</w:t>
            </w:r>
          </w:p>
        </w:tc>
      </w:tr>
      <w:tr>
        <w:tc>
          <w:tcPr>
            <w:tcW w:type="dxa" w:w="4533"/>
          </w:tcPr>
          <w:p>
            <w:pPr>
              <w:jc w:val="center"/>
            </w:pPr>
            <w:r/>
            <w:r>
              <w:rPr>
                <w:rFonts w:ascii="微软雅黑" w:hAnsi="微软雅黑" w:eastAsia="微软雅黑"/>
                <w:b/>
                <w:sz w:val="20"/>
              </w:rPr>
              <w:t>内容种草</w:t>
            </w:r>
          </w:p>
        </w:tc>
        <w:tc>
          <w:tcPr>
            <w:tcW w:type="dxa" w:w="4533"/>
          </w:tcPr>
          <w:p>
            <w:pPr>
              <w:jc w:val="left"/>
            </w:pPr>
            <w:r/>
            <w:r>
              <w:rPr>
                <w:rFonts w:ascii="微软雅黑" w:hAnsi="微软雅黑" w:eastAsia="微软雅黑"/>
                <w:b w:val="0"/>
                <w:sz w:val="20"/>
              </w:rPr>
              <w:t>小红书+抖音双平台布局</w:t>
              <w:br/>
              <w:t>品牌视觉体系升级</w:t>
              <w:br/>
              <w:t>专业测评内容矩阵</w:t>
            </w:r>
          </w:p>
        </w:tc>
      </w:tr>
      <w:tr>
        <w:tc>
          <w:tcPr>
            <w:tcW w:type="dxa" w:w="4533"/>
          </w:tcPr>
          <w:p>
            <w:pPr>
              <w:jc w:val="center"/>
            </w:pPr>
            <w:r/>
            <w:r>
              <w:rPr>
                <w:rFonts w:ascii="微软雅黑" w:hAnsi="微软雅黑" w:eastAsia="微软雅黑"/>
                <w:b/>
                <w:sz w:val="20"/>
              </w:rPr>
              <w:t>电商承接</w:t>
            </w:r>
          </w:p>
        </w:tc>
        <w:tc>
          <w:tcPr>
            <w:tcW w:type="dxa" w:w="4533"/>
          </w:tcPr>
          <w:p>
            <w:pPr>
              <w:jc w:val="left"/>
            </w:pPr>
            <w:r/>
            <w:r>
              <w:rPr>
                <w:rFonts w:ascii="微软雅黑" w:hAnsi="微软雅黑" w:eastAsia="微软雅黑"/>
                <w:b w:val="0"/>
                <w:sz w:val="20"/>
              </w:rPr>
              <w:t>入驻天猫/京东旗舰店</w:t>
              <w:br/>
              <w:t>拼多多渠道覆盖</w:t>
              <w:br/>
              <w:t>电商详情页极致优化</w:t>
            </w:r>
          </w:p>
        </w:tc>
      </w:tr>
      <w:tr>
        <w:tc>
          <w:tcPr>
            <w:tcW w:type="dxa" w:w="4533"/>
          </w:tcPr>
          <w:p>
            <w:pPr>
              <w:jc w:val="center"/>
            </w:pPr>
            <w:r/>
            <w:r>
              <w:rPr>
                <w:rFonts w:ascii="微软雅黑" w:hAnsi="微软雅黑" w:eastAsia="微软雅黑"/>
                <w:b/>
                <w:sz w:val="20"/>
              </w:rPr>
              <w:t>私域沉淀</w:t>
            </w:r>
          </w:p>
        </w:tc>
        <w:tc>
          <w:tcPr>
            <w:tcW w:type="dxa" w:w="4533"/>
          </w:tcPr>
          <w:p>
            <w:pPr>
              <w:jc w:val="left"/>
            </w:pPr>
            <w:r/>
            <w:r>
              <w:rPr>
                <w:rFonts w:ascii="微软雅黑" w:hAnsi="微软雅黑" w:eastAsia="微软雅黑"/>
                <w:b w:val="0"/>
                <w:sz w:val="20"/>
              </w:rPr>
              <w:t>包裹卡引流企微</w:t>
              <w:br/>
              <w:t>社群精细运营</w:t>
              <w:br/>
              <w:t>会员积分体系</w:t>
            </w:r>
          </w:p>
        </w:tc>
      </w:tr>
      <w:tr>
        <w:tc>
          <w:tcPr>
            <w:tcW w:type="dxa" w:w="4533"/>
          </w:tcPr>
          <w:p>
            <w:pPr>
              <w:jc w:val="center"/>
            </w:pPr>
            <w:r/>
            <w:r>
              <w:rPr>
                <w:rFonts w:ascii="微软雅黑" w:hAnsi="微软雅黑" w:eastAsia="微软雅黑"/>
                <w:b/>
                <w:sz w:val="20"/>
              </w:rPr>
              <w:t>复购闭环</w:t>
            </w:r>
          </w:p>
        </w:tc>
        <w:tc>
          <w:tcPr>
            <w:tcW w:type="dxa" w:w="4533"/>
          </w:tcPr>
          <w:p>
            <w:pPr>
              <w:jc w:val="left"/>
            </w:pPr>
            <w:r/>
            <w:r>
              <w:rPr>
                <w:rFonts w:ascii="微软雅黑" w:hAnsi="微软雅黑" w:eastAsia="微软雅黑"/>
                <w:b w:val="0"/>
                <w:sz w:val="20"/>
              </w:rPr>
              <w:t>定期上新+预售</w:t>
              <w:br/>
              <w:t>老客专属价</w:t>
              <w:br/>
              <w:t>社群团购机制</w:t>
            </w:r>
          </w:p>
        </w:tc>
      </w:tr>
    </w:tbl>
    <w:p>
      <w:r>
        <w:br w:type="page"/>
      </w:r>
    </w:p>
    <w:p>
      <w:pPr>
        <w:pStyle w:val="Heading1"/>
      </w:pPr>
      <w:r>
        <w:rPr>
          <w:rFonts w:ascii="微软雅黑" w:hAnsi="微软雅黑" w:eastAsia="微软雅黑"/>
        </w:rPr>
        <w:t>9. 团队介绍</w:t>
      </w:r>
    </w:p>
    <w:p>
      <w:pPr>
        <w:spacing w:after="120"/>
        <w:jc w:val="left"/>
      </w:pPr>
      <w:r>
        <w:rPr>
          <w:rFonts w:ascii="微软雅黑" w:hAnsi="微软雅黑" w:eastAsia="微软雅黑"/>
          <w:b/>
          <w:sz w:val="24"/>
        </w:rPr>
        <w:t>核心团队成员</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微软雅黑" w:hAnsi="微软雅黑" w:eastAsia="微软雅黑"/>
                <w:b/>
                <w:sz w:val="22"/>
              </w:rPr>
              <w:t>成员</w:t>
            </w:r>
          </w:p>
        </w:tc>
        <w:tc>
          <w:tcPr>
            <w:tcW w:type="dxa" w:w="3022"/>
          </w:tcPr>
          <w:p>
            <w:pPr>
              <w:jc w:val="center"/>
            </w:pPr>
            <w:r/>
            <w:r>
              <w:rPr>
                <w:rFonts w:ascii="微软雅黑" w:hAnsi="微软雅黑" w:eastAsia="微软雅黑"/>
                <w:b/>
                <w:sz w:val="22"/>
              </w:rPr>
              <w:t>核心能力</w:t>
            </w:r>
          </w:p>
        </w:tc>
        <w:tc>
          <w:tcPr>
            <w:tcW w:type="dxa" w:w="3022"/>
          </w:tcPr>
          <w:p>
            <w:pPr>
              <w:jc w:val="center"/>
            </w:pPr>
            <w:r/>
            <w:r>
              <w:rPr>
                <w:rFonts w:ascii="微软雅黑" w:hAnsi="微软雅黑" w:eastAsia="微软雅黑"/>
                <w:b/>
                <w:sz w:val="22"/>
              </w:rPr>
              <w:t>职责</w:t>
            </w:r>
          </w:p>
        </w:tc>
      </w:tr>
      <w:tr>
        <w:tc>
          <w:tcPr>
            <w:tcW w:type="dxa" w:w="3022"/>
          </w:tcPr>
          <w:p>
            <w:pPr>
              <w:jc w:val="center"/>
            </w:pPr>
            <w:r/>
            <w:r>
              <w:rPr>
                <w:rFonts w:ascii="微软雅黑" w:hAnsi="微软雅黑" w:eastAsia="微软雅黑"/>
                <w:b/>
                <w:sz w:val="20"/>
              </w:rPr>
              <w:t>创始人/CEO</w:t>
            </w:r>
          </w:p>
        </w:tc>
        <w:tc>
          <w:tcPr>
            <w:tcW w:type="dxa" w:w="3022"/>
          </w:tcPr>
          <w:p>
            <w:pPr>
              <w:jc w:val="left"/>
            </w:pPr>
            <w:r/>
            <w:r>
              <w:rPr>
                <w:rFonts w:ascii="微软雅黑" w:hAnsi="微软雅黑" w:eastAsia="微软雅黑"/>
                <w:b w:val="0"/>
                <w:sz w:val="20"/>
              </w:rPr>
              <w:t>艾坤供应链对接人</w:t>
              <w:br/>
              <w:t>品牌战略与融资</w:t>
            </w:r>
          </w:p>
        </w:tc>
        <w:tc>
          <w:tcPr>
            <w:tcW w:type="dxa" w:w="3022"/>
          </w:tcPr>
          <w:p>
            <w:pPr>
              <w:jc w:val="left"/>
            </w:pPr>
            <w:r/>
            <w:r>
              <w:rPr>
                <w:rFonts w:ascii="微软雅黑" w:hAnsi="微软雅黑" w:eastAsia="微软雅黑"/>
                <w:b w:val="0"/>
                <w:sz w:val="20"/>
              </w:rPr>
              <w:t>供应链管理</w:t>
              <w:br/>
              <w:t>品牌建设</w:t>
              <w:br/>
              <w:t>融资对接</w:t>
            </w:r>
          </w:p>
        </w:tc>
      </w:tr>
      <w:tr>
        <w:tc>
          <w:tcPr>
            <w:tcW w:type="dxa" w:w="3022"/>
          </w:tcPr>
          <w:p>
            <w:pPr>
              <w:jc w:val="center"/>
            </w:pPr>
            <w:r/>
            <w:r>
              <w:rPr>
                <w:rFonts w:ascii="微软雅黑" w:hAnsi="微软雅黑" w:eastAsia="微软雅黑"/>
                <w:b/>
                <w:sz w:val="20"/>
              </w:rPr>
              <w:t>联合创始人/COO</w:t>
            </w:r>
          </w:p>
        </w:tc>
        <w:tc>
          <w:tcPr>
            <w:tcW w:type="dxa" w:w="3022"/>
          </w:tcPr>
          <w:p>
            <w:pPr>
              <w:jc w:val="left"/>
            </w:pPr>
            <w:r/>
            <w:r>
              <w:rPr>
                <w:rFonts w:ascii="微软雅黑" w:hAnsi="微软雅黑" w:eastAsia="微软雅黑"/>
                <w:b w:val="0"/>
                <w:sz w:val="20"/>
              </w:rPr>
              <w:t>10万粉宠粮测评博主</w:t>
              <w:br/>
              <w:t>内容营销与用户运营</w:t>
            </w:r>
          </w:p>
        </w:tc>
        <w:tc>
          <w:tcPr>
            <w:tcW w:type="dxa" w:w="3022"/>
          </w:tcPr>
          <w:p>
            <w:pPr>
              <w:jc w:val="left"/>
            </w:pPr>
            <w:r/>
            <w:r>
              <w:rPr>
                <w:rFonts w:ascii="微软雅黑" w:hAnsi="微软雅黑" w:eastAsia="微软雅黑"/>
                <w:b w:val="0"/>
                <w:sz w:val="20"/>
              </w:rPr>
              <w:t>内容策略</w:t>
              <w:br/>
              <w:t>社群运营</w:t>
              <w:br/>
              <w:t>KOL资源</w:t>
            </w:r>
          </w:p>
        </w:tc>
      </w:tr>
      <w:tr>
        <w:tc>
          <w:tcPr>
            <w:tcW w:type="dxa" w:w="3022"/>
          </w:tcPr>
          <w:p>
            <w:pPr>
              <w:jc w:val="center"/>
            </w:pPr>
            <w:r/>
            <w:r>
              <w:rPr>
                <w:rFonts w:ascii="微软雅黑" w:hAnsi="微软雅黑" w:eastAsia="微软雅黑"/>
                <w:b/>
                <w:sz w:val="20"/>
              </w:rPr>
              <w:t>联合创始人/CTO</w:t>
            </w:r>
          </w:p>
        </w:tc>
        <w:tc>
          <w:tcPr>
            <w:tcW w:type="dxa" w:w="3022"/>
          </w:tcPr>
          <w:p>
            <w:pPr>
              <w:jc w:val="left"/>
            </w:pPr>
            <w:r/>
            <w:r>
              <w:rPr>
                <w:rFonts w:ascii="微软雅黑" w:hAnsi="微软雅黑" w:eastAsia="微软雅黑"/>
                <w:b w:val="0"/>
                <w:sz w:val="20"/>
              </w:rPr>
              <w:t>电商运营专家</w:t>
              <w:br/>
              <w:t>数据分析与增长</w:t>
            </w:r>
          </w:p>
        </w:tc>
        <w:tc>
          <w:tcPr>
            <w:tcW w:type="dxa" w:w="3022"/>
          </w:tcPr>
          <w:p>
            <w:pPr>
              <w:jc w:val="left"/>
            </w:pPr>
            <w:r/>
            <w:r>
              <w:rPr>
                <w:rFonts w:ascii="微软雅黑" w:hAnsi="微软雅黑" w:eastAsia="微软雅黑"/>
                <w:b w:val="0"/>
                <w:sz w:val="20"/>
              </w:rPr>
              <w:t>电商渠道</w:t>
              <w:br/>
              <w:t>数据驱动</w:t>
              <w:br/>
              <w:t>用户增长</w:t>
            </w:r>
          </w:p>
        </w:tc>
      </w:tr>
    </w:tbl>
    <w:p/>
    <w:p>
      <w:pPr>
        <w:spacing w:after="120"/>
        <w:jc w:val="left"/>
      </w:pPr>
      <w:r>
        <w:rPr>
          <w:rFonts w:ascii="微软雅黑" w:hAnsi="微软雅黑" w:eastAsia="微软雅黑"/>
          <w:b/>
          <w:sz w:val="24"/>
        </w:rPr>
        <w:t>团队优势</w:t>
      </w:r>
    </w:p>
    <w:p>
      <w:pPr>
        <w:pStyle w:val="ListBullet"/>
        <w:spacing w:after="60"/>
      </w:pPr>
      <w:r>
        <w:rPr>
          <w:rFonts w:ascii="微软雅黑" w:hAnsi="微软雅黑" w:eastAsia="微软雅黑"/>
          <w:sz w:val="21"/>
        </w:rPr>
        <w:t>核心成员深耕宠物行业多年，具备从供应链到品牌到终端的全链路经验。</w:t>
      </w:r>
    </w:p>
    <w:p>
      <w:pPr>
        <w:pStyle w:val="ListBullet"/>
        <w:spacing w:after="60"/>
      </w:pPr>
      <w:r>
        <w:rPr>
          <w:rFonts w:ascii="微软雅黑" w:hAnsi="微软雅黑" w:eastAsia="微软雅黑"/>
          <w:sz w:val="21"/>
        </w:rPr>
        <w:t>创始人与艾坤生物科技有深度信任关系，确保供应链端的柔性配合与品质保障。</w:t>
      </w:r>
    </w:p>
    <w:p>
      <w:pPr>
        <w:pStyle w:val="ListBullet"/>
        <w:spacing w:after="60"/>
      </w:pPr>
      <w:r>
        <w:rPr>
          <w:rFonts w:ascii="微软雅黑" w:hAnsi="微软雅黑" w:eastAsia="微软雅黑"/>
          <w:sz w:val="21"/>
        </w:rPr>
        <w:t>内容团队自带流量基础，能以极低成本启动品牌种草。</w:t>
      </w:r>
    </w:p>
    <w:p>
      <w:r>
        <w:br w:type="page"/>
      </w:r>
    </w:p>
    <w:p>
      <w:pPr>
        <w:pStyle w:val="Heading1"/>
      </w:pPr>
      <w:r>
        <w:rPr>
          <w:rFonts w:ascii="微软雅黑" w:hAnsi="微软雅黑" w:eastAsia="微软雅黑"/>
        </w:rPr>
        <w:t>10. 财务预测</w:t>
      </w:r>
    </w:p>
    <w:p>
      <w:pPr>
        <w:spacing w:after="120"/>
        <w:jc w:val="left"/>
      </w:pPr>
      <w:r>
        <w:rPr>
          <w:rFonts w:ascii="微软雅黑" w:hAnsi="微软雅黑" w:eastAsia="微软雅黑"/>
          <w:b/>
          <w:sz w:val="24"/>
        </w:rPr>
        <w:t>成本构成（基于方案A/B）</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微软雅黑" w:hAnsi="微软雅黑" w:eastAsia="微软雅黑"/>
                <w:b/>
                <w:sz w:val="21"/>
              </w:rPr>
              <w:t>成本项目</w:t>
            </w:r>
          </w:p>
        </w:tc>
        <w:tc>
          <w:tcPr>
            <w:tcW w:type="dxa" w:w="3022"/>
          </w:tcPr>
          <w:p>
            <w:pPr>
              <w:jc w:val="center"/>
            </w:pPr>
            <w:r/>
            <w:r>
              <w:rPr>
                <w:rFonts w:ascii="微软雅黑" w:hAnsi="微软雅黑" w:eastAsia="微软雅黑"/>
                <w:b/>
                <w:sz w:val="21"/>
              </w:rPr>
              <w:t>方案A（万元）</w:t>
            </w:r>
          </w:p>
        </w:tc>
        <w:tc>
          <w:tcPr>
            <w:tcW w:type="dxa" w:w="3022"/>
          </w:tcPr>
          <w:p>
            <w:pPr>
              <w:jc w:val="center"/>
            </w:pPr>
            <w:r/>
            <w:r>
              <w:rPr>
                <w:rFonts w:ascii="微软雅黑" w:hAnsi="微软雅黑" w:eastAsia="微软雅黑"/>
                <w:b/>
                <w:sz w:val="21"/>
              </w:rPr>
              <w:t>方案B（万元）</w:t>
            </w:r>
          </w:p>
        </w:tc>
      </w:tr>
      <w:tr>
        <w:tc>
          <w:tcPr>
            <w:tcW w:type="dxa" w:w="3022"/>
          </w:tcPr>
          <w:p>
            <w:pPr>
              <w:jc w:val="left"/>
            </w:pPr>
            <w:r/>
            <w:r>
              <w:rPr>
                <w:rFonts w:ascii="微软雅黑" w:hAnsi="微软雅黑" w:eastAsia="微软雅黑"/>
                <w:b w:val="0"/>
                <w:sz w:val="20"/>
              </w:rPr>
              <w:t>产品打样与首批备货</w:t>
            </w:r>
          </w:p>
        </w:tc>
        <w:tc>
          <w:tcPr>
            <w:tcW w:type="dxa" w:w="3022"/>
          </w:tcPr>
          <w:p>
            <w:pPr>
              <w:jc w:val="center"/>
            </w:pPr>
            <w:r/>
            <w:r>
              <w:rPr>
                <w:rFonts w:ascii="微软雅黑" w:hAnsi="微软雅黑" w:eastAsia="微软雅黑"/>
                <w:b w:val="0"/>
                <w:sz w:val="20"/>
              </w:rPr>
              <w:t>8</w:t>
            </w:r>
          </w:p>
        </w:tc>
        <w:tc>
          <w:tcPr>
            <w:tcW w:type="dxa" w:w="3022"/>
          </w:tcPr>
          <w:p>
            <w:pPr>
              <w:jc w:val="center"/>
            </w:pPr>
            <w:r/>
            <w:r>
              <w:rPr>
                <w:rFonts w:ascii="微软雅黑" w:hAnsi="微软雅黑" w:eastAsia="微软雅黑"/>
                <w:b w:val="0"/>
                <w:sz w:val="20"/>
              </w:rPr>
              <w:t>12</w:t>
            </w:r>
          </w:p>
        </w:tc>
      </w:tr>
      <w:tr>
        <w:tc>
          <w:tcPr>
            <w:tcW w:type="dxa" w:w="3022"/>
          </w:tcPr>
          <w:p>
            <w:pPr>
              <w:jc w:val="left"/>
            </w:pPr>
            <w:r/>
            <w:r>
              <w:rPr>
                <w:rFonts w:ascii="微软雅黑" w:hAnsi="微软雅黑" w:eastAsia="微软雅黑"/>
                <w:b w:val="0"/>
                <w:sz w:val="20"/>
              </w:rPr>
              <w:t>创始人半年薪酬（3人）</w:t>
            </w:r>
          </w:p>
        </w:tc>
        <w:tc>
          <w:tcPr>
            <w:tcW w:type="dxa" w:w="3022"/>
          </w:tcPr>
          <w:p>
            <w:pPr>
              <w:jc w:val="center"/>
            </w:pPr>
            <w:r/>
            <w:r>
              <w:rPr>
                <w:rFonts w:ascii="微软雅黑" w:hAnsi="微软雅黑" w:eastAsia="微软雅黑"/>
                <w:b w:val="0"/>
                <w:sz w:val="20"/>
              </w:rPr>
              <w:t>7.2</w:t>
            </w:r>
          </w:p>
        </w:tc>
        <w:tc>
          <w:tcPr>
            <w:tcW w:type="dxa" w:w="3022"/>
          </w:tcPr>
          <w:p>
            <w:pPr>
              <w:jc w:val="center"/>
            </w:pPr>
            <w:r/>
            <w:r>
              <w:rPr>
                <w:rFonts w:ascii="微软雅黑" w:hAnsi="微软雅黑" w:eastAsia="微软雅黑"/>
                <w:b w:val="0"/>
                <w:sz w:val="20"/>
              </w:rPr>
              <w:t>7.2</w:t>
            </w:r>
          </w:p>
        </w:tc>
      </w:tr>
      <w:tr>
        <w:tc>
          <w:tcPr>
            <w:tcW w:type="dxa" w:w="3022"/>
          </w:tcPr>
          <w:p>
            <w:pPr>
              <w:jc w:val="left"/>
            </w:pPr>
            <w:r/>
            <w:r>
              <w:rPr>
                <w:rFonts w:ascii="微软雅黑" w:hAnsi="微软雅黑" w:eastAsia="微软雅黑"/>
                <w:b w:val="0"/>
                <w:sz w:val="20"/>
              </w:rPr>
              <w:t>品牌视觉与包装设计</w:t>
            </w:r>
          </w:p>
        </w:tc>
        <w:tc>
          <w:tcPr>
            <w:tcW w:type="dxa" w:w="3022"/>
          </w:tcPr>
          <w:p>
            <w:pPr>
              <w:jc w:val="center"/>
            </w:pPr>
            <w:r/>
            <w:r>
              <w:rPr>
                <w:rFonts w:ascii="微软雅黑" w:hAnsi="微软雅黑" w:eastAsia="微软雅黑"/>
                <w:b w:val="0"/>
                <w:sz w:val="20"/>
              </w:rPr>
              <w:t>3</w:t>
            </w:r>
          </w:p>
        </w:tc>
        <w:tc>
          <w:tcPr>
            <w:tcW w:type="dxa" w:w="3022"/>
          </w:tcPr>
          <w:p>
            <w:pPr>
              <w:jc w:val="center"/>
            </w:pPr>
            <w:r/>
            <w:r>
              <w:rPr>
                <w:rFonts w:ascii="微软雅黑" w:hAnsi="微软雅黑" w:eastAsia="微软雅黑"/>
                <w:b w:val="0"/>
                <w:sz w:val="20"/>
              </w:rPr>
              <w:t>5</w:t>
            </w:r>
          </w:p>
        </w:tc>
      </w:tr>
      <w:tr>
        <w:tc>
          <w:tcPr>
            <w:tcW w:type="dxa" w:w="3022"/>
          </w:tcPr>
          <w:p>
            <w:pPr>
              <w:jc w:val="left"/>
            </w:pPr>
            <w:r/>
            <w:r>
              <w:rPr>
                <w:rFonts w:ascii="微软雅黑" w:hAnsi="微软雅黑" w:eastAsia="微软雅黑"/>
                <w:b w:val="0"/>
                <w:sz w:val="20"/>
              </w:rPr>
              <w:t>种子用户获客成本</w:t>
            </w:r>
          </w:p>
        </w:tc>
        <w:tc>
          <w:tcPr>
            <w:tcW w:type="dxa" w:w="3022"/>
          </w:tcPr>
          <w:p>
            <w:pPr>
              <w:jc w:val="center"/>
            </w:pPr>
            <w:r/>
            <w:r>
              <w:rPr>
                <w:rFonts w:ascii="微软雅黑" w:hAnsi="微软雅黑" w:eastAsia="微软雅黑"/>
                <w:b w:val="0"/>
                <w:sz w:val="20"/>
              </w:rPr>
              <w:t>5</w:t>
            </w:r>
          </w:p>
        </w:tc>
        <w:tc>
          <w:tcPr>
            <w:tcW w:type="dxa" w:w="3022"/>
          </w:tcPr>
          <w:p>
            <w:pPr>
              <w:jc w:val="center"/>
            </w:pPr>
            <w:r/>
            <w:r>
              <w:rPr>
                <w:rFonts w:ascii="微软雅黑" w:hAnsi="微软雅黑" w:eastAsia="微软雅黑"/>
                <w:b w:val="0"/>
                <w:sz w:val="20"/>
              </w:rPr>
              <w:t>8</w:t>
            </w:r>
          </w:p>
        </w:tc>
      </w:tr>
      <w:tr>
        <w:tc>
          <w:tcPr>
            <w:tcW w:type="dxa" w:w="3022"/>
          </w:tcPr>
          <w:p>
            <w:pPr>
              <w:jc w:val="left"/>
            </w:pPr>
            <w:r/>
            <w:r>
              <w:rPr>
                <w:rFonts w:ascii="微软雅黑" w:hAnsi="微软雅黑" w:eastAsia="微软雅黑"/>
                <w:b w:val="0"/>
                <w:sz w:val="20"/>
              </w:rPr>
              <w:t>电商平台入驻与运营</w:t>
            </w:r>
          </w:p>
        </w:tc>
        <w:tc>
          <w:tcPr>
            <w:tcW w:type="dxa" w:w="3022"/>
          </w:tcPr>
          <w:p>
            <w:pPr>
              <w:jc w:val="center"/>
            </w:pPr>
            <w:r/>
            <w:r>
              <w:rPr>
                <w:rFonts w:ascii="微软雅黑" w:hAnsi="微软雅黑" w:eastAsia="微软雅黑"/>
                <w:b w:val="0"/>
                <w:sz w:val="20"/>
              </w:rPr>
              <w:t>—</w:t>
            </w:r>
          </w:p>
        </w:tc>
        <w:tc>
          <w:tcPr>
            <w:tcW w:type="dxa" w:w="3022"/>
          </w:tcPr>
          <w:p>
            <w:pPr>
              <w:jc w:val="center"/>
            </w:pPr>
            <w:r/>
            <w:r>
              <w:rPr>
                <w:rFonts w:ascii="微软雅黑" w:hAnsi="微软雅黑" w:eastAsia="微软雅黑"/>
                <w:b w:val="0"/>
                <w:sz w:val="20"/>
              </w:rPr>
              <w:t>6</w:t>
            </w:r>
          </w:p>
        </w:tc>
      </w:tr>
      <w:tr>
        <w:tc>
          <w:tcPr>
            <w:tcW w:type="dxa" w:w="3022"/>
          </w:tcPr>
          <w:p>
            <w:pPr>
              <w:jc w:val="left"/>
            </w:pPr>
            <w:r/>
            <w:r>
              <w:rPr>
                <w:rFonts w:ascii="微软雅黑" w:hAnsi="微软雅黑" w:eastAsia="微软雅黑"/>
                <w:b w:val="0"/>
                <w:sz w:val="20"/>
              </w:rPr>
              <w:t>营销内容制作与投放</w:t>
            </w:r>
          </w:p>
        </w:tc>
        <w:tc>
          <w:tcPr>
            <w:tcW w:type="dxa" w:w="3022"/>
          </w:tcPr>
          <w:p>
            <w:pPr>
              <w:jc w:val="center"/>
            </w:pPr>
            <w:r/>
            <w:r>
              <w:rPr>
                <w:rFonts w:ascii="微软雅黑" w:hAnsi="微软雅黑" w:eastAsia="微软雅黑"/>
                <w:b w:val="0"/>
                <w:sz w:val="20"/>
              </w:rPr>
              <w:t>3</w:t>
            </w:r>
          </w:p>
        </w:tc>
        <w:tc>
          <w:tcPr>
            <w:tcW w:type="dxa" w:w="3022"/>
          </w:tcPr>
          <w:p>
            <w:pPr>
              <w:jc w:val="center"/>
            </w:pPr>
            <w:r/>
            <w:r>
              <w:rPr>
                <w:rFonts w:ascii="微软雅黑" w:hAnsi="微软雅黑" w:eastAsia="微软雅黑"/>
                <w:b w:val="0"/>
                <w:sz w:val="20"/>
              </w:rPr>
              <w:t>8</w:t>
            </w:r>
          </w:p>
        </w:tc>
      </w:tr>
    </w:tbl>
    <w:p/>
    <w:p>
      <w:pPr>
        <w:spacing w:after="120"/>
        <w:jc w:val="left"/>
      </w:pPr>
      <w:r>
        <w:rPr>
          <w:rFonts w:ascii="微软雅黑" w:hAnsi="微软雅黑" w:eastAsia="微软雅黑"/>
          <w:b/>
          <w:sz w:val="24"/>
        </w:rPr>
        <w:t>营收预测（未来3年）</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
              <w:rPr>
                <w:rFonts w:ascii="微软雅黑" w:hAnsi="微软雅黑" w:eastAsia="微软雅黑"/>
                <w:b/>
                <w:sz w:val="21"/>
              </w:rPr>
              <w:t>指标</w:t>
            </w:r>
          </w:p>
        </w:tc>
        <w:tc>
          <w:tcPr>
            <w:tcW w:type="dxa" w:w="2266"/>
          </w:tcPr>
          <w:p>
            <w:pPr>
              <w:jc w:val="center"/>
            </w:pPr>
            <w:r/>
            <w:r>
              <w:rPr>
                <w:rFonts w:ascii="微软雅黑" w:hAnsi="微软雅黑" w:eastAsia="微软雅黑"/>
                <w:b/>
                <w:sz w:val="21"/>
              </w:rPr>
              <w:t>第1年</w:t>
            </w:r>
          </w:p>
        </w:tc>
        <w:tc>
          <w:tcPr>
            <w:tcW w:type="dxa" w:w="2266"/>
          </w:tcPr>
          <w:p>
            <w:pPr>
              <w:jc w:val="center"/>
            </w:pPr>
            <w:r/>
            <w:r>
              <w:rPr>
                <w:rFonts w:ascii="微软雅黑" w:hAnsi="微软雅黑" w:eastAsia="微软雅黑"/>
                <w:b/>
                <w:sz w:val="21"/>
              </w:rPr>
              <w:t>第2年</w:t>
            </w:r>
          </w:p>
        </w:tc>
        <w:tc>
          <w:tcPr>
            <w:tcW w:type="dxa" w:w="2266"/>
          </w:tcPr>
          <w:p>
            <w:pPr>
              <w:jc w:val="center"/>
            </w:pPr>
            <w:r/>
            <w:r>
              <w:rPr>
                <w:rFonts w:ascii="微软雅黑" w:hAnsi="微软雅黑" w:eastAsia="微软雅黑"/>
                <w:b/>
                <w:sz w:val="21"/>
              </w:rPr>
              <w:t>第3年</w:t>
            </w:r>
          </w:p>
        </w:tc>
      </w:tr>
      <w:tr>
        <w:tc>
          <w:tcPr>
            <w:tcW w:type="dxa" w:w="2266"/>
          </w:tcPr>
          <w:p>
            <w:pPr>
              <w:jc w:val="left"/>
            </w:pPr>
            <w:r/>
            <w:r>
              <w:rPr>
                <w:rFonts w:ascii="微软雅黑" w:hAnsi="微软雅黑" w:eastAsia="微软雅黑"/>
                <w:b/>
                <w:sz w:val="20"/>
              </w:rPr>
              <w:t>累计用户数</w:t>
            </w:r>
          </w:p>
        </w:tc>
        <w:tc>
          <w:tcPr>
            <w:tcW w:type="dxa" w:w="2266"/>
          </w:tcPr>
          <w:p>
            <w:pPr>
              <w:jc w:val="center"/>
            </w:pPr>
            <w:r/>
            <w:r>
              <w:rPr>
                <w:rFonts w:ascii="微软雅黑" w:hAnsi="微软雅黑" w:eastAsia="微软雅黑"/>
                <w:b w:val="0"/>
                <w:sz w:val="20"/>
              </w:rPr>
              <w:t>300-500</w:t>
            </w:r>
          </w:p>
        </w:tc>
        <w:tc>
          <w:tcPr>
            <w:tcW w:type="dxa" w:w="2266"/>
          </w:tcPr>
          <w:p>
            <w:pPr>
              <w:jc w:val="center"/>
            </w:pPr>
            <w:r/>
            <w:r>
              <w:rPr>
                <w:rFonts w:ascii="微软雅黑" w:hAnsi="微软雅黑" w:eastAsia="微软雅黑"/>
                <w:b w:val="0"/>
                <w:sz w:val="20"/>
              </w:rPr>
              <w:t>1,500-2,500</w:t>
            </w:r>
          </w:p>
        </w:tc>
        <w:tc>
          <w:tcPr>
            <w:tcW w:type="dxa" w:w="2266"/>
          </w:tcPr>
          <w:p>
            <w:pPr>
              <w:jc w:val="center"/>
            </w:pPr>
            <w:r/>
            <w:r>
              <w:rPr>
                <w:rFonts w:ascii="微软雅黑" w:hAnsi="微软雅黑" w:eastAsia="微软雅黑"/>
                <w:b w:val="0"/>
                <w:sz w:val="20"/>
              </w:rPr>
              <w:t>5,000-8,000</w:t>
            </w:r>
          </w:p>
        </w:tc>
      </w:tr>
      <w:tr>
        <w:tc>
          <w:tcPr>
            <w:tcW w:type="dxa" w:w="2266"/>
          </w:tcPr>
          <w:p>
            <w:pPr>
              <w:jc w:val="left"/>
            </w:pPr>
            <w:r/>
            <w:r>
              <w:rPr>
                <w:rFonts w:ascii="微软雅黑" w:hAnsi="微软雅黑" w:eastAsia="微软雅黑"/>
                <w:b/>
                <w:sz w:val="20"/>
              </w:rPr>
              <w:t>月均营收（万元）</w:t>
            </w:r>
          </w:p>
        </w:tc>
        <w:tc>
          <w:tcPr>
            <w:tcW w:type="dxa" w:w="2266"/>
          </w:tcPr>
          <w:p>
            <w:pPr>
              <w:jc w:val="center"/>
            </w:pPr>
            <w:r/>
            <w:r>
              <w:rPr>
                <w:rFonts w:ascii="微软雅黑" w:hAnsi="微软雅黑" w:eastAsia="微软雅黑"/>
                <w:b w:val="0"/>
                <w:sz w:val="20"/>
              </w:rPr>
              <w:t>5-12</w:t>
            </w:r>
          </w:p>
        </w:tc>
        <w:tc>
          <w:tcPr>
            <w:tcW w:type="dxa" w:w="2266"/>
          </w:tcPr>
          <w:p>
            <w:pPr>
              <w:jc w:val="center"/>
            </w:pPr>
            <w:r/>
            <w:r>
              <w:rPr>
                <w:rFonts w:ascii="微软雅黑" w:hAnsi="微软雅黑" w:eastAsia="微软雅黑"/>
                <w:b w:val="0"/>
                <w:sz w:val="20"/>
              </w:rPr>
              <w:t>20-35</w:t>
            </w:r>
          </w:p>
        </w:tc>
        <w:tc>
          <w:tcPr>
            <w:tcW w:type="dxa" w:w="2266"/>
          </w:tcPr>
          <w:p>
            <w:pPr>
              <w:jc w:val="center"/>
            </w:pPr>
            <w:r/>
            <w:r>
              <w:rPr>
                <w:rFonts w:ascii="微软雅黑" w:hAnsi="微软雅黑" w:eastAsia="微软雅黑"/>
                <w:b w:val="0"/>
                <w:sz w:val="20"/>
              </w:rPr>
              <w:t>60-100</w:t>
            </w:r>
          </w:p>
        </w:tc>
      </w:tr>
      <w:tr>
        <w:tc>
          <w:tcPr>
            <w:tcW w:type="dxa" w:w="2266"/>
          </w:tcPr>
          <w:p>
            <w:pPr>
              <w:jc w:val="left"/>
            </w:pPr>
            <w:r/>
            <w:r>
              <w:rPr>
                <w:rFonts w:ascii="微软雅黑" w:hAnsi="微软雅黑" w:eastAsia="微软雅黑"/>
                <w:b/>
                <w:sz w:val="20"/>
              </w:rPr>
              <w:t>年营收（万元）</w:t>
            </w:r>
          </w:p>
        </w:tc>
        <w:tc>
          <w:tcPr>
            <w:tcW w:type="dxa" w:w="2266"/>
          </w:tcPr>
          <w:p>
            <w:pPr>
              <w:jc w:val="center"/>
            </w:pPr>
            <w:r/>
            <w:r>
              <w:rPr>
                <w:rFonts w:ascii="微软雅黑" w:hAnsi="微软雅黑" w:eastAsia="微软雅黑"/>
                <w:b w:val="0"/>
                <w:sz w:val="20"/>
              </w:rPr>
              <w:t>60-120</w:t>
            </w:r>
          </w:p>
        </w:tc>
        <w:tc>
          <w:tcPr>
            <w:tcW w:type="dxa" w:w="2266"/>
          </w:tcPr>
          <w:p>
            <w:pPr>
              <w:jc w:val="center"/>
            </w:pPr>
            <w:r/>
            <w:r>
              <w:rPr>
                <w:rFonts w:ascii="微软雅黑" w:hAnsi="微软雅黑" w:eastAsia="微软雅黑"/>
                <w:b w:val="0"/>
                <w:sz w:val="20"/>
              </w:rPr>
              <w:t>250-420</w:t>
            </w:r>
          </w:p>
        </w:tc>
        <w:tc>
          <w:tcPr>
            <w:tcW w:type="dxa" w:w="2266"/>
          </w:tcPr>
          <w:p>
            <w:pPr>
              <w:jc w:val="center"/>
            </w:pPr>
            <w:r/>
            <w:r>
              <w:rPr>
                <w:rFonts w:ascii="微软雅黑" w:hAnsi="微软雅黑" w:eastAsia="微软雅黑"/>
                <w:b w:val="0"/>
                <w:sz w:val="20"/>
              </w:rPr>
              <w:t>720-1,200</w:t>
            </w:r>
          </w:p>
        </w:tc>
      </w:tr>
    </w:tbl>
    <w:p/>
    <w:p>
      <w:pPr>
        <w:spacing w:after="120"/>
        <w:jc w:val="left"/>
      </w:pPr>
      <w:r>
        <w:rPr>
          <w:rFonts w:ascii="微软雅黑" w:hAnsi="微软雅黑" w:eastAsia="微软雅黑"/>
          <w:b/>
          <w:sz w:val="24"/>
        </w:rPr>
        <w:t>关键财务指标</w:t>
      </w:r>
    </w:p>
    <w:p>
      <w:pPr>
        <w:pStyle w:val="ListBullet"/>
        <w:spacing w:after="60"/>
      </w:pPr>
      <w:r>
        <w:rPr>
          <w:rFonts w:ascii="微软雅黑" w:hAnsi="微软雅黑" w:eastAsia="微软雅黑"/>
          <w:sz w:val="21"/>
        </w:rPr>
        <w:t>初期毛利率：35%-45%</w:t>
      </w:r>
    </w:p>
    <w:p>
      <w:pPr>
        <w:pStyle w:val="ListBullet"/>
        <w:spacing w:after="60"/>
      </w:pPr>
      <w:r>
        <w:rPr>
          <w:rFonts w:ascii="微软雅黑" w:hAnsi="微软雅黑" w:eastAsia="微软雅黑"/>
          <w:sz w:val="21"/>
        </w:rPr>
        <w:t>目标复购率：&gt;20%（12个月内验证）</w:t>
      </w:r>
    </w:p>
    <w:p>
      <w:pPr>
        <w:pStyle w:val="ListBullet"/>
        <w:spacing w:after="60"/>
      </w:pPr>
      <w:r>
        <w:rPr>
          <w:rFonts w:ascii="微软雅黑" w:hAnsi="微软雅黑" w:eastAsia="微软雅黑"/>
          <w:sz w:val="21"/>
        </w:rPr>
        <w:t>用户LTV/CAC比值目标：&gt;3</w:t>
      </w:r>
    </w:p>
    <w:p>
      <w:pPr>
        <w:pStyle w:val="ListBullet"/>
        <w:spacing w:after="60"/>
      </w:pPr>
      <w:r>
        <w:rPr>
          <w:rFonts w:ascii="微软雅黑" w:hAnsi="微软雅黑" w:eastAsia="微软雅黑"/>
          <w:sz w:val="21"/>
        </w:rPr>
        <w:t>成品库存周转：控制在1个月以内</w:t>
      </w:r>
    </w:p>
    <w:p>
      <w:r>
        <w:br w:type="page"/>
      </w:r>
    </w:p>
    <w:p>
      <w:pPr>
        <w:pStyle w:val="Heading1"/>
      </w:pPr>
      <w:r>
        <w:rPr>
          <w:rFonts w:ascii="微软雅黑" w:hAnsi="微软雅黑" w:eastAsia="微软雅黑"/>
        </w:rPr>
        <w:t>11. 融资计划</w:t>
      </w:r>
    </w:p>
    <w:p>
      <w:pPr>
        <w:spacing w:after="120"/>
        <w:jc w:val="left"/>
      </w:pPr>
      <w:r>
        <w:rPr>
          <w:rFonts w:ascii="微软雅黑" w:hAnsi="微软雅黑" w:eastAsia="微软雅黑"/>
          <w:b/>
          <w:sz w:val="24"/>
        </w:rPr>
        <w:t>种子轮融资方案对比</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微软雅黑" w:hAnsi="微软雅黑" w:eastAsia="微软雅黑"/>
                <w:b/>
                <w:sz w:val="21"/>
              </w:rPr>
              <w:t>对比项</w:t>
            </w:r>
          </w:p>
        </w:tc>
        <w:tc>
          <w:tcPr>
            <w:tcW w:type="dxa" w:w="3022"/>
          </w:tcPr>
          <w:p>
            <w:pPr>
              <w:jc w:val="center"/>
            </w:pPr>
            <w:r/>
            <w:r>
              <w:rPr>
                <w:rFonts w:ascii="微软雅黑" w:hAnsi="微软雅黑" w:eastAsia="微软雅黑"/>
                <w:b/>
                <w:sz w:val="21"/>
              </w:rPr>
              <w:t>方案A（极致精益）</w:t>
            </w:r>
          </w:p>
        </w:tc>
        <w:tc>
          <w:tcPr>
            <w:tcW w:type="dxa" w:w="3022"/>
          </w:tcPr>
          <w:p>
            <w:pPr>
              <w:jc w:val="center"/>
            </w:pPr>
            <w:r/>
            <w:r>
              <w:rPr>
                <w:rFonts w:ascii="微软雅黑" w:hAnsi="微软雅黑" w:eastAsia="微软雅黑"/>
                <w:b/>
                <w:sz w:val="21"/>
              </w:rPr>
              <w:t>方案B（小步快跑）</w:t>
            </w:r>
          </w:p>
        </w:tc>
      </w:tr>
      <w:tr>
        <w:tc>
          <w:tcPr>
            <w:tcW w:type="dxa" w:w="3022"/>
          </w:tcPr>
          <w:p>
            <w:pPr>
              <w:jc w:val="center"/>
            </w:pPr>
            <w:r/>
            <w:r>
              <w:rPr>
                <w:rFonts w:ascii="微软雅黑" w:hAnsi="微软雅黑" w:eastAsia="微软雅黑"/>
                <w:b/>
                <w:sz w:val="20"/>
              </w:rPr>
              <w:t>融资金额</w:t>
            </w:r>
          </w:p>
        </w:tc>
        <w:tc>
          <w:tcPr>
            <w:tcW w:type="dxa" w:w="3022"/>
          </w:tcPr>
          <w:p>
            <w:pPr>
              <w:jc w:val="left"/>
            </w:pPr>
            <w:r/>
            <w:r>
              <w:rPr>
                <w:rFonts w:ascii="微软雅黑" w:hAnsi="微软雅黑" w:eastAsia="微软雅黑"/>
                <w:b w:val="0"/>
                <w:sz w:val="20"/>
              </w:rPr>
              <w:t>30万元</w:t>
            </w:r>
          </w:p>
        </w:tc>
        <w:tc>
          <w:tcPr>
            <w:tcW w:type="dxa" w:w="3022"/>
          </w:tcPr>
          <w:p>
            <w:pPr>
              <w:jc w:val="left"/>
            </w:pPr>
            <w:r/>
            <w:r>
              <w:rPr>
                <w:rFonts w:ascii="微软雅黑" w:hAnsi="微软雅黑" w:eastAsia="微软雅黑"/>
                <w:b w:val="0"/>
                <w:sz w:val="20"/>
              </w:rPr>
              <w:t>50万元</w:t>
            </w:r>
          </w:p>
        </w:tc>
      </w:tr>
      <w:tr>
        <w:tc>
          <w:tcPr>
            <w:tcW w:type="dxa" w:w="3022"/>
          </w:tcPr>
          <w:p>
            <w:pPr>
              <w:jc w:val="center"/>
            </w:pPr>
            <w:r/>
            <w:r>
              <w:rPr>
                <w:rFonts w:ascii="微软雅黑" w:hAnsi="微软雅黑" w:eastAsia="微软雅黑"/>
                <w:b/>
                <w:sz w:val="20"/>
              </w:rPr>
              <w:t>出让股权</w:t>
            </w:r>
          </w:p>
        </w:tc>
        <w:tc>
          <w:tcPr>
            <w:tcW w:type="dxa" w:w="3022"/>
          </w:tcPr>
          <w:p>
            <w:pPr>
              <w:jc w:val="left"/>
            </w:pPr>
            <w:r/>
            <w:r>
              <w:rPr>
                <w:rFonts w:ascii="微软雅黑" w:hAnsi="微软雅黑" w:eastAsia="微软雅黑"/>
                <w:b w:val="0"/>
                <w:sz w:val="20"/>
              </w:rPr>
              <w:t>15%</w:t>
            </w:r>
          </w:p>
        </w:tc>
        <w:tc>
          <w:tcPr>
            <w:tcW w:type="dxa" w:w="3022"/>
          </w:tcPr>
          <w:p>
            <w:pPr>
              <w:jc w:val="left"/>
            </w:pPr>
            <w:r/>
            <w:r>
              <w:rPr>
                <w:rFonts w:ascii="微软雅黑" w:hAnsi="微软雅黑" w:eastAsia="微软雅黑"/>
                <w:b w:val="0"/>
                <w:sz w:val="20"/>
              </w:rPr>
              <w:t>20%</w:t>
            </w:r>
          </w:p>
        </w:tc>
      </w:tr>
      <w:tr>
        <w:tc>
          <w:tcPr>
            <w:tcW w:type="dxa" w:w="3022"/>
          </w:tcPr>
          <w:p>
            <w:pPr>
              <w:jc w:val="center"/>
            </w:pPr>
            <w:r/>
            <w:r>
              <w:rPr>
                <w:rFonts w:ascii="微软雅黑" w:hAnsi="微软雅黑" w:eastAsia="微软雅黑"/>
                <w:b/>
                <w:sz w:val="20"/>
              </w:rPr>
              <w:t>核心目标</w:t>
            </w:r>
          </w:p>
        </w:tc>
        <w:tc>
          <w:tcPr>
            <w:tcW w:type="dxa" w:w="3022"/>
          </w:tcPr>
          <w:p>
            <w:pPr>
              <w:jc w:val="left"/>
            </w:pPr>
            <w:r/>
            <w:r>
              <w:rPr>
                <w:rFonts w:ascii="微软雅黑" w:hAnsi="微软雅黑" w:eastAsia="微软雅黑"/>
                <w:b w:val="0"/>
                <w:sz w:val="20"/>
              </w:rPr>
              <w:t>跑通私域复购闭环</w:t>
              <w:br/>
              <w:t>积累300种子用户</w:t>
            </w:r>
          </w:p>
        </w:tc>
        <w:tc>
          <w:tcPr>
            <w:tcW w:type="dxa" w:w="3022"/>
          </w:tcPr>
          <w:p>
            <w:pPr>
              <w:jc w:val="left"/>
            </w:pPr>
            <w:r/>
            <w:r>
              <w:rPr>
                <w:rFonts w:ascii="微软雅黑" w:hAnsi="微软雅黑" w:eastAsia="微软雅黑"/>
                <w:b w:val="0"/>
                <w:sz w:val="20"/>
              </w:rPr>
              <w:t>品牌基础建设+电商上线</w:t>
              <w:br/>
              <w:t>积累500种子用户</w:t>
            </w:r>
          </w:p>
        </w:tc>
      </w:tr>
      <w:tr>
        <w:tc>
          <w:tcPr>
            <w:tcW w:type="dxa" w:w="3022"/>
          </w:tcPr>
          <w:p>
            <w:pPr>
              <w:jc w:val="center"/>
            </w:pPr>
            <w:r/>
            <w:r>
              <w:rPr>
                <w:rFonts w:ascii="微软雅黑" w:hAnsi="微软雅黑" w:eastAsia="微软雅黑"/>
                <w:b/>
                <w:sz w:val="20"/>
              </w:rPr>
              <w:t>月营收目标</w:t>
            </w:r>
          </w:p>
        </w:tc>
        <w:tc>
          <w:tcPr>
            <w:tcW w:type="dxa" w:w="3022"/>
          </w:tcPr>
          <w:p>
            <w:pPr>
              <w:jc w:val="left"/>
            </w:pPr>
            <w:r/>
            <w:r>
              <w:rPr>
                <w:rFonts w:ascii="微软雅黑" w:hAnsi="微软雅黑" w:eastAsia="微软雅黑"/>
                <w:b w:val="0"/>
                <w:sz w:val="20"/>
              </w:rPr>
              <w:t>5-8万元</w:t>
            </w:r>
          </w:p>
        </w:tc>
        <w:tc>
          <w:tcPr>
            <w:tcW w:type="dxa" w:w="3022"/>
          </w:tcPr>
          <w:p>
            <w:pPr>
              <w:jc w:val="left"/>
            </w:pPr>
            <w:r/>
            <w:r>
              <w:rPr>
                <w:rFonts w:ascii="微软雅黑" w:hAnsi="微软雅黑" w:eastAsia="微软雅黑"/>
                <w:b w:val="0"/>
                <w:sz w:val="20"/>
              </w:rPr>
              <w:t>8-12万元</w:t>
            </w:r>
          </w:p>
        </w:tc>
      </w:tr>
      <w:tr>
        <w:tc>
          <w:tcPr>
            <w:tcW w:type="dxa" w:w="3022"/>
          </w:tcPr>
          <w:p>
            <w:pPr>
              <w:jc w:val="center"/>
            </w:pPr>
            <w:r/>
            <w:r>
              <w:rPr>
                <w:rFonts w:ascii="微软雅黑" w:hAnsi="微软雅黑" w:eastAsia="微软雅黑"/>
                <w:b/>
                <w:sz w:val="20"/>
              </w:rPr>
              <w:t>关键差异</w:t>
            </w:r>
          </w:p>
        </w:tc>
        <w:tc>
          <w:tcPr>
            <w:tcW w:type="dxa" w:w="3022"/>
          </w:tcPr>
          <w:p>
            <w:pPr>
              <w:jc w:val="left"/>
            </w:pPr>
            <w:r/>
            <w:r>
              <w:rPr>
                <w:rFonts w:ascii="微软雅黑" w:hAnsi="微软雅黑" w:eastAsia="微软雅黑"/>
                <w:b w:val="0"/>
                <w:sz w:val="20"/>
              </w:rPr>
              <w:t>极致精益</w:t>
              <w:br/>
              <w:t>仅私域渠道</w:t>
            </w:r>
          </w:p>
        </w:tc>
        <w:tc>
          <w:tcPr>
            <w:tcW w:type="dxa" w:w="3022"/>
          </w:tcPr>
          <w:p>
            <w:pPr>
              <w:jc w:val="left"/>
            </w:pPr>
            <w:r/>
            <w:r>
              <w:rPr>
                <w:rFonts w:ascii="微软雅黑" w:hAnsi="微软雅黑" w:eastAsia="微软雅黑"/>
                <w:b w:val="0"/>
                <w:sz w:val="20"/>
              </w:rPr>
              <w:t>品牌视觉升级</w:t>
              <w:br/>
              <w:t>电商多渠道布局</w:t>
              <w:br/>
              <w:t>营销试错空间充足</w:t>
            </w:r>
          </w:p>
        </w:tc>
      </w:tr>
    </w:tbl>
    <w:p/>
    <w:p>
      <w:pPr>
        <w:spacing w:after="120"/>
        <w:jc w:val="left"/>
      </w:pPr>
      <w:r>
        <w:rPr>
          <w:rFonts w:ascii="微软雅黑" w:hAnsi="微软雅黑" w:eastAsia="微软雅黑"/>
          <w:b/>
          <w:sz w:val="24"/>
        </w:rPr>
        <w:t>资金使用计划</w:t>
      </w:r>
    </w:p>
    <w:p>
      <w:pPr>
        <w:pStyle w:val="ListBullet"/>
        <w:spacing w:after="60"/>
      </w:pPr>
      <w:r>
        <w:rPr>
          <w:rFonts w:ascii="微软雅黑" w:hAnsi="微软雅黑" w:eastAsia="微软雅黑"/>
          <w:sz w:val="21"/>
        </w:rPr>
        <w:t>产品打样备货、首批生产原料采购。</w:t>
      </w:r>
    </w:p>
    <w:p>
      <w:pPr>
        <w:pStyle w:val="ListBullet"/>
        <w:spacing w:after="60"/>
      </w:pPr>
      <w:r>
        <w:rPr>
          <w:rFonts w:ascii="微软雅黑" w:hAnsi="微软雅黑" w:eastAsia="微软雅黑"/>
          <w:sz w:val="21"/>
        </w:rPr>
        <w:t>品牌视觉体系搭建（VI、包装设计、电商详情页）。</w:t>
      </w:r>
    </w:p>
    <w:p>
      <w:pPr>
        <w:pStyle w:val="ListBullet"/>
        <w:spacing w:after="60"/>
      </w:pPr>
      <w:r>
        <w:rPr>
          <w:rFonts w:ascii="微软雅黑" w:hAnsi="微软雅黑" w:eastAsia="微软雅黑"/>
          <w:sz w:val="21"/>
        </w:rPr>
        <w:t>种子用户获取（KOC合作、社群运营）。</w:t>
      </w:r>
    </w:p>
    <w:p>
      <w:pPr>
        <w:pStyle w:val="ListBullet"/>
        <w:spacing w:after="60"/>
      </w:pPr>
      <w:r>
        <w:rPr>
          <w:rFonts w:ascii="微软雅黑" w:hAnsi="微软雅黑" w:eastAsia="微软雅黑"/>
          <w:sz w:val="21"/>
        </w:rPr>
        <w:t>创始人基本薪酬保障（约4000元/人/月）。</w:t>
      </w:r>
    </w:p>
    <w:p>
      <w:pPr>
        <w:pStyle w:val="ListBullet"/>
        <w:spacing w:after="60"/>
      </w:pPr>
      <w:r>
        <w:rPr>
          <w:rFonts w:ascii="微软雅黑" w:hAnsi="微软雅黑" w:eastAsia="微软雅黑"/>
          <w:sz w:val="21"/>
        </w:rPr>
        <w:t>电商平台入驻费用（方案B）。</w:t>
      </w:r>
    </w:p>
    <w:p>
      <w:pPr>
        <w:pStyle w:val="ListBullet"/>
        <w:spacing w:after="60"/>
      </w:pPr>
      <w:r>
        <w:rPr>
          <w:rFonts w:ascii="微软雅黑" w:hAnsi="微软雅黑" w:eastAsia="微软雅黑"/>
          <w:sz w:val="21"/>
        </w:rPr>
        <w:t>营销内容制作与小规模投放测试。</w:t>
      </w:r>
    </w:p>
    <w:p>
      <w:pPr>
        <w:spacing w:after="120"/>
        <w:jc w:val="left"/>
      </w:pPr>
      <w:r>
        <w:rPr>
          <w:rFonts w:ascii="微软雅黑" w:hAnsi="微软雅黑" w:eastAsia="微软雅黑"/>
          <w:b/>
          <w:sz w:val="24"/>
        </w:rPr>
        <w:t>退出机制</w:t>
      </w:r>
    </w:p>
    <w:p>
      <w:pPr>
        <w:spacing w:after="120"/>
        <w:jc w:val="left"/>
      </w:pPr>
      <w:r>
        <w:rPr>
          <w:rFonts w:ascii="微软雅黑" w:hAnsi="微软雅黑" w:eastAsia="微软雅黑"/>
          <w:b w:val="0"/>
          <w:sz w:val="22"/>
        </w:rPr>
        <w:t>投资人可通过以下方式实现退出：下一轮融资时的老股转让；公司盈利后的分红回报；战略收购时的股权退出。我们致力于为早期投资人创造最大价值。</w:t>
      </w:r>
    </w:p>
    <w:p>
      <w:r>
        <w:br w:type="page"/>
      </w:r>
    </w:p>
    <w:p>
      <w:pPr>
        <w:pStyle w:val="Heading1"/>
      </w:pPr>
      <w:r>
        <w:rPr>
          <w:rFonts w:ascii="微软雅黑" w:hAnsi="微软雅黑" w:eastAsia="微软雅黑"/>
        </w:rPr>
        <w:t>12. 风险与应对方案</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微软雅黑" w:hAnsi="微软雅黑" w:eastAsia="微软雅黑"/>
                <w:b/>
                <w:sz w:val="21"/>
              </w:rPr>
              <w:t>风险类型</w:t>
            </w:r>
          </w:p>
        </w:tc>
        <w:tc>
          <w:tcPr>
            <w:tcW w:type="dxa" w:w="3022"/>
          </w:tcPr>
          <w:p>
            <w:pPr>
              <w:jc w:val="center"/>
            </w:pPr>
            <w:r/>
            <w:r>
              <w:rPr>
                <w:rFonts w:ascii="微软雅黑" w:hAnsi="微软雅黑" w:eastAsia="微软雅黑"/>
                <w:b/>
                <w:sz w:val="21"/>
              </w:rPr>
              <w:t>风险描述</w:t>
            </w:r>
          </w:p>
        </w:tc>
        <w:tc>
          <w:tcPr>
            <w:tcW w:type="dxa" w:w="3022"/>
          </w:tcPr>
          <w:p>
            <w:pPr>
              <w:jc w:val="center"/>
            </w:pPr>
            <w:r/>
            <w:r>
              <w:rPr>
                <w:rFonts w:ascii="微软雅黑" w:hAnsi="微软雅黑" w:eastAsia="微软雅黑"/>
                <w:b/>
                <w:sz w:val="21"/>
              </w:rPr>
              <w:t>应对方案</w:t>
            </w:r>
          </w:p>
        </w:tc>
      </w:tr>
      <w:tr>
        <w:tc>
          <w:tcPr>
            <w:tcW w:type="dxa" w:w="3022"/>
          </w:tcPr>
          <w:p>
            <w:pPr>
              <w:jc w:val="center"/>
            </w:pPr>
            <w:r/>
            <w:r>
              <w:rPr>
                <w:rFonts w:ascii="微软雅黑" w:hAnsi="微软雅黑" w:eastAsia="微软雅黑"/>
                <w:b/>
                <w:sz w:val="20"/>
              </w:rPr>
              <w:t>供应链风险</w:t>
            </w:r>
          </w:p>
        </w:tc>
        <w:tc>
          <w:tcPr>
            <w:tcW w:type="dxa" w:w="3022"/>
          </w:tcPr>
          <w:p>
            <w:pPr>
              <w:jc w:val="left"/>
            </w:pPr>
            <w:r/>
            <w:r>
              <w:rPr>
                <w:rFonts w:ascii="微软雅黑" w:hAnsi="微软雅黑" w:eastAsia="微软雅黑"/>
                <w:b w:val="0"/>
                <w:sz w:val="19"/>
              </w:rPr>
              <w:t>代工厂产能波动、原料价格波动、品控不稳定</w:t>
            </w:r>
          </w:p>
        </w:tc>
        <w:tc>
          <w:tcPr>
            <w:tcW w:type="dxa" w:w="3022"/>
          </w:tcPr>
          <w:p>
            <w:pPr>
              <w:jc w:val="left"/>
            </w:pPr>
            <w:r/>
            <w:r>
              <w:rPr>
                <w:rFonts w:ascii="微软雅黑" w:hAnsi="微软雅黑" w:eastAsia="微软雅黑"/>
                <w:b w:val="0"/>
                <w:sz w:val="19"/>
              </w:rPr>
              <w:t>与艾坤建立深度绑定关系</w:t>
              <w:br/>
              <w:t>多备选原料供应商</w:t>
              <w:br/>
              <w:t>批批送检第三方</w:t>
              <w:br/>
              <w:t>创始人驻场品控</w:t>
            </w:r>
          </w:p>
        </w:tc>
      </w:tr>
      <w:tr>
        <w:tc>
          <w:tcPr>
            <w:tcW w:type="dxa" w:w="3022"/>
          </w:tcPr>
          <w:p>
            <w:pPr>
              <w:jc w:val="center"/>
            </w:pPr>
            <w:r/>
            <w:r>
              <w:rPr>
                <w:rFonts w:ascii="微软雅黑" w:hAnsi="微软雅黑" w:eastAsia="微软雅黑"/>
                <w:b/>
                <w:sz w:val="20"/>
              </w:rPr>
              <w:t>市场竞争风险</w:t>
            </w:r>
          </w:p>
        </w:tc>
        <w:tc>
          <w:tcPr>
            <w:tcW w:type="dxa" w:w="3022"/>
          </w:tcPr>
          <w:p>
            <w:pPr>
              <w:jc w:val="left"/>
            </w:pPr>
            <w:r/>
            <w:r>
              <w:rPr>
                <w:rFonts w:ascii="微软雅黑" w:hAnsi="微软雅黑" w:eastAsia="微软雅黑"/>
                <w:b w:val="0"/>
                <w:sz w:val="19"/>
              </w:rPr>
              <w:t>头部品牌降价挤压、同类新锐品牌涌现</w:t>
            </w:r>
          </w:p>
        </w:tc>
        <w:tc>
          <w:tcPr>
            <w:tcW w:type="dxa" w:w="3022"/>
          </w:tcPr>
          <w:p>
            <w:pPr>
              <w:jc w:val="left"/>
            </w:pPr>
            <w:r/>
            <w:r>
              <w:rPr>
                <w:rFonts w:ascii="微软雅黑" w:hAnsi="微软雅黑" w:eastAsia="微软雅黑"/>
                <w:b w:val="0"/>
                <w:sz w:val="19"/>
              </w:rPr>
              <w:t>深耕差异化功能赛道</w:t>
              <w:br/>
              <w:t>极致透明建立信任壁垒</w:t>
              <w:br/>
              <w:t>私域深度运营提升粘性</w:t>
            </w:r>
          </w:p>
        </w:tc>
      </w:tr>
      <w:tr>
        <w:tc>
          <w:tcPr>
            <w:tcW w:type="dxa" w:w="3022"/>
          </w:tcPr>
          <w:p>
            <w:pPr>
              <w:jc w:val="center"/>
            </w:pPr>
            <w:r/>
            <w:r>
              <w:rPr>
                <w:rFonts w:ascii="微软雅黑" w:hAnsi="微软雅黑" w:eastAsia="微软雅黑"/>
                <w:b/>
                <w:sz w:val="20"/>
              </w:rPr>
              <w:t>获客成本风险</w:t>
            </w:r>
          </w:p>
        </w:tc>
        <w:tc>
          <w:tcPr>
            <w:tcW w:type="dxa" w:w="3022"/>
          </w:tcPr>
          <w:p>
            <w:pPr>
              <w:jc w:val="left"/>
            </w:pPr>
            <w:r/>
            <w:r>
              <w:rPr>
                <w:rFonts w:ascii="微软雅黑" w:hAnsi="微软雅黑" w:eastAsia="微软雅黑"/>
                <w:b w:val="0"/>
                <w:sz w:val="19"/>
              </w:rPr>
              <w:t>流量红利消退、获客成本持续攀升</w:t>
            </w:r>
          </w:p>
        </w:tc>
        <w:tc>
          <w:tcPr>
            <w:tcW w:type="dxa" w:w="3022"/>
          </w:tcPr>
          <w:p>
            <w:pPr>
              <w:jc w:val="left"/>
            </w:pPr>
            <w:r/>
            <w:r>
              <w:rPr>
                <w:rFonts w:ascii="微软雅黑" w:hAnsi="微软雅黑" w:eastAsia="微软雅黑"/>
                <w:b w:val="0"/>
                <w:sz w:val="19"/>
              </w:rPr>
              <w:t>KOC内容种草降低成本</w:t>
              <w:br/>
              <w:t>私域复购摊薄CAC</w:t>
              <w:br/>
              <w:t>老带新裂变机制</w:t>
            </w:r>
          </w:p>
        </w:tc>
      </w:tr>
      <w:tr>
        <w:tc>
          <w:tcPr>
            <w:tcW w:type="dxa" w:w="3022"/>
          </w:tcPr>
          <w:p>
            <w:pPr>
              <w:jc w:val="center"/>
            </w:pPr>
            <w:r/>
            <w:r>
              <w:rPr>
                <w:rFonts w:ascii="微软雅黑" w:hAnsi="微软雅黑" w:eastAsia="微软雅黑"/>
                <w:b/>
                <w:sz w:val="20"/>
              </w:rPr>
              <w:t>食品安全风险</w:t>
            </w:r>
          </w:p>
        </w:tc>
        <w:tc>
          <w:tcPr>
            <w:tcW w:type="dxa" w:w="3022"/>
          </w:tcPr>
          <w:p>
            <w:pPr>
              <w:jc w:val="left"/>
            </w:pPr>
            <w:r/>
            <w:r>
              <w:rPr>
                <w:rFonts w:ascii="微软雅黑" w:hAnsi="微软雅黑" w:eastAsia="微软雅黑"/>
                <w:b w:val="0"/>
                <w:sz w:val="19"/>
              </w:rPr>
              <w:t>产品批次质量问题、用户投诉</w:t>
            </w:r>
          </w:p>
        </w:tc>
        <w:tc>
          <w:tcPr>
            <w:tcW w:type="dxa" w:w="3022"/>
          </w:tcPr>
          <w:p>
            <w:pPr>
              <w:jc w:val="left"/>
            </w:pPr>
            <w:r/>
            <w:r>
              <w:rPr>
                <w:rFonts w:ascii="微软雅黑" w:hAnsi="微软雅黑" w:eastAsia="微软雅黑"/>
                <w:b w:val="0"/>
                <w:sz w:val="19"/>
              </w:rPr>
              <w:t>严格品控流程</w:t>
              <w:br/>
              <w:t>一物一码溯源体系</w:t>
              <w:br/>
              <w:t>问题批次快速召回</w:t>
              <w:br/>
              <w:t>购买产品责任险</w:t>
            </w:r>
          </w:p>
        </w:tc>
      </w:tr>
      <w:tr>
        <w:tc>
          <w:tcPr>
            <w:tcW w:type="dxa" w:w="3022"/>
          </w:tcPr>
          <w:p>
            <w:pPr>
              <w:jc w:val="center"/>
            </w:pPr>
            <w:r/>
            <w:r>
              <w:rPr>
                <w:rFonts w:ascii="微软雅黑" w:hAnsi="微软雅黑" w:eastAsia="微软雅黑"/>
                <w:b/>
                <w:sz w:val="20"/>
              </w:rPr>
              <w:t>现金流风险</w:t>
            </w:r>
          </w:p>
        </w:tc>
        <w:tc>
          <w:tcPr>
            <w:tcW w:type="dxa" w:w="3022"/>
          </w:tcPr>
          <w:p>
            <w:pPr>
              <w:jc w:val="left"/>
            </w:pPr>
            <w:r/>
            <w:r>
              <w:rPr>
                <w:rFonts w:ascii="微软雅黑" w:hAnsi="微软雅黑" w:eastAsia="微软雅黑"/>
                <w:b w:val="0"/>
                <w:sz w:val="19"/>
              </w:rPr>
              <w:t>前期投入大、回款周期长</w:t>
            </w:r>
          </w:p>
        </w:tc>
        <w:tc>
          <w:tcPr>
            <w:tcW w:type="dxa" w:w="3022"/>
          </w:tcPr>
          <w:p>
            <w:pPr>
              <w:jc w:val="left"/>
            </w:pPr>
            <w:r/>
            <w:r>
              <w:rPr>
                <w:rFonts w:ascii="微软雅黑" w:hAnsi="微软雅黑" w:eastAsia="微软雅黑"/>
                <w:b w:val="0"/>
                <w:sz w:val="19"/>
              </w:rPr>
              <w:t>小单预售模式</w:t>
              <w:br/>
              <w:t>精益库存管理</w:t>
              <w:br/>
              <w:t>先款后货回款机制</w:t>
            </w:r>
          </w:p>
        </w:tc>
      </w:tr>
      <w:tr>
        <w:tc>
          <w:tcPr>
            <w:tcW w:type="dxa" w:w="3022"/>
          </w:tcPr>
          <w:p>
            <w:pPr>
              <w:jc w:val="center"/>
            </w:pPr>
            <w:r/>
            <w:r>
              <w:rPr>
                <w:rFonts w:ascii="微软雅黑" w:hAnsi="微软雅黑" w:eastAsia="微软雅黑"/>
                <w:b/>
                <w:sz w:val="20"/>
              </w:rPr>
              <w:t>团队风险</w:t>
            </w:r>
          </w:p>
        </w:tc>
        <w:tc>
          <w:tcPr>
            <w:tcW w:type="dxa" w:w="3022"/>
          </w:tcPr>
          <w:p>
            <w:pPr>
              <w:jc w:val="left"/>
            </w:pPr>
            <w:r/>
            <w:r>
              <w:rPr>
                <w:rFonts w:ascii="微软雅黑" w:hAnsi="微软雅黑" w:eastAsia="微软雅黑"/>
                <w:b w:val="0"/>
                <w:sz w:val="19"/>
              </w:rPr>
              <w:t>核心成员流失、能力短板</w:t>
            </w:r>
          </w:p>
        </w:tc>
        <w:tc>
          <w:tcPr>
            <w:tcW w:type="dxa" w:w="3022"/>
          </w:tcPr>
          <w:p>
            <w:pPr>
              <w:jc w:val="left"/>
            </w:pPr>
            <w:r/>
            <w:r>
              <w:rPr>
                <w:rFonts w:ascii="微软雅黑" w:hAnsi="微软雅黑" w:eastAsia="微软雅黑"/>
                <w:b w:val="0"/>
                <w:sz w:val="19"/>
              </w:rPr>
              <w:t>股权激励绑定核心团队</w:t>
              <w:br/>
              <w:t>持续引入外部顾问</w:t>
              <w:br/>
              <w:t>创始人全职投入</w:t>
            </w:r>
          </w:p>
        </w:tc>
      </w:tr>
    </w:tbl>
    <w:p/>
    <w:p/>
    <w:p>
      <w:pPr>
        <w:spacing w:before="720"/>
        <w:jc w:val="center"/>
      </w:pPr>
      <w:r>
        <w:rPr>
          <w:rFonts w:ascii="微软雅黑" w:hAnsi="微软雅黑" w:eastAsia="微软雅黑"/>
          <w:b/>
          <w:sz w:val="28"/>
        </w:rPr>
        <w:t>松颂宠食团队</w:t>
      </w:r>
    </w:p>
    <w:p>
      <w:pPr>
        <w:jc w:val="center"/>
      </w:pPr>
      <w:r>
        <w:rPr>
          <w:rFonts w:ascii="微软雅黑" w:hAnsi="微软雅黑" w:eastAsia="微软雅黑"/>
          <w:sz w:val="26"/>
        </w:rPr>
        <w:t>2026年6月</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