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华文仿宋"/>
          <w:szCs w:val="21"/>
        </w:rPr>
      </w:pPr>
    </w:p>
    <w:p>
      <w:pPr>
        <w:jc w:val="center"/>
        <w:rPr>
          <w:rFonts w:ascii="Times New Roman" w:hAnsi="Times New Roman" w:eastAsia="华文仿宋"/>
          <w:szCs w:val="21"/>
        </w:rPr>
      </w:pPr>
      <w:r>
        <w:rPr>
          <w:rFonts w:ascii="Times New Roman" w:hAnsi="Times New Roman" w:eastAsia="华文仿宋" w:cs="Arial"/>
          <w:b/>
          <w:szCs w:val="21"/>
        </w:rPr>
        <w:drawing>
          <wp:inline distT="0" distB="0" distL="0" distR="0">
            <wp:extent cx="3419475" cy="955040"/>
            <wp:effectExtent l="0" t="0" r="952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420000" cy="955286"/>
                    </a:xfrm>
                    <a:prstGeom prst="rect">
                      <a:avLst/>
                    </a:prstGeom>
                    <a:noFill/>
                    <a:ln>
                      <a:noFill/>
                    </a:ln>
                  </pic:spPr>
                </pic:pic>
              </a:graphicData>
            </a:graphic>
          </wp:inline>
        </w:drawing>
      </w:r>
    </w:p>
    <w:p>
      <w:pPr>
        <w:rPr>
          <w:rFonts w:ascii="Times New Roman" w:hAnsi="Times New Roman" w:eastAsia="华文仿宋"/>
          <w:szCs w:val="21"/>
        </w:rPr>
      </w:pPr>
    </w:p>
    <w:p>
      <w:pPr>
        <w:rPr>
          <w:rFonts w:ascii="Times New Roman" w:hAnsi="Times New Roman" w:eastAsia="华文仿宋"/>
          <w:szCs w:val="21"/>
        </w:rPr>
      </w:pPr>
    </w:p>
    <w:p>
      <w:pPr>
        <w:rPr>
          <w:rFonts w:ascii="Times New Roman" w:hAnsi="Times New Roman" w:eastAsia="华文仿宋"/>
          <w:szCs w:val="21"/>
        </w:rPr>
      </w:pPr>
    </w:p>
    <w:p>
      <w:pPr>
        <w:jc w:val="center"/>
        <w:rPr>
          <w:rFonts w:hint="eastAsia" w:ascii="楷体" w:hAnsi="楷体" w:eastAsia="楷体"/>
          <w:b/>
          <w:sz w:val="80"/>
          <w:szCs w:val="80"/>
          <w:lang w:val="en-US" w:eastAsia="zh-CN"/>
        </w:rPr>
      </w:pPr>
      <w:r>
        <w:rPr>
          <w:rFonts w:hint="eastAsia" w:ascii="楷体" w:hAnsi="楷体" w:eastAsia="楷体"/>
          <w:b/>
          <w:sz w:val="80"/>
          <w:szCs w:val="80"/>
        </w:rPr>
        <w:t>实验</w:t>
      </w:r>
      <w:r>
        <w:rPr>
          <w:rFonts w:hint="eastAsia" w:ascii="楷体" w:hAnsi="楷体" w:eastAsia="楷体"/>
          <w:b/>
          <w:sz w:val="80"/>
          <w:szCs w:val="80"/>
          <w:lang w:val="en-US" w:eastAsia="zh-CN"/>
        </w:rPr>
        <w:t>二</w:t>
      </w:r>
      <w:r>
        <w:rPr>
          <w:rFonts w:hint="eastAsia" w:ascii="楷体" w:hAnsi="楷体" w:eastAsia="楷体"/>
          <w:b/>
          <w:sz w:val="80"/>
          <w:szCs w:val="80"/>
        </w:rPr>
        <w:t>：</w:t>
      </w:r>
      <w:r>
        <w:rPr>
          <w:rFonts w:hint="eastAsia" w:ascii="楷体" w:hAnsi="楷体" w:eastAsia="楷体"/>
          <w:b/>
          <w:sz w:val="80"/>
          <w:szCs w:val="80"/>
          <w:lang w:val="en-US" w:eastAsia="zh-CN"/>
        </w:rPr>
        <w:t>实时分析</w:t>
      </w:r>
    </w:p>
    <w:p>
      <w:pPr>
        <w:jc w:val="center"/>
        <w:rPr>
          <w:rFonts w:ascii="楷体" w:hAnsi="楷体" w:eastAsia="楷体"/>
          <w:b/>
          <w:sz w:val="56"/>
          <w:szCs w:val="56"/>
        </w:rPr>
      </w:pPr>
      <w:r>
        <w:rPr>
          <w:rFonts w:ascii="楷体" w:hAnsi="楷体" w:eastAsia="楷体"/>
          <w:b/>
          <w:sz w:val="56"/>
          <w:szCs w:val="56"/>
        </w:rPr>
        <w:t>实验报告</w:t>
      </w:r>
    </w:p>
    <w:p>
      <w:pPr>
        <w:rPr>
          <w:rFonts w:ascii="Times New Roman" w:hAnsi="Times New Roman" w:eastAsia="华文仿宋"/>
          <w:szCs w:val="21"/>
        </w:rPr>
      </w:pPr>
    </w:p>
    <w:p>
      <w:pPr>
        <w:rPr>
          <w:rFonts w:ascii="Times New Roman" w:hAnsi="Times New Roman" w:eastAsia="华文仿宋"/>
          <w:szCs w:val="21"/>
        </w:rPr>
      </w:pPr>
    </w:p>
    <w:p>
      <w:pPr>
        <w:rPr>
          <w:rFonts w:ascii="Times New Roman" w:hAnsi="Times New Roman" w:eastAsia="华文仿宋"/>
          <w:szCs w:val="21"/>
        </w:rPr>
      </w:pPr>
    </w:p>
    <w:p>
      <w:pPr>
        <w:rPr>
          <w:rFonts w:ascii="Times New Roman" w:hAnsi="Times New Roman" w:eastAsia="华文仿宋"/>
          <w:szCs w:val="21"/>
        </w:rPr>
      </w:pP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6"/>
        <w:gridCol w:w="5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6" w:type="dxa"/>
          </w:tcPr>
          <w:p>
            <w:pPr>
              <w:jc w:val="center"/>
              <w:rPr>
                <w:rFonts w:eastAsia="楷体"/>
                <w:b/>
                <w:kern w:val="0"/>
                <w:sz w:val="32"/>
              </w:rPr>
            </w:pPr>
            <w:r>
              <w:rPr>
                <w:rFonts w:eastAsia="楷体"/>
                <w:b/>
                <w:kern w:val="0"/>
                <w:sz w:val="32"/>
              </w:rPr>
              <w:t>学</w:t>
            </w:r>
            <w:r>
              <w:rPr>
                <w:rFonts w:hint="eastAsia" w:eastAsia="楷体"/>
                <w:b/>
                <w:kern w:val="0"/>
                <w:sz w:val="32"/>
              </w:rPr>
              <w:t xml:space="preserve">  </w:t>
            </w:r>
            <w:r>
              <w:rPr>
                <w:rFonts w:eastAsia="楷体"/>
                <w:b/>
                <w:kern w:val="0"/>
                <w:sz w:val="32"/>
              </w:rPr>
              <w:t xml:space="preserve"> </w:t>
            </w:r>
            <w:r>
              <w:rPr>
                <w:rFonts w:hint="eastAsia" w:eastAsia="楷体"/>
                <w:b/>
                <w:kern w:val="0"/>
                <w:sz w:val="32"/>
              </w:rPr>
              <w:t xml:space="preserve"> </w:t>
            </w:r>
            <w:r>
              <w:rPr>
                <w:rFonts w:eastAsia="楷体"/>
                <w:b/>
                <w:kern w:val="0"/>
                <w:sz w:val="32"/>
              </w:rPr>
              <w:t>期：</w:t>
            </w:r>
          </w:p>
        </w:tc>
        <w:tc>
          <w:tcPr>
            <w:tcW w:w="5528" w:type="dxa"/>
          </w:tcPr>
          <w:p>
            <w:pPr>
              <w:jc w:val="left"/>
              <w:rPr>
                <w:rFonts w:eastAsia="楷体"/>
                <w:bCs/>
                <w:kern w:val="0"/>
                <w:sz w:val="32"/>
              </w:rPr>
            </w:pPr>
            <w:r>
              <w:rPr>
                <w:rFonts w:eastAsia="楷体"/>
                <w:bCs/>
                <w:kern w:val="0"/>
                <w:sz w:val="32"/>
                <w:u w:val="single"/>
              </w:rPr>
              <w:t xml:space="preserve">    2023</w:t>
            </w:r>
            <w:r>
              <w:rPr>
                <w:rFonts w:hint="eastAsia" w:eastAsia="楷体"/>
                <w:bCs/>
                <w:kern w:val="0"/>
                <w:sz w:val="32"/>
                <w:u w:val="single"/>
              </w:rPr>
              <w:t>-</w:t>
            </w:r>
            <w:r>
              <w:rPr>
                <w:rFonts w:eastAsia="楷体"/>
                <w:bCs/>
                <w:kern w:val="0"/>
                <w:sz w:val="32"/>
                <w:u w:val="single"/>
              </w:rPr>
              <w:t>2024</w:t>
            </w:r>
            <w:r>
              <w:rPr>
                <w:rFonts w:hint="eastAsia" w:eastAsia="楷体"/>
                <w:bCs/>
                <w:kern w:val="0"/>
                <w:sz w:val="32"/>
                <w:u w:val="single"/>
              </w:rPr>
              <w:t>学年</w:t>
            </w:r>
            <w:r>
              <w:rPr>
                <w:rFonts w:eastAsia="楷体"/>
                <w:bCs/>
                <w:kern w:val="0"/>
                <w:sz w:val="32"/>
                <w:u w:val="single"/>
              </w:rPr>
              <w:t xml:space="preserve"> </w:t>
            </w:r>
            <w:r>
              <w:rPr>
                <w:rFonts w:hint="eastAsia" w:eastAsia="楷体"/>
                <w:bCs/>
                <w:kern w:val="0"/>
                <w:sz w:val="32"/>
                <w:u w:val="single"/>
              </w:rPr>
              <w:t xml:space="preserve">第二学期 </w:t>
            </w:r>
            <w:r>
              <w:rPr>
                <w:rFonts w:eastAsia="楷体"/>
                <w:bCs/>
                <w:kern w:val="0"/>
                <w:sz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6" w:type="dxa"/>
          </w:tcPr>
          <w:p>
            <w:pPr>
              <w:jc w:val="center"/>
              <w:rPr>
                <w:rFonts w:eastAsia="楷体"/>
                <w:b/>
                <w:kern w:val="0"/>
                <w:sz w:val="32"/>
              </w:rPr>
            </w:pPr>
            <w:r>
              <w:rPr>
                <w:rFonts w:hint="eastAsia" w:eastAsia="楷体"/>
                <w:b/>
                <w:kern w:val="0"/>
                <w:sz w:val="32"/>
              </w:rPr>
              <w:t xml:space="preserve">专  </w:t>
            </w:r>
            <w:r>
              <w:rPr>
                <w:rFonts w:eastAsia="楷体"/>
                <w:b/>
                <w:kern w:val="0"/>
                <w:sz w:val="32"/>
              </w:rPr>
              <w:t xml:space="preserve"> </w:t>
            </w:r>
            <w:r>
              <w:rPr>
                <w:rFonts w:hint="eastAsia" w:eastAsia="楷体"/>
                <w:b/>
                <w:kern w:val="0"/>
                <w:sz w:val="32"/>
              </w:rPr>
              <w:t xml:space="preserve"> 业</w:t>
            </w:r>
            <w:r>
              <w:rPr>
                <w:rFonts w:eastAsia="楷体"/>
                <w:b/>
                <w:kern w:val="0"/>
                <w:sz w:val="32"/>
              </w:rPr>
              <w:t>：</w:t>
            </w:r>
          </w:p>
        </w:tc>
        <w:tc>
          <w:tcPr>
            <w:tcW w:w="5528" w:type="dxa"/>
          </w:tcPr>
          <w:p>
            <w:pPr>
              <w:jc w:val="left"/>
              <w:rPr>
                <w:rFonts w:eastAsia="楷体"/>
                <w:bCs/>
                <w:kern w:val="0"/>
                <w:sz w:val="32"/>
              </w:rPr>
            </w:pPr>
            <w:r>
              <w:rPr>
                <w:rFonts w:hint="eastAsia" w:eastAsia="楷体"/>
                <w:bCs/>
                <w:kern w:val="0"/>
                <w:sz w:val="32"/>
                <w:u w:val="single"/>
              </w:rPr>
              <w:t xml:space="preserve"> </w:t>
            </w:r>
            <w:r>
              <w:rPr>
                <w:rFonts w:eastAsia="楷体"/>
                <w:bCs/>
                <w:kern w:val="0"/>
                <w:sz w:val="32"/>
                <w:u w:val="single"/>
              </w:rPr>
              <w:t xml:space="preserve">   </w:t>
            </w:r>
            <w:r>
              <w:rPr>
                <w:rFonts w:hint="eastAsia" w:eastAsia="楷体"/>
                <w:bCs/>
                <w:kern w:val="0"/>
                <w:sz w:val="32"/>
                <w:u w:val="single"/>
              </w:rPr>
              <w:t xml:space="preserve">计算机科学与技术（实验班） </w:t>
            </w:r>
            <w:r>
              <w:rPr>
                <w:rFonts w:eastAsia="楷体"/>
                <w:bCs/>
                <w:kern w:val="0"/>
                <w:sz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6" w:type="dxa"/>
          </w:tcPr>
          <w:p>
            <w:pPr>
              <w:jc w:val="center"/>
              <w:rPr>
                <w:rFonts w:eastAsia="楷体"/>
                <w:b/>
                <w:kern w:val="0"/>
                <w:sz w:val="32"/>
              </w:rPr>
            </w:pPr>
            <w:r>
              <w:rPr>
                <w:rFonts w:hint="eastAsia" w:eastAsia="楷体"/>
                <w:b/>
                <w:kern w:val="0"/>
                <w:sz w:val="32"/>
              </w:rPr>
              <w:t>学号姓名</w:t>
            </w:r>
            <w:r>
              <w:rPr>
                <w:rFonts w:eastAsia="楷体"/>
                <w:b/>
                <w:kern w:val="0"/>
                <w:sz w:val="32"/>
              </w:rPr>
              <w:t>：</w:t>
            </w:r>
          </w:p>
        </w:tc>
        <w:tc>
          <w:tcPr>
            <w:tcW w:w="5528" w:type="dxa"/>
          </w:tcPr>
          <w:p>
            <w:pPr>
              <w:jc w:val="left"/>
              <w:rPr>
                <w:rFonts w:eastAsia="楷体"/>
                <w:bCs/>
                <w:kern w:val="0"/>
                <w:sz w:val="32"/>
              </w:rPr>
            </w:pPr>
            <w:r>
              <w:rPr>
                <w:rFonts w:eastAsia="楷体"/>
                <w:bCs/>
                <w:kern w:val="0"/>
                <w:sz w:val="32"/>
                <w:u w:val="single"/>
              </w:rPr>
              <w:t xml:space="preserve">    210710</w:t>
            </w:r>
            <w:r>
              <w:rPr>
                <w:rFonts w:hint="eastAsia" w:eastAsia="楷体"/>
                <w:bCs/>
                <w:kern w:val="0"/>
                <w:sz w:val="32"/>
                <w:u w:val="single"/>
                <w:lang w:val="en-US" w:eastAsia="zh-CN"/>
              </w:rPr>
              <w:t>03        高立扬</w:t>
            </w:r>
            <w:r>
              <w:rPr>
                <w:rFonts w:eastAsia="楷体"/>
                <w:bCs/>
                <w:kern w:val="0"/>
                <w:sz w:val="32"/>
                <w:u w:val="single"/>
              </w:rPr>
              <w:t xml:space="preserve">     </w:t>
            </w:r>
            <w:r>
              <w:rPr>
                <w:rFonts w:hint="eastAsia" w:eastAsia="楷体"/>
                <w:bCs/>
                <w:kern w:val="0"/>
                <w:sz w:val="32"/>
                <w:u w:val="single"/>
              </w:rPr>
              <w:t xml:space="preserve"> </w:t>
            </w:r>
            <w:r>
              <w:rPr>
                <w:rFonts w:eastAsia="楷体"/>
                <w:bCs/>
                <w:kern w:val="0"/>
                <w:sz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6" w:type="dxa"/>
          </w:tcPr>
          <w:p>
            <w:pPr>
              <w:jc w:val="center"/>
              <w:rPr>
                <w:rFonts w:eastAsia="楷体"/>
                <w:b/>
                <w:kern w:val="0"/>
                <w:sz w:val="32"/>
              </w:rPr>
            </w:pPr>
            <w:r>
              <w:rPr>
                <w:rFonts w:eastAsia="楷体"/>
                <w:b/>
                <w:kern w:val="0"/>
                <w:sz w:val="32"/>
              </w:rPr>
              <w:t>完成日期：</w:t>
            </w:r>
          </w:p>
        </w:tc>
        <w:tc>
          <w:tcPr>
            <w:tcW w:w="5528" w:type="dxa"/>
          </w:tcPr>
          <w:p>
            <w:pPr>
              <w:jc w:val="left"/>
              <w:rPr>
                <w:rFonts w:eastAsia="楷体"/>
                <w:bCs/>
                <w:kern w:val="0"/>
                <w:sz w:val="32"/>
              </w:rPr>
            </w:pPr>
            <w:r>
              <w:rPr>
                <w:rFonts w:eastAsia="楷体"/>
                <w:bCs/>
                <w:kern w:val="0"/>
                <w:sz w:val="32"/>
                <w:u w:val="single"/>
              </w:rPr>
              <w:t xml:space="preserve">    2024.05</w:t>
            </w:r>
            <w:r>
              <w:rPr>
                <w:rFonts w:hint="eastAsia" w:eastAsia="楷体"/>
                <w:bCs/>
                <w:kern w:val="0"/>
                <w:sz w:val="32"/>
                <w:u w:val="single"/>
                <w:lang w:val="en-US" w:eastAsia="zh-CN"/>
              </w:rPr>
              <w:t xml:space="preserve">  </w:t>
            </w:r>
            <w:r>
              <w:rPr>
                <w:rFonts w:eastAsia="楷体"/>
                <w:bCs/>
                <w:kern w:val="0"/>
                <w:sz w:val="32"/>
                <w:u w:val="single"/>
              </w:rPr>
              <w:t xml:space="preserve">                     </w:t>
            </w:r>
          </w:p>
        </w:tc>
      </w:tr>
    </w:tbl>
    <w:p>
      <w:r>
        <w:br w:type="page"/>
      </w:r>
    </w:p>
    <w:p>
      <w:pPr>
        <w:pStyle w:val="2"/>
        <w:numPr>
          <w:ilvl w:val="0"/>
          <w:numId w:val="1"/>
        </w:numPr>
        <w:bidi w:val="0"/>
        <w:rPr>
          <w:rFonts w:hint="eastAsia"/>
          <w:lang w:val="en-US" w:eastAsia="zh-CN"/>
        </w:rPr>
      </w:pPr>
      <w:r>
        <w:rPr>
          <w:rFonts w:hint="eastAsia"/>
          <w:lang w:val="en-US" w:eastAsia="zh-CN"/>
        </w:rPr>
        <w:t>问题</w:t>
      </w:r>
    </w:p>
    <w:p>
      <w:pPr>
        <w:numPr>
          <w:ilvl w:val="0"/>
          <w:numId w:val="2"/>
        </w:numPr>
        <w:rPr>
          <w:rFonts w:hint="eastAsia"/>
          <w:lang w:val="en-US" w:eastAsia="zh-CN"/>
        </w:rPr>
      </w:pPr>
      <w:r>
        <w:rPr>
          <w:rFonts w:hint="eastAsia"/>
          <w:lang w:val="en-US" w:eastAsia="zh-CN"/>
        </w:rPr>
        <w:t>场景说明</w:t>
      </w:r>
    </w:p>
    <w:p>
      <w:pPr>
        <w:numPr>
          <w:ilvl w:val="0"/>
          <w:numId w:val="0"/>
        </w:numPr>
        <w:ind w:firstLine="420" w:firstLineChars="0"/>
        <w:rPr>
          <w:rFonts w:hint="eastAsia"/>
          <w:lang w:val="en-US" w:eastAsia="zh-CN"/>
        </w:rPr>
      </w:pPr>
      <w:r>
        <w:rPr>
          <w:rFonts w:hint="eastAsia"/>
          <w:lang w:val="en-US" w:eastAsia="zh-CN"/>
        </w:rPr>
        <w:t>实时分析是大数据五大应用场景中比较重要的场景，通常要求在极短的时间内对产生的海量数据进行有效分析并给出响应。处理时间要求极高，一般都是毫秒级。处理数据量巨大，一般每秒产生数据在百兆以上。像购物、新闻、视频等信息流推荐，电商销售数据实时统计都是实时分析的典型应用。</w:t>
      </w:r>
    </w:p>
    <w:p>
      <w:pPr>
        <w:numPr>
          <w:ilvl w:val="0"/>
          <w:numId w:val="0"/>
        </w:numPr>
        <w:ind w:firstLine="420" w:firstLineChars="0"/>
        <w:rPr>
          <w:rFonts w:hint="eastAsia"/>
          <w:lang w:val="en-US" w:eastAsia="zh-CN"/>
        </w:rPr>
      </w:pPr>
    </w:p>
    <w:p>
      <w:pPr>
        <w:numPr>
          <w:ilvl w:val="0"/>
          <w:numId w:val="2"/>
        </w:numPr>
        <w:rPr>
          <w:rFonts w:hint="default"/>
          <w:lang w:val="en-US" w:eastAsia="zh-CN"/>
        </w:rPr>
      </w:pPr>
      <w:r>
        <w:rPr>
          <w:rFonts w:hint="eastAsia"/>
          <w:lang w:val="en-US" w:eastAsia="zh-CN"/>
        </w:rPr>
        <w:t>实验介绍</w:t>
      </w:r>
    </w:p>
    <w:p>
      <w:pPr>
        <w:numPr>
          <w:ilvl w:val="0"/>
          <w:numId w:val="0"/>
        </w:numPr>
        <w:ind w:firstLine="420" w:firstLineChars="0"/>
        <w:rPr>
          <w:rFonts w:hint="eastAsia"/>
          <w:lang w:val="en-US" w:eastAsia="zh-CN"/>
        </w:rPr>
      </w:pPr>
      <w:r>
        <w:rPr>
          <w:rFonts w:hint="eastAsia"/>
          <w:lang w:val="en-US" w:eastAsia="zh-CN"/>
        </w:rPr>
        <w:t>本实验通过对某电商网站双十一模拟的销售数据进行实时分析（商品销售总额和销售总额排名前五的店铺），掌握实时分析的基本流程和技术架构。</w:t>
      </w:r>
    </w:p>
    <w:p>
      <w:pPr>
        <w:numPr>
          <w:ilvl w:val="0"/>
          <w:numId w:val="0"/>
        </w:numPr>
        <w:ind w:firstLine="420" w:firstLineChars="0"/>
        <w:rPr>
          <w:rFonts w:hint="eastAsia"/>
          <w:lang w:val="en-US" w:eastAsia="zh-CN"/>
        </w:rPr>
      </w:pPr>
      <w:r>
        <w:rPr>
          <w:rFonts w:hint="eastAsia"/>
          <w:lang w:val="en-US" w:eastAsia="zh-CN"/>
        </w:rPr>
        <w:t>本实验通过编写的Python脚本模拟生产商品的实时销售数据，然后由Flume+Kafka完成数据采集，通过DLI中的Flink作业进行数据分析，分析结果存入RDS中，最后DLV读取RDS中的数据通过大屏完成可视化。</w:t>
      </w:r>
    </w:p>
    <w:p>
      <w:pPr>
        <w:numPr>
          <w:ilvl w:val="0"/>
          <w:numId w:val="0"/>
        </w:numPr>
        <w:ind w:firstLine="420" w:firstLineChars="0"/>
        <w:rPr>
          <w:rFonts w:hint="eastAsia"/>
          <w:lang w:val="en-US" w:eastAsia="zh-CN"/>
        </w:rPr>
      </w:pPr>
      <w:r>
        <w:rPr>
          <w:rFonts w:hint="eastAsia"/>
          <w:lang w:val="en-US" w:eastAsia="zh-CN"/>
        </w:rPr>
        <w:t>数据处理流程示意：</w:t>
      </w:r>
    </w:p>
    <w:p>
      <w:pPr>
        <w:numPr>
          <w:ilvl w:val="0"/>
          <w:numId w:val="0"/>
        </w:numPr>
        <w:ind w:firstLine="420" w:firstLineChars="0"/>
        <w:rPr>
          <w:rFonts w:hint="default"/>
          <w:lang w:val="en-US" w:eastAsia="zh-CN"/>
        </w:rPr>
      </w:pPr>
      <w:r>
        <w:rPr>
          <w:rFonts w:ascii="Huawei Sans" w:hAnsi="Huawei Sans"/>
        </w:rPr>
        <w:drawing>
          <wp:inline distT="0" distB="0" distL="0" distR="0">
            <wp:extent cx="5399405" cy="2727960"/>
            <wp:effectExtent l="0" t="0" r="1079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00" cy="2728027"/>
                    </a:xfrm>
                    <a:prstGeom prst="rect">
                      <a:avLst/>
                    </a:prstGeom>
                    <a:noFill/>
                    <a:ln w="12700">
                      <a:noFill/>
                    </a:ln>
                  </pic:spPr>
                </pic:pic>
              </a:graphicData>
            </a:graphic>
          </wp:inline>
        </w:drawing>
      </w:r>
    </w:p>
    <w:p>
      <w:pPr>
        <w:numPr>
          <w:ilvl w:val="0"/>
          <w:numId w:val="0"/>
        </w:numPr>
        <w:ind w:firstLine="420" w:firstLineChars="0"/>
        <w:rPr>
          <w:rFonts w:hint="default"/>
          <w:lang w:val="en-US" w:eastAsia="zh-CN"/>
        </w:rPr>
      </w:pPr>
    </w:p>
    <w:p>
      <w:pPr>
        <w:numPr>
          <w:ilvl w:val="0"/>
          <w:numId w:val="2"/>
        </w:numPr>
        <w:rPr>
          <w:rFonts w:hint="default"/>
          <w:lang w:val="en-US" w:eastAsia="zh-CN"/>
        </w:rPr>
      </w:pPr>
      <w:r>
        <w:rPr>
          <w:rFonts w:hint="eastAsia"/>
          <w:lang w:val="en-US" w:eastAsia="zh-CN"/>
        </w:rPr>
        <w:t>相关云服务说明</w:t>
      </w:r>
    </w:p>
    <w:p>
      <w:pPr>
        <w:numPr>
          <w:ilvl w:val="0"/>
          <w:numId w:val="0"/>
        </w:numPr>
        <w:ind w:firstLine="0" w:firstLineChars="0"/>
        <w:rPr>
          <w:rFonts w:hint="default"/>
          <w:lang w:val="en-US" w:eastAsia="zh-CN"/>
        </w:rPr>
      </w:pPr>
      <w:r>
        <w:rPr>
          <w:rFonts w:hint="eastAsia"/>
          <w:lang w:val="en-US" w:eastAsia="zh-CN"/>
        </w:rPr>
        <w:t>·</w:t>
      </w:r>
      <w:r>
        <w:rPr>
          <w:rFonts w:hint="default"/>
          <w:lang w:val="en-US" w:eastAsia="zh-CN"/>
        </w:rPr>
        <w:t>MRS (MapReduce Service)</w:t>
      </w:r>
    </w:p>
    <w:p>
      <w:pPr>
        <w:numPr>
          <w:ilvl w:val="0"/>
          <w:numId w:val="0"/>
        </w:numPr>
        <w:ind w:firstLine="0" w:firstLineChars="0"/>
        <w:rPr>
          <w:rFonts w:hint="default"/>
          <w:lang w:val="en-US" w:eastAsia="zh-CN"/>
        </w:rPr>
      </w:pPr>
      <w:r>
        <w:rPr>
          <w:rFonts w:hint="default"/>
          <w:lang w:val="en-US" w:eastAsia="zh-CN"/>
        </w:rPr>
        <w:t>MapReduce服务是一个在华为云上部署和管理Hadoop系统的服务，一键即可部署Hadoop集群。MRS提供租户完全可控的一站式企业级大数据集群云服务，完全兼容开源接口，结合华为云计算、存储优势及大数据行业经验，为客户提供高性能、低成本、灵活易用的全栈大数据平台，轻松运行Hadoop、Spark、HBase、Kafka、Storm等大数据组件，并具备在后续根据业务需要进行定制开发的能力。</w:t>
      </w:r>
    </w:p>
    <w:p>
      <w:pPr>
        <w:numPr>
          <w:ilvl w:val="0"/>
          <w:numId w:val="0"/>
        </w:numPr>
        <w:ind w:firstLine="0" w:firstLineChars="0"/>
        <w:rPr>
          <w:rFonts w:hint="default"/>
          <w:lang w:val="en-US" w:eastAsia="zh-CN"/>
        </w:rPr>
      </w:pPr>
      <w:r>
        <w:rPr>
          <w:rFonts w:hint="eastAsia"/>
          <w:lang w:val="en-US" w:eastAsia="zh-CN"/>
        </w:rPr>
        <w:t>·</w:t>
      </w:r>
      <w:r>
        <w:rPr>
          <w:rFonts w:hint="default"/>
          <w:lang w:val="en-US" w:eastAsia="zh-CN"/>
        </w:rPr>
        <w:t>DLI (Data Lake Insight)</w:t>
      </w:r>
    </w:p>
    <w:p>
      <w:pPr>
        <w:numPr>
          <w:ilvl w:val="0"/>
          <w:numId w:val="0"/>
        </w:numPr>
        <w:ind w:firstLine="0" w:firstLineChars="0"/>
        <w:rPr>
          <w:rFonts w:hint="default"/>
          <w:lang w:val="en-US" w:eastAsia="zh-CN"/>
        </w:rPr>
      </w:pPr>
      <w:r>
        <w:rPr>
          <w:rFonts w:hint="default"/>
          <w:lang w:val="en-US" w:eastAsia="zh-CN"/>
        </w:rPr>
        <w:t>数据湖探索是完全兼容Apache Spark、Apache Flink、openLooKeng（基于Apache Presto）生态，提供一站式的流处理、批处理、交互式分析的Serverless融合处理分析服务。用户不需要管理任何服务器，即开即用。支持标准SQL/Spark SQL/Flink SQL，支持多种接入方式，并兼容主流数据格式。数据无需复杂的抽取、转换、加载，使用SQL或程序就可以对云上CloudTable、RDS、DWS、CSS、OBS、ECS自建数据库以及线下数据库的异构数据进行探索。</w:t>
      </w:r>
    </w:p>
    <w:p>
      <w:pPr>
        <w:numPr>
          <w:ilvl w:val="0"/>
          <w:numId w:val="0"/>
        </w:numPr>
        <w:ind w:firstLine="0" w:firstLineChars="0"/>
        <w:rPr>
          <w:rFonts w:hint="default"/>
          <w:lang w:val="en-US" w:eastAsia="zh-CN"/>
        </w:rPr>
      </w:pPr>
      <w:r>
        <w:rPr>
          <w:rFonts w:hint="eastAsia"/>
          <w:lang w:val="en-US" w:eastAsia="zh-CN"/>
        </w:rPr>
        <w:t>·</w:t>
      </w:r>
      <w:r>
        <w:rPr>
          <w:rFonts w:hint="default"/>
          <w:lang w:val="en-US" w:eastAsia="zh-CN"/>
        </w:rPr>
        <w:t>RDS (Relational Database Service)</w:t>
      </w:r>
    </w:p>
    <w:p>
      <w:pPr>
        <w:numPr>
          <w:ilvl w:val="0"/>
          <w:numId w:val="0"/>
        </w:numPr>
        <w:ind w:firstLine="0" w:firstLineChars="0"/>
        <w:rPr>
          <w:rFonts w:hint="default"/>
          <w:lang w:val="en-US" w:eastAsia="zh-CN"/>
        </w:rPr>
      </w:pPr>
      <w:r>
        <w:rPr>
          <w:rFonts w:hint="default"/>
          <w:lang w:val="en-US" w:eastAsia="zh-CN"/>
        </w:rPr>
        <w:t>华为云关系型数据库是一种基于云计算平台的即开即用、稳定可靠、弹性伸缩、便捷管理的在线关系型数据库服务，支持单机和主备部署模式，支持MySQL、PostgreSQL、SQL Server等主流的关系型数据库引擎。云数据库RDS服务提供了专业的数据库管理平台， 让用户能够在云上轻松的进行设置和扩展云数据库，用户无需编程就可以执行所有必需任务，简化运营流程，减少日常运维工作量，从而专注于开发应用和业务发展。</w:t>
      </w:r>
    </w:p>
    <w:p>
      <w:pPr>
        <w:numPr>
          <w:ilvl w:val="0"/>
          <w:numId w:val="0"/>
        </w:numPr>
        <w:ind w:firstLine="0" w:firstLineChars="0"/>
        <w:rPr>
          <w:rFonts w:hint="default"/>
          <w:lang w:val="en-US" w:eastAsia="zh-CN"/>
        </w:rPr>
      </w:pPr>
      <w:r>
        <w:rPr>
          <w:rFonts w:hint="eastAsia"/>
          <w:lang w:val="en-US" w:eastAsia="zh-CN"/>
        </w:rPr>
        <w:t>·</w:t>
      </w:r>
      <w:r>
        <w:rPr>
          <w:rFonts w:hint="default"/>
          <w:lang w:val="en-US" w:eastAsia="zh-CN"/>
        </w:rPr>
        <w:t>CDM (Cloud Data Migration)</w:t>
      </w:r>
    </w:p>
    <w:p>
      <w:pPr>
        <w:numPr>
          <w:ilvl w:val="0"/>
          <w:numId w:val="0"/>
        </w:numPr>
        <w:ind w:firstLine="0" w:firstLineChars="0"/>
        <w:rPr>
          <w:rFonts w:hint="default"/>
          <w:lang w:val="en-US" w:eastAsia="zh-CN"/>
        </w:rPr>
      </w:pPr>
      <w:r>
        <w:rPr>
          <w:rFonts w:hint="default"/>
          <w:lang w:val="en-US" w:eastAsia="zh-CN"/>
        </w:rPr>
        <w:t>云数据迁移是提供同构/异构数据源之间批量数据迁移服务，帮助客户实现数据自由流动。支持文件系统，关系数据库，数据仓库，NoSQL，大数据云服务和对象存储等数据源，无论是客户自建还是公有云上的数据源。</w:t>
      </w:r>
    </w:p>
    <w:p>
      <w:pPr>
        <w:numPr>
          <w:ilvl w:val="0"/>
          <w:numId w:val="0"/>
        </w:numPr>
        <w:ind w:firstLine="0" w:firstLineChars="0"/>
        <w:rPr>
          <w:rFonts w:hint="default"/>
          <w:lang w:val="en-US" w:eastAsia="zh-CN"/>
        </w:rPr>
      </w:pPr>
      <w:r>
        <w:rPr>
          <w:rFonts w:hint="eastAsia"/>
          <w:lang w:val="en-US" w:eastAsia="zh-CN"/>
        </w:rPr>
        <w:t>·</w:t>
      </w:r>
      <w:r>
        <w:rPr>
          <w:rFonts w:hint="default"/>
          <w:lang w:val="en-US" w:eastAsia="zh-CN"/>
        </w:rPr>
        <w:t>DLV (Data Lake Visualization)</w:t>
      </w:r>
    </w:p>
    <w:p>
      <w:pPr>
        <w:numPr>
          <w:ilvl w:val="0"/>
          <w:numId w:val="0"/>
        </w:numPr>
        <w:ind w:firstLine="0" w:firstLineChars="0"/>
        <w:rPr>
          <w:rFonts w:hint="default"/>
          <w:lang w:val="en-US" w:eastAsia="zh-CN"/>
        </w:rPr>
      </w:pPr>
      <w:r>
        <w:rPr>
          <w:rFonts w:hint="default"/>
          <w:lang w:val="en-US" w:eastAsia="zh-CN"/>
        </w:rPr>
        <w:t>数据可视化是一站式数据可视化开发平台，提供丰富多样的2D、3D可视化组件，采用拖拽式自由布局，旨在帮助用户快速定制和应用属于自己的数据大屏。适配云上云下多种数据源，无缝集成华为云数据仓库服务、数据湖探索、关系型数据库、对象存储服务等，支持本地CSV、在线API及企业内部私有云数据。</w:t>
      </w:r>
    </w:p>
    <w:p>
      <w:pPr>
        <w:rPr>
          <w:rFonts w:hint="default"/>
          <w:lang w:val="en-US" w:eastAsia="zh-CN"/>
        </w:rPr>
      </w:pPr>
      <w:r>
        <w:rPr>
          <w:rFonts w:hint="default"/>
          <w:lang w:val="en-US" w:eastAsia="zh-CN"/>
        </w:rPr>
        <w:br w:type="page"/>
      </w:r>
      <w:bookmarkStart w:id="0" w:name="_GoBack"/>
      <w:bookmarkEnd w:id="0"/>
    </w:p>
    <w:p>
      <w:pPr>
        <w:pStyle w:val="2"/>
        <w:numPr>
          <w:ilvl w:val="0"/>
          <w:numId w:val="1"/>
        </w:numPr>
        <w:bidi w:val="0"/>
        <w:ind w:left="0" w:leftChars="0" w:firstLine="0" w:firstLineChars="0"/>
        <w:rPr>
          <w:rFonts w:hint="eastAsia"/>
          <w:lang w:val="en-US" w:eastAsia="zh-CN"/>
        </w:rPr>
      </w:pPr>
      <w:r>
        <w:rPr>
          <w:rFonts w:hint="eastAsia"/>
          <w:lang w:val="en-US" w:eastAsia="zh-CN"/>
        </w:rPr>
        <w:t>解决方法</w:t>
      </w:r>
    </w:p>
    <w:p>
      <w:pPr>
        <w:numPr>
          <w:ilvl w:val="0"/>
          <w:numId w:val="3"/>
        </w:numPr>
        <w:rPr>
          <w:rFonts w:hint="eastAsia"/>
          <w:lang w:val="en-US" w:eastAsia="zh-CN"/>
        </w:rPr>
      </w:pPr>
      <w:r>
        <w:rPr>
          <w:rFonts w:hint="eastAsia"/>
          <w:lang w:val="en-US" w:eastAsia="zh-CN"/>
        </w:rPr>
        <w:t>华为云服务器配置</w:t>
      </w:r>
    </w:p>
    <w:p>
      <w:pPr>
        <w:numPr>
          <w:ilvl w:val="0"/>
          <w:numId w:val="0"/>
        </w:numPr>
        <w:ind w:firstLine="420" w:firstLineChars="0"/>
        <w:rPr>
          <w:rFonts w:hint="eastAsia"/>
          <w:lang w:val="en-US" w:eastAsia="zh-CN"/>
        </w:rPr>
      </w:pPr>
      <w:r>
        <w:rPr>
          <w:rFonts w:hint="eastAsia"/>
          <w:lang w:val="en-US" w:eastAsia="zh-CN"/>
        </w:rPr>
        <w:t xml:space="preserve">进入控制台后，鼠标移动到左侧三根横线处将“服务列表”展开，并在列表中点击“网络”分类里面的“弹性公网IP EIP”。步骤2点击右上角的“购买弹性公网IP”计费模式选择“按需计费”，区域选择“华北-北京四”，线路选择“全动态BGP”，公网带宽选择“按流量计费”，带宽大小选择“50”，购买量选择“2”。返回到控制台后，点击刷新按钮可以看到已购买的2个弹性IP。 </w:t>
      </w:r>
    </w:p>
    <w:p>
      <w:pPr>
        <w:numPr>
          <w:ilvl w:val="0"/>
          <w:numId w:val="0"/>
        </w:numPr>
        <w:ind w:firstLine="420" w:firstLineChars="0"/>
        <w:rPr>
          <w:rFonts w:hint="eastAsia"/>
          <w:lang w:val="en-US" w:eastAsia="zh-CN"/>
        </w:rPr>
      </w:pPr>
      <w:r>
        <w:rPr>
          <w:rFonts w:hint="eastAsia"/>
          <w:lang w:val="en-US" w:eastAsia="zh-CN"/>
        </w:rPr>
        <w:t>在控制台展开“服务列表”，在列表中点击“EI企业智能”分类里面的“MapReduce服务”。在MRS控制台页面点击右上角的“购买集群”。选择“自定义购买”进入软件配置界面。区域选“华北-北京四”。 集群名称“mrs_rta”（可以自定义），集群版本选则“MRS 1.9.2”，集群类型选择“流式集群”并勾选所有组件。进入硬件配置界面，计费模式选择“按需计费”。可用区默认，选择虚拟私有云（如果还没有虚拟私有云，点击“查看虚拟私有云”进入虚拟私有云控制台，参照附录5.1进行创建，创建后回到MRS控制台并点击虚拟私有云后面的刷新按钮），子网会自动选定，安全组“自动创建”，弹性公网IP处点击下拉选择一个前面购买的弹性公网IP（此处IP是MRS集群管理界面的IP）。CPU架构选择“鲲鹏计算”，关闭Master节点实例数量中的“集群高可用”，流式Core节点的实例数量改为“1”（注：若没有当前规格选择其他规格也可以）。标签、弹性伸缩、引导操作保持默认。告警选择“关闭”，委托、数据盘加密默认即可。关闭“Kerberos认证”，按规则设置密码（该密码用于登录集群管理页面）。登录方式选择“密码”，输入密码（此处为登录MRS集群节点ECS机器的面）。通信安全授权，勾选“确认授权”复选框，点击右下角的“立即购买”。在现有集群列表中点击集群名称，进入集群页面。在集群页面点击“节点管理”，点击下箭头展开master_node_default_group节点组，点击master的节点名称进入master节点（华为云只在master节点上安装了组件的客户端，登录其他节点无法操作组件）。选择“弹性公网IP”，点击“绑定弹性公网IP”（弹性IP在前序步骤中已经购买）。选择一个弹性公网IP后点击“确定”。弹性公网IP绑定完毕，后面可以使用PuTTY等远程工具通过此IP登录集群的master节点服务器进行相关的操作。在master节点界面选择“安全组”，点击下箭头展开安全组，点击“更改安全组规则”（配置好IP后需要修改安全组规则，否则无法登陆到master节点服务器）。优先级为“1”（优先级范围1~100，数字越小级别越高），策略“允许”，协议端口处选择“TCP”&gt;“基本协议”&gt;“全部放通”，然后点击确定MRS服务到此购买并配置完成。</w:t>
      </w:r>
    </w:p>
    <w:p>
      <w:pPr>
        <w:numPr>
          <w:ilvl w:val="0"/>
          <w:numId w:val="0"/>
        </w:numPr>
        <w:ind w:firstLine="420" w:firstLineChars="0"/>
        <w:rPr>
          <w:rFonts w:hint="eastAsia"/>
          <w:lang w:val="en-US" w:eastAsia="zh-CN"/>
        </w:rPr>
      </w:pPr>
      <w:r>
        <w:rPr>
          <w:rFonts w:hint="eastAsia"/>
          <w:lang w:val="en-US" w:eastAsia="zh-CN"/>
        </w:rPr>
        <w:t xml:space="preserve">在控制台展开“服务列表”，在列表中点击“数据库”分类里面的“云数据库RDS”。在实例管理中，点击右上角的“购买数据库实例”。计费模式选择“按需计费”，区域选择“华北-北京四”。实例名称“rds-rta”（可以自定义），数据库引擎“MySQL”，数据库版本“5.7”，实例类型“单机”，存储类型、可用区、时区默认。性能规格选择“鲲鹏通用增强型”&gt;“2 vCPUs | 4 GB”，存储空间、磁盘加密默认。选择虚拟私有云和子网（使用与MRS相同的虚拟私有云和子网），安全组、端口默认即可。在实例管理界面，点击刚创建的实例名称（如果浏览器关闭了，可以通过控制台-服务列表-数据库-中再找到云数据库RDS进入）。进入RDS实例页面，点击左侧的“连接管理”，选择“内网连接”可以查看到MySQL的内网IP地址，此IP地址会在后面步骤中用到（点后面的方形按钮可以复制）。在内网连接界面向下滚动页面，在“安全组规则”中，选择“入方向规则”，然后点击“一键添加”。 </w:t>
      </w:r>
    </w:p>
    <w:p>
      <w:pPr>
        <w:numPr>
          <w:ilvl w:val="0"/>
          <w:numId w:val="0"/>
        </w:numPr>
        <w:ind w:firstLine="420" w:firstLineChars="0"/>
        <w:rPr>
          <w:rFonts w:hint="eastAsia"/>
          <w:lang w:val="en-US" w:eastAsia="zh-CN"/>
        </w:rPr>
      </w:pPr>
      <w:r>
        <w:rPr>
          <w:rFonts w:hint="eastAsia"/>
          <w:lang w:val="en-US" w:eastAsia="zh-CN"/>
        </w:rPr>
        <w:t>在控制台展开“服务列表”，在列表中点击“EI企业智能”分类里面的“数据湖探索DLI”。计费模式选择“按需计费”，区域选择“华北-北京四”。 队列名称“queue_flink”（可以自定义），队列类型选择“通用队列”，勾选专属资源模式，AZ策略选择“单AZ”，CPU架构“鲲鹏”，队列规格“16CUs”，高级配置、标签默认。在“全局配置”中选择“服务授权”，勾选“VPC Administrator”（创建跨源连接需要）。在DLI控制台页面，点击“跨源连接”菜单，在“增强型跨源”页签下点击 “创建”按钮。输入连接名称“DLI_RDS”(可自定义)，绑定队列选择上一步创建的DLI队列，选择虚拟私有云和子网（均与MRS服务相同），主机信息、标签默认，点击“确定”。点击跨源连接的连接名称，进入到连接的详情页面，可以看到连接状态为“CREATING”，表示对等连接正在创建，创建过程需要几分钟的时间。</w:t>
      </w:r>
    </w:p>
    <w:p>
      <w:pPr>
        <w:numPr>
          <w:ilvl w:val="0"/>
          <w:numId w:val="0"/>
        </w:numPr>
        <w:ind w:firstLine="420" w:firstLineChars="0"/>
        <w:rPr>
          <w:rFonts w:hint="eastAsia"/>
          <w:lang w:val="en-US" w:eastAsia="zh-CN"/>
        </w:rPr>
      </w:pPr>
      <w:r>
        <w:rPr>
          <w:rFonts w:hint="eastAsia"/>
          <w:lang w:val="en-US" w:eastAsia="zh-CN"/>
        </w:rPr>
        <w:t>进入华为云主页，登录后点击“产品”&gt;“大数据”&gt;“数据可视化”&gt;“数据可视化DLV”进入可视化DLV服务（也可以在“搜索产品”填写“DLV”快速找到服务）。点击“体验试用”（每个用户有一次体验试用的机会，如果已经没有体验试用机会，点击“进入控制台”后购买“基础版”）。</w:t>
      </w:r>
    </w:p>
    <w:p>
      <w:pPr>
        <w:numPr>
          <w:ilvl w:val="0"/>
          <w:numId w:val="3"/>
        </w:numPr>
        <w:rPr>
          <w:rFonts w:hint="default"/>
          <w:lang w:val="en-US" w:eastAsia="zh-CN"/>
        </w:rPr>
      </w:pPr>
      <w:r>
        <w:rPr>
          <w:rFonts w:hint="eastAsia"/>
          <w:lang w:val="en-US" w:eastAsia="zh-CN"/>
        </w:rPr>
        <w:t>工作流程</w:t>
      </w:r>
    </w:p>
    <w:p>
      <w:pPr>
        <w:numPr>
          <w:ilvl w:val="0"/>
          <w:numId w:val="0"/>
        </w:numPr>
        <w:rPr>
          <w:rFonts w:ascii="Huawei Sans" w:hAnsi="Huawei Sans" w:eastAsia="方正兰亭黑简体"/>
          <w:lang w:val="en-US"/>
        </w:rPr>
      </w:pPr>
      <w:r>
        <w:rPr>
          <w:rFonts w:ascii="Huawei Sans" w:hAnsi="Huawei Sans" w:eastAsia="方正兰亭黑简体"/>
          <w:lang w:val="en-US"/>
        </w:rPr>
        <w:drawing>
          <wp:inline distT="0" distB="0" distL="0" distR="0">
            <wp:extent cx="5399405" cy="1741170"/>
            <wp:effectExtent l="0" t="0" r="1079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00" cy="1741783"/>
                    </a:xfrm>
                    <a:prstGeom prst="rect">
                      <a:avLst/>
                    </a:prstGeom>
                    <a:ln w="12700">
                      <a:noFill/>
                    </a:ln>
                  </pic:spPr>
                </pic:pic>
              </a:graphicData>
            </a:graphic>
          </wp:inline>
        </w:drawing>
      </w:r>
    </w:p>
    <w:p>
      <w:pPr>
        <w:rPr>
          <w:rFonts w:hint="default" w:ascii="Huawei Sans" w:hAnsi="Huawei Sans" w:eastAsia="方正兰亭黑简体"/>
          <w:lang w:val="en-US" w:eastAsia="zh-CN"/>
        </w:rPr>
      </w:pPr>
      <w:r>
        <w:rPr>
          <w:rFonts w:ascii="Huawei Sans" w:hAnsi="Huawei Sans" w:eastAsia="方正兰亭黑简体"/>
          <w:lang w:val="en-US"/>
        </w:rPr>
        <w:br w:type="page"/>
      </w:r>
    </w:p>
    <w:p>
      <w:pPr>
        <w:pStyle w:val="2"/>
        <w:numPr>
          <w:ilvl w:val="0"/>
          <w:numId w:val="1"/>
        </w:numPr>
        <w:bidi w:val="0"/>
        <w:ind w:left="0" w:leftChars="0" w:firstLine="0" w:firstLineChars="0"/>
        <w:rPr>
          <w:rFonts w:hint="eastAsia"/>
          <w:lang w:val="en-US" w:eastAsia="zh-CN"/>
        </w:rPr>
      </w:pPr>
      <w:r>
        <w:rPr>
          <w:rFonts w:hint="eastAsia"/>
          <w:lang w:val="en-US" w:eastAsia="zh-CN"/>
        </w:rPr>
        <w:t>实验结果</w:t>
      </w:r>
    </w:p>
    <w:p>
      <w:pPr>
        <w:numPr>
          <w:ilvl w:val="0"/>
          <w:numId w:val="4"/>
        </w:numPr>
        <w:rPr>
          <w:rFonts w:hint="eastAsia"/>
          <w:lang w:val="en-US" w:eastAsia="zh-CN"/>
        </w:rPr>
      </w:pPr>
      <w:r>
        <w:rPr>
          <w:rFonts w:hint="eastAsia"/>
          <w:lang w:val="en-US" w:eastAsia="zh-CN"/>
        </w:rPr>
        <w:t>Python脚本生成测试数据</w:t>
      </w:r>
    </w:p>
    <w:p>
      <w:pPr>
        <w:numPr>
          <w:ilvl w:val="0"/>
          <w:numId w:val="0"/>
        </w:numPr>
        <w:rPr>
          <w:rFonts w:hint="eastAsia"/>
          <w:lang w:val="en-US" w:eastAsia="zh-CN"/>
        </w:rPr>
      </w:pPr>
      <w:r>
        <w:drawing>
          <wp:inline distT="0" distB="0" distL="114300" distR="114300">
            <wp:extent cx="5268595" cy="114427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1144270"/>
                    </a:xfrm>
                    <a:prstGeom prst="rect">
                      <a:avLst/>
                    </a:prstGeom>
                    <a:noFill/>
                    <a:ln>
                      <a:noFill/>
                    </a:ln>
                  </pic:spPr>
                </pic:pic>
              </a:graphicData>
            </a:graphic>
          </wp:inline>
        </w:drawing>
      </w:r>
    </w:p>
    <w:p>
      <w:pPr>
        <w:numPr>
          <w:ilvl w:val="0"/>
          <w:numId w:val="4"/>
        </w:numPr>
        <w:rPr>
          <w:rFonts w:hint="default"/>
          <w:lang w:val="en-US" w:eastAsia="zh-CN"/>
        </w:rPr>
      </w:pPr>
      <w:r>
        <w:rPr>
          <w:rFonts w:hint="eastAsia"/>
          <w:lang w:val="en-US" w:eastAsia="zh-CN"/>
        </w:rPr>
        <w:t>配置Kafka</w:t>
      </w:r>
    </w:p>
    <w:p>
      <w:pPr>
        <w:numPr>
          <w:ilvl w:val="0"/>
          <w:numId w:val="0"/>
        </w:numPr>
        <w:rPr>
          <w:rFonts w:hint="default"/>
          <w:lang w:val="en-US" w:eastAsia="zh-CN"/>
        </w:rPr>
      </w:pPr>
      <w:r>
        <w:drawing>
          <wp:inline distT="0" distB="0" distL="114300" distR="114300">
            <wp:extent cx="5268595" cy="329565"/>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8595" cy="329565"/>
                    </a:xfrm>
                    <a:prstGeom prst="rect">
                      <a:avLst/>
                    </a:prstGeom>
                    <a:noFill/>
                    <a:ln>
                      <a:noFill/>
                    </a:ln>
                  </pic:spPr>
                </pic:pic>
              </a:graphicData>
            </a:graphic>
          </wp:inline>
        </w:drawing>
      </w:r>
    </w:p>
    <w:p>
      <w:pPr>
        <w:numPr>
          <w:ilvl w:val="0"/>
          <w:numId w:val="4"/>
        </w:numPr>
        <w:rPr>
          <w:rFonts w:hint="default"/>
          <w:lang w:val="en-US" w:eastAsia="zh-CN"/>
        </w:rPr>
      </w:pPr>
      <w:r>
        <w:rPr>
          <w:rFonts w:hint="eastAsia"/>
          <w:lang w:val="en-US" w:eastAsia="zh-CN"/>
        </w:rPr>
        <w:t>安装Flume客户端</w:t>
      </w:r>
    </w:p>
    <w:p>
      <w:pPr>
        <w:numPr>
          <w:ilvl w:val="0"/>
          <w:numId w:val="0"/>
        </w:numPr>
        <w:rPr>
          <w:rFonts w:hint="default"/>
          <w:lang w:val="en-US" w:eastAsia="zh-CN"/>
        </w:rPr>
      </w:pPr>
      <w:r>
        <w:drawing>
          <wp:inline distT="0" distB="0" distL="114300" distR="114300">
            <wp:extent cx="5273675" cy="658495"/>
            <wp:effectExtent l="0" t="0" r="1460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3675" cy="658495"/>
                    </a:xfrm>
                    <a:prstGeom prst="rect">
                      <a:avLst/>
                    </a:prstGeom>
                    <a:noFill/>
                    <a:ln>
                      <a:noFill/>
                    </a:ln>
                  </pic:spPr>
                </pic:pic>
              </a:graphicData>
            </a:graphic>
          </wp:inline>
        </w:drawing>
      </w:r>
    </w:p>
    <w:p>
      <w:pPr>
        <w:numPr>
          <w:ilvl w:val="0"/>
          <w:numId w:val="4"/>
        </w:numPr>
        <w:rPr>
          <w:rFonts w:hint="default"/>
          <w:lang w:val="en-US" w:eastAsia="zh-CN"/>
        </w:rPr>
      </w:pPr>
      <w:r>
        <w:rPr>
          <w:rFonts w:hint="eastAsia"/>
          <w:lang w:val="en-US" w:eastAsia="zh-CN"/>
        </w:rPr>
        <w:t>配置Flume采集数据（测试Flume到Kafka是否打通）</w:t>
      </w:r>
    </w:p>
    <w:p>
      <w:pPr>
        <w:numPr>
          <w:ilvl w:val="0"/>
          <w:numId w:val="0"/>
        </w:numPr>
        <w:rPr>
          <w:rFonts w:hint="default"/>
          <w:lang w:val="en-US" w:eastAsia="zh-CN"/>
        </w:rPr>
      </w:pPr>
      <w:r>
        <w:drawing>
          <wp:inline distT="0" distB="0" distL="114300" distR="114300">
            <wp:extent cx="5267960" cy="1379220"/>
            <wp:effectExtent l="0" t="0" r="508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67960" cy="1379220"/>
                    </a:xfrm>
                    <a:prstGeom prst="rect">
                      <a:avLst/>
                    </a:prstGeom>
                    <a:noFill/>
                    <a:ln>
                      <a:noFill/>
                    </a:ln>
                  </pic:spPr>
                </pic:pic>
              </a:graphicData>
            </a:graphic>
          </wp:inline>
        </w:drawing>
      </w:r>
    </w:p>
    <w:p>
      <w:pPr>
        <w:numPr>
          <w:ilvl w:val="0"/>
          <w:numId w:val="4"/>
        </w:numPr>
        <w:rPr>
          <w:rFonts w:hint="default"/>
          <w:lang w:val="en-US" w:eastAsia="zh-CN"/>
        </w:rPr>
      </w:pPr>
      <w:r>
        <w:rPr>
          <w:rFonts w:hint="eastAsia"/>
          <w:lang w:val="en-US" w:eastAsia="zh-CN"/>
        </w:rPr>
        <w:t>MySQL中准备结果表与维度表数据</w:t>
      </w:r>
    </w:p>
    <w:p>
      <w:pPr>
        <w:numPr>
          <w:ilvl w:val="0"/>
          <w:numId w:val="0"/>
        </w:numPr>
        <w:rPr>
          <w:rFonts w:hint="default"/>
          <w:lang w:val="en-US" w:eastAsia="zh-CN"/>
        </w:rPr>
      </w:pPr>
      <w:r>
        <w:drawing>
          <wp:inline distT="0" distB="0" distL="114300" distR="114300">
            <wp:extent cx="4869180" cy="430530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869180" cy="4305300"/>
                    </a:xfrm>
                    <a:prstGeom prst="rect">
                      <a:avLst/>
                    </a:prstGeom>
                    <a:noFill/>
                    <a:ln>
                      <a:noFill/>
                    </a:ln>
                  </pic:spPr>
                </pic:pic>
              </a:graphicData>
            </a:graphic>
          </wp:inline>
        </w:drawing>
      </w:r>
    </w:p>
    <w:p>
      <w:pPr>
        <w:numPr>
          <w:ilvl w:val="0"/>
          <w:numId w:val="4"/>
        </w:numPr>
        <w:rPr>
          <w:rFonts w:hint="default"/>
          <w:lang w:val="en-US" w:eastAsia="zh-CN"/>
        </w:rPr>
      </w:pPr>
      <w:r>
        <w:rPr>
          <w:rFonts w:hint="eastAsia"/>
          <w:lang w:val="en-US" w:eastAsia="zh-CN"/>
        </w:rPr>
        <w:t>使用DLI中的Flink作业进行数据分析</w:t>
      </w:r>
    </w:p>
    <w:p>
      <w:pPr>
        <w:numPr>
          <w:ilvl w:val="0"/>
          <w:numId w:val="0"/>
        </w:numPr>
        <w:rPr>
          <w:rFonts w:hint="default"/>
          <w:lang w:val="en-US" w:eastAsia="zh-CN"/>
        </w:rPr>
      </w:pPr>
      <w:r>
        <w:drawing>
          <wp:inline distT="0" distB="0" distL="114300" distR="114300">
            <wp:extent cx="5269865" cy="1744980"/>
            <wp:effectExtent l="0" t="0" r="317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69865" cy="1744980"/>
                    </a:xfrm>
                    <a:prstGeom prst="rect">
                      <a:avLst/>
                    </a:prstGeom>
                    <a:noFill/>
                    <a:ln>
                      <a:noFill/>
                    </a:ln>
                  </pic:spPr>
                </pic:pic>
              </a:graphicData>
            </a:graphic>
          </wp:inline>
        </w:drawing>
      </w:r>
    </w:p>
    <w:p>
      <w:pPr>
        <w:numPr>
          <w:ilvl w:val="0"/>
          <w:numId w:val="4"/>
        </w:numPr>
        <w:rPr>
          <w:rFonts w:hint="default"/>
          <w:lang w:val="en-US" w:eastAsia="zh-CN"/>
        </w:rPr>
      </w:pPr>
      <w:r>
        <w:rPr>
          <w:rFonts w:hint="eastAsia"/>
          <w:lang w:val="en-US" w:eastAsia="zh-CN"/>
        </w:rPr>
        <w:t>DLV数据可视化</w:t>
      </w:r>
    </w:p>
    <w:p>
      <w:pPr>
        <w:rPr>
          <w:rFonts w:hint="default"/>
          <w:lang w:val="en-US" w:eastAsia="zh-CN"/>
        </w:rPr>
      </w:pPr>
      <w:r>
        <w:drawing>
          <wp:inline distT="0" distB="0" distL="114300" distR="114300">
            <wp:extent cx="4145280" cy="25527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145280" cy="25527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Huawei Sans">
    <w:panose1 w:val="020C0503030203020204"/>
    <w:charset w:val="00"/>
    <w:family w:val="swiss"/>
    <w:pitch w:val="default"/>
    <w:sig w:usb0="A00002FF" w:usb1="500078FB" w:usb2="00000008" w:usb3="00000000" w:csb0="2000009F" w:csb1="DFD70000"/>
  </w:font>
  <w:font w:name="方正兰亭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5BB55"/>
    <w:multiLevelType w:val="singleLevel"/>
    <w:tmpl w:val="9445BB55"/>
    <w:lvl w:ilvl="0" w:tentative="0">
      <w:start w:val="1"/>
      <w:numFmt w:val="decimal"/>
      <w:lvlText w:val="%1."/>
      <w:lvlJc w:val="left"/>
      <w:pPr>
        <w:tabs>
          <w:tab w:val="left" w:pos="312"/>
        </w:tabs>
      </w:pPr>
    </w:lvl>
  </w:abstractNum>
  <w:abstractNum w:abstractNumId="1">
    <w:nsid w:val="BC886439"/>
    <w:multiLevelType w:val="singleLevel"/>
    <w:tmpl w:val="BC886439"/>
    <w:lvl w:ilvl="0" w:tentative="0">
      <w:start w:val="1"/>
      <w:numFmt w:val="chineseCounting"/>
      <w:suff w:val="nothing"/>
      <w:lvlText w:val="%1、"/>
      <w:lvlJc w:val="left"/>
      <w:rPr>
        <w:rFonts w:hint="eastAsia"/>
      </w:rPr>
    </w:lvl>
  </w:abstractNum>
  <w:abstractNum w:abstractNumId="2">
    <w:nsid w:val="001E7C52"/>
    <w:multiLevelType w:val="singleLevel"/>
    <w:tmpl w:val="001E7C52"/>
    <w:lvl w:ilvl="0" w:tentative="0">
      <w:start w:val="1"/>
      <w:numFmt w:val="decimal"/>
      <w:lvlText w:val="%1."/>
      <w:lvlJc w:val="left"/>
      <w:pPr>
        <w:tabs>
          <w:tab w:val="left" w:pos="312"/>
        </w:tabs>
      </w:pPr>
    </w:lvl>
  </w:abstractNum>
  <w:abstractNum w:abstractNumId="3">
    <w:nsid w:val="6B106DA3"/>
    <w:multiLevelType w:val="singleLevel"/>
    <w:tmpl w:val="6B106DA3"/>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4ODdiY2ZmOWE5NWRjZGJlNTA5MTM5ZDZjNjUwYWMifQ=="/>
  </w:docVars>
  <w:rsids>
    <w:rsidRoot w:val="00000000"/>
    <w:rsid w:val="017B6504"/>
    <w:rsid w:val="02477318"/>
    <w:rsid w:val="03406D51"/>
    <w:rsid w:val="0A9612BF"/>
    <w:rsid w:val="0AF22D2F"/>
    <w:rsid w:val="0E766B7A"/>
    <w:rsid w:val="1BF611F7"/>
    <w:rsid w:val="20151CC1"/>
    <w:rsid w:val="22C96D6A"/>
    <w:rsid w:val="26A62971"/>
    <w:rsid w:val="281B3B74"/>
    <w:rsid w:val="30373ADF"/>
    <w:rsid w:val="31AC30CE"/>
    <w:rsid w:val="32780945"/>
    <w:rsid w:val="33092244"/>
    <w:rsid w:val="3A445351"/>
    <w:rsid w:val="3E7D7FF7"/>
    <w:rsid w:val="467B1712"/>
    <w:rsid w:val="487B2CE6"/>
    <w:rsid w:val="4907292A"/>
    <w:rsid w:val="4E5C1022"/>
    <w:rsid w:val="4F487442"/>
    <w:rsid w:val="5035257A"/>
    <w:rsid w:val="533B19FC"/>
    <w:rsid w:val="55B575E1"/>
    <w:rsid w:val="56A9424E"/>
    <w:rsid w:val="58B30533"/>
    <w:rsid w:val="5AFC7E15"/>
    <w:rsid w:val="5B164B1A"/>
    <w:rsid w:val="60DB73B4"/>
    <w:rsid w:val="6B8237AB"/>
    <w:rsid w:val="79550001"/>
    <w:rsid w:val="7F050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table" w:customStyle="1" w:styleId="5">
    <w:name w:val="网格型浅色1"/>
    <w:basedOn w:val="3"/>
    <w:autoRedefine/>
    <w:qFormat/>
    <w:uiPriority w:val="40"/>
    <w:rPr>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2023-03-07T07:39:00Z</dcterms:created>
  <dc:creator>炫酷狂拽的电脑</dc:creator>
  <cp:lastModifiedBy>21071003</cp:lastModifiedBy>
  <dcterms:modified xsi:type="dcterms:W3CDTF">2024-05-20T08:39:30Z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ZOTERO_PREF_1">
    <vt:lpwstr>1</vt:lpwstr>
  </property>
  <property fmtid="{D5CDD505-2E9C-101B-9397-08002B2CF9AE}" pid="4" name="ZOTERO_PREF_2">
    <vt:lpwstr>1</vt:lpwstr>
  </property>
  <property fmtid="{D5CDD505-2E9C-101B-9397-08002B2CF9AE}" pid="5" name="ICV">
    <vt:lpwstr>C1D991CBEB6A426EB0EE692521291BD9</vt:lpwstr>
  </property>
</Properties>
</file>