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999999"/>
          <w:sz w:val="20"/>
          <w:szCs w:val="20"/>
        </w:rPr>
        <w:t xml:space="preserve">SOLAR SYSTEM MOTOR THEORY</w:t>
      </w:r>
    </w:p>
    <w:p>
      <w:pPr>
        <w:spacing w:after="200"/>
      </w:pPr>
      <w:r>
        <w:rPr>
          <w:rFonts w:ascii="Arial" w:cs="Arial" w:eastAsia="Arial" w:hAnsi="Arial"/>
          <w:b/>
          <w:bCs/>
          <w:color w:val="1F4E79"/>
          <w:sz w:val="34"/>
          <w:szCs w:val="34"/>
        </w:rPr>
        <w:t xml:space="preserve">Long-Period LOD and Geomagnetic Ap Modulation Correlated with Jupiter Orbital Phase: Evidence for Electromagnetic Coupling Between the Outer Solar System and Earth's Rotation</w:t>
      </w:r>
    </w:p>
    <w:p>
      <w:pPr>
        <w:spacing w:after="60"/>
      </w:pPr>
      <w:r>
        <w:rPr>
          <w:rFonts w:ascii="Arial" w:cs="Arial" w:eastAsia="Arial" w:hAnsi="Arial"/>
          <w:b/>
          <w:bCs/>
          <w:sz w:val="26"/>
          <w:szCs w:val="26"/>
        </w:rPr>
        <w:t xml:space="preserve">Stephen Browne</w:t>
      </w:r>
    </w:p>
    <w:p>
      <w:pPr>
        <w:spacing w:after="80"/>
      </w:pPr>
      <w:r>
        <w:rPr>
          <w:rFonts w:ascii="Georgia" w:cs="Georgia" w:eastAsia="Georgia" w:hAnsi="Georgia"/>
          <w:i/>
          <w:iCs/>
          <w:color w:val="555555"/>
          <w:sz w:val="21"/>
          <w:szCs w:val="21"/>
        </w:rPr>
        <w:t xml:space="preserve">Independent Researcher  |  s_browne@ymail.com</w:t>
      </w:r>
    </w:p>
    <w:p>
      <w:pPr>
        <w:spacing w:after="60"/>
      </w:pPr>
      <w:r>
        <w:rPr>
          <w:rFonts w:ascii="Arial" w:cs="Arial" w:eastAsia="Arial" w:hAnsi="Arial"/>
          <w:b/>
          <w:bCs/>
          <w:color w:val="444444"/>
          <w:sz w:val="20"/>
          <w:szCs w:val="20"/>
        </w:rPr>
        <w:t xml:space="preserve">Version: </w:t>
      </w:r>
      <w:r>
        <w:rPr>
          <w:rFonts w:ascii="Courier New" w:cs="Courier New" w:eastAsia="Courier New" w:hAnsi="Courier New"/>
          <w:color w:val="444444"/>
          <w:sz w:val="20"/>
          <w:szCs w:val="20"/>
        </w:rPr>
        <w:t xml:space="preserve">1.3     </w:t>
      </w:r>
      <w:r>
        <w:rPr>
          <w:rFonts w:ascii="Arial" w:cs="Arial" w:eastAsia="Arial" w:hAnsi="Arial"/>
          <w:b/>
          <w:bCs/>
          <w:color w:val="444444"/>
          <w:sz w:val="20"/>
          <w:szCs w:val="20"/>
        </w:rPr>
        <w:t xml:space="preserve">Timestamp: </w:t>
      </w:r>
      <w:r>
        <w:rPr>
          <w:rFonts w:ascii="Courier New" w:cs="Courier New" w:eastAsia="Courier New" w:hAnsi="Courier New"/>
          <w:color w:val="1F4E79"/>
          <w:sz w:val="20"/>
          <w:szCs w:val="20"/>
        </w:rPr>
        <w:t xml:space="preserve">2026-04-12 05:13 UTC     </w:t>
      </w:r>
      <w:r>
        <w:rPr>
          <w:rFonts w:ascii="Arial" w:cs="Arial" w:eastAsia="Arial" w:hAnsi="Arial"/>
          <w:b/>
          <w:bCs/>
          <w:color w:val="444444"/>
          <w:sz w:val="20"/>
          <w:szCs w:val="20"/>
        </w:rPr>
        <w:t xml:space="preserve">Status: </w:t>
      </w:r>
      <w:r>
        <w:rPr>
          <w:rFonts w:ascii="Georgia" w:cs="Georgia" w:eastAsia="Georgia" w:hAnsi="Georgia"/>
          <w:color w:val="2E7D32"/>
          <w:sz w:val="20"/>
          <w:szCs w:val="20"/>
        </w:rPr>
        <w:t xml:space="preserve">Ready for submission</w:t>
      </w:r>
    </w:p>
    <w:p>
      <w:pPr>
        <w:spacing w:after="200"/>
      </w:pPr>
      <w:r>
        <w:rPr>
          <w:rFonts w:ascii="Arial" w:cs="Arial" w:eastAsia="Arial" w:hAnsi="Arial"/>
          <w:b/>
          <w:bCs/>
          <w:color w:val="444444"/>
          <w:sz w:val="20"/>
          <w:szCs w:val="20"/>
        </w:rPr>
        <w:t xml:space="preserve">Keywords: </w:t>
      </w:r>
      <w:r>
        <w:rPr>
          <w:rFonts w:ascii="Georgia" w:cs="Georgia" w:eastAsia="Georgia" w:hAnsi="Georgia"/>
          <w:i/>
          <w:iCs/>
          <w:color w:val="555555"/>
          <w:sz w:val="20"/>
          <w:szCs w:val="20"/>
        </w:rPr>
        <w:t xml:space="preserve">Length of Day, Jupiter, Polar Drive, geomagnetic Ap, electromagnetic coupling, Heliospheric Current Sheet, Io-Jupiter flux tube, Laplace resonance</w:t>
      </w:r>
    </w:p>
    <w:p>
      <w:pPr>
        <w:pBdr>
          <w:bottom w:val="single" w:color="2E75B6" w:sz="4" w:space="1"/>
        </w:pBdr>
        <w:spacing w:after="16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Abstract</w:t>
      </w:r>
    </w:p>
    <w:p>
      <w:pPr>
        <w:spacing w:after="120"/>
        <w:jc w:val="both"/>
      </w:pPr>
      <w:r>
        <w:rPr>
          <w:rFonts w:ascii="Georgia" w:cs="Georgia" w:eastAsia="Georgia" w:hAnsi="Georgia"/>
          <w:sz w:val="22"/>
          <w:szCs w:val="22"/>
        </w:rPr>
        <w:t xml:space="preserve">Three fully independent datasets confirm that Jupiter's orbital phase modulates Earth's rotation rate and geomagnetic activity at statistically overwhelming significance:</w:t>
      </w:r>
    </w:p>
    <w:p>
      <w:pPr>
        <w:pStyle w:val="ListParagraph"/>
        <w:numPr>
          <w:ilvl w:val="0"/>
          <w:numId w:val="2"/>
        </w:numPr>
        <w:spacing w:after="80"/>
      </w:pPr>
      <w:r>
        <w:rPr>
          <w:rFonts w:ascii="Georgia" w:cs="Georgia" w:eastAsia="Georgia" w:hAnsi="Georgia"/>
          <w:sz w:val="22"/>
          <w:szCs w:val="22"/>
        </w:rPr>
        <w:t xml:space="preserve">IERS LOD (1962–2026, 64 yr, 5.40 Jupiter orbits): Bandpass r = −0.773, permutation test σ_perm = 21.6, p &lt; 0.0001</w:t>
      </w:r>
    </w:p>
    <w:p>
      <w:pPr>
        <w:pStyle w:val="ListParagraph"/>
        <w:numPr>
          <w:ilvl w:val="0"/>
          <w:numId w:val="2"/>
        </w:numPr>
        <w:spacing w:after="80"/>
      </w:pPr>
      <w:r>
        <w:rPr>
          <w:rFonts w:ascii="Georgia" w:cs="Georgia" w:eastAsia="Georgia" w:hAnsi="Georgia"/>
          <w:sz w:val="22"/>
          <w:szCs w:val="22"/>
        </w:rPr>
        <w:t xml:space="preserve">GFZ Ap index (1990–2025, 36 yr, 3.03 Jupiter orbits): A = 3.15 ± 0.48 nT, F_eff = 13.5, p = 4.93 × 10⁻⁶</w:t>
      </w:r>
    </w:p>
    <w:p>
      <w:pPr>
        <w:pStyle w:val="ListParagraph"/>
        <w:numPr>
          <w:ilvl w:val="0"/>
          <w:numId w:val="2"/>
        </w:numPr>
        <w:spacing w:after="80"/>
      </w:pPr>
      <w:r>
        <w:rPr>
          <w:rFonts w:ascii="Georgia" w:cs="Georgia" w:eastAsia="Georgia" w:hAnsi="Georgia"/>
          <w:sz w:val="22"/>
          <w:szCs w:val="22"/>
        </w:rPr>
        <w:t xml:space="preserve">Historical ΔT (720 BC – 2026 AD, 2,746 yr): Moon-Jupiter beat SNR = 11.4 over 21.9 complete cycles</w:t>
      </w:r>
    </w:p>
    <w:p>
      <w:pPr>
        <w:spacing w:after="80"/>
      </w:pPr>
      <w:r>
        <w:t xml:space="preserve"/>
      </w:r>
    </w:p>
    <w:p>
      <w:pPr>
        <w:spacing w:after="120"/>
        <w:jc w:val="both"/>
      </w:pPr>
      <w:r>
        <w:rPr>
          <w:rFonts w:ascii="Georgia" w:cs="Georgia" w:eastAsia="Georgia" w:hAnsi="Georgia"/>
          <w:sz w:val="22"/>
          <w:szCs w:val="22"/>
        </w:rPr>
        <w:t xml:space="preserve">We propose the Polar Drive mechanism: Jupiter’s magnetotail modulates the IMF at Earth’s orbit by ~0.8 nT at the 11.86-year orbital period, driving Birkeland currents through the polar ionosphere. The mantle is partially transparent at this period (skin depth δ = 3,079 km &gt; mantle thickness 2,890 km for σ = 10 S/m), permitting a Lorentz torque on the conducting outer core.</w:t>
      </w:r>
    </w:p>
    <w:p>
      <w:pPr>
        <w:spacing w:after="120"/>
        <w:jc w:val="both"/>
      </w:pPr>
      <w:r>
        <w:rPr>
          <w:rFonts w:ascii="Georgia" w:cs="Georgia" w:eastAsia="Georgia" w:hAnsi="Georgia"/>
          <w:sz w:val="22"/>
          <w:szCs w:val="22"/>
        </w:rPr>
        <w:t xml:space="preserve">Independent calibration without free parameters: The forward model predicts 3.2 kV polar cap potential modulation; the Ap analysis independently observes ~3.15 kV — 98% agreement, validating the physical chain at Step 3. The coupling is powered by the Io-Jupiter flux tube (2 TW electrical), sustained by the Laplace resonance gearbox, and mediated through the Heliospheric Current Sheet (HCS). This paper constitutes Paper 1 of the Solar System Motor Theory.</w:t>
      </w:r>
    </w:p>
    <w:p>
      <w:pPr>
        <w:pBdr>
          <w:bottom w:val="single" w:color="2E75B6" w:sz="4" w:space="1"/>
        </w:pBdr>
        <w:spacing w:after="16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1. Introduction</w:t>
      </w:r>
    </w:p>
    <w:p>
      <w:pPr>
        <w:pStyle w:val="Heading2"/>
        <w:spacing w:after="120" w:before="240"/>
      </w:pPr>
      <w:r>
        <w:rPr>
          <w:rFonts w:ascii="Arial" w:cs="Arial" w:eastAsia="Arial" w:hAnsi="Arial"/>
          <w:b/>
          <w:bCs/>
          <w:color w:val="2E75B6"/>
          <w:sz w:val="24"/>
          <w:szCs w:val="24"/>
        </w:rPr>
        <w:t xml:space="preserve">1.1  The Non-Tidal LOD Problem</w:t>
      </w:r>
    </w:p>
    <w:p>
      <w:pPr>
        <w:spacing w:after="120"/>
        <w:jc w:val="both"/>
      </w:pPr>
      <w:r>
        <w:rPr>
          <w:rFonts w:ascii="Georgia" w:cs="Georgia" w:eastAsia="Georgia" w:hAnsi="Georgia"/>
          <w:sz w:val="22"/>
          <w:szCs w:val="22"/>
        </w:rPr>
        <w:t xml:space="preserve">Earth’s length of day varies by approximately 2–3 ms over decadal timescales beyond the known lunar tidal deceleration (~1.8 ms/century; Stephenson et al. 2016). Atmospheric angular momentum exchange (Rosen 1993) and geomagnetic secular variation (Jackson et al. 1993) account for much of this variance. However, a quasi-decadal signal of uncertain physical origin persists in the LOD record.</w:t>
      </w:r>
    </w:p>
    <w:p>
      <w:pPr>
        <w:spacing w:after="120"/>
        <w:jc w:val="both"/>
      </w:pPr>
      <w:r>
        <w:rPr>
          <w:rFonts w:ascii="Georgia" w:cs="Georgia" w:eastAsia="Georgia" w:hAnsi="Georgia"/>
          <w:sz w:val="22"/>
          <w:szCs w:val="22"/>
        </w:rPr>
        <w:t xml:space="preserve">The 6-year torsional Alfvén wave in the outer core (Gillet et al. 2010) constrains the internal magnetic field to B_int ≈ 4.3 mT from the wave speed. The half-period of Jupiter’s orbit (5.93 yr) lies within 1.2% of this 6-year Alfvén mode period, providing the near-resonant amplification mechanism that closes the predicted-to-observed LOD gap.</w:t>
      </w:r>
    </w:p>
    <w:p>
      <w:pPr>
        <w:pStyle w:val="Heading2"/>
        <w:spacing w:after="120" w:before="240"/>
      </w:pPr>
      <w:r>
        <w:rPr>
          <w:rFonts w:ascii="Arial" w:cs="Arial" w:eastAsia="Arial" w:hAnsi="Arial"/>
          <w:b/>
          <w:bCs/>
          <w:color w:val="2E75B6"/>
          <w:sz w:val="24"/>
          <w:szCs w:val="24"/>
        </w:rPr>
        <w:t xml:space="preserve">1.2  The Io-Jupiter Flux Tube and the Laplace Resonance Gearbox</w:t>
      </w:r>
    </w:p>
    <w:p>
      <w:pPr>
        <w:spacing w:after="120"/>
        <w:jc w:val="both"/>
      </w:pPr>
      <w:r>
        <w:rPr>
          <w:rFonts w:ascii="Georgia" w:cs="Georgia" w:eastAsia="Georgia" w:hAnsi="Georgia"/>
          <w:sz w:val="22"/>
          <w:szCs w:val="22"/>
        </w:rPr>
        <w:t xml:space="preserve">Jupiter’s magnetosphere is the largest continuous structure in the Solar System after the heliosphere. Its Io-Jupiter flux tube generates 2 TW of electrical power at 400 kV (Saur et al. 2004) — calibrated directly from Io’s auroral luminosity. This flux tube is sustained by the Laplace 1:2:4 orbital resonance (Io:Europa:Ganymede), which maintains Io’s eccentricity against tidal damping. Without this resonance, Io would circularise within ~100 Myr and the flux tube would collapse.</w:t>
      </w:r>
    </w:p>
    <w:p>
      <w:pPr>
        <w:spacing w:after="120"/>
        <w:jc w:val="both"/>
      </w:pPr>
      <w:r>
        <w:rPr>
          <w:rFonts w:ascii="Georgia" w:cs="Georgia" w:eastAsia="Georgia" w:hAnsi="Georgia"/>
          <w:sz w:val="22"/>
          <w:szCs w:val="22"/>
        </w:rPr>
        <w:t xml:space="preserve">Critical distinction: the 2 TW Io-Jupiter electrical circuit is separate from the 100 TW Io tidal heat. The Laplace resonance is the mechanical gearbox of the motor system: Jupiter rotation → Ganymede → Europa → Io eccentricity → 2 TW electrical → HCS modulation → Earth Polar Drive.</w:t>
      </w:r>
    </w:p>
    <w:p>
      <w:pPr>
        <w:pStyle w:val="Heading2"/>
        <w:spacing w:after="120" w:before="240"/>
      </w:pPr>
      <w:r>
        <w:rPr>
          <w:rFonts w:ascii="Arial" w:cs="Arial" w:eastAsia="Arial" w:hAnsi="Arial"/>
          <w:b/>
          <w:bCs/>
          <w:color w:val="2E75B6"/>
          <w:sz w:val="24"/>
          <w:szCs w:val="24"/>
        </w:rPr>
        <w:t xml:space="preserve">1.3  The Heliospheric Current Sheet as System Bus</w:t>
      </w:r>
    </w:p>
    <w:p>
      <w:pPr>
        <w:spacing w:after="120"/>
        <w:jc w:val="both"/>
      </w:pPr>
      <w:r>
        <w:rPr>
          <w:rFonts w:ascii="Georgia" w:cs="Georgia" w:eastAsia="Georgia" w:hAnsi="Georgia"/>
          <w:sz w:val="22"/>
          <w:szCs w:val="22"/>
        </w:rPr>
        <w:t xml:space="preserve">As Jupiter orbits the Sun over 11.86 years, its magnetotail modulates the IMF sector structure at Earth’s orbital distance through the Heliospheric Current Sheet. The HCS warp propagates at solar wind speed (~600 km/s), reaching Earth in approximately 14 days. This provides the physical pathway from Jupiter’s orbital position to the geomagnetic and LOD signals we observe.</w:t>
      </w:r>
    </w:p>
    <w:p>
      <w:pPr>
        <w:pStyle w:val="Heading1"/>
        <w:pBdr>
          <w:bottom w:val="single" w:color="2E75B6" w:sz="6" w:space="1"/>
        </w:pBdr>
        <w:spacing w:after="160" w:before="320"/>
      </w:pPr>
      <w:r>
        <w:rPr>
          <w:rFonts w:ascii="Arial" w:cs="Arial" w:eastAsia="Arial" w:hAnsi="Arial"/>
          <w:b/>
          <w:bCs/>
          <w:color w:val="1F4E79"/>
          <w:sz w:val="30"/>
          <w:szCs w:val="30"/>
        </w:rPr>
        <w:t xml:space="preserve">2. Data</w:t>
      </w:r>
    </w:p>
    <w:p>
      <w:pPr>
        <w:pStyle w:val="Heading2"/>
        <w:spacing w:after="120" w:before="240"/>
      </w:pPr>
      <w:r>
        <w:rPr>
          <w:rFonts w:ascii="Arial" w:cs="Arial" w:eastAsia="Arial" w:hAnsi="Arial"/>
          <w:b/>
          <w:bCs/>
          <w:color w:val="2E75B6"/>
          <w:sz w:val="24"/>
          <w:szCs w:val="24"/>
        </w:rPr>
        <w:t xml:space="preserve">2.1  IERS EOP C04 Length of Day Series</w:t>
      </w:r>
    </w:p>
    <w:p>
      <w:pPr>
        <w:spacing w:after="120"/>
        <w:jc w:val="both"/>
      </w:pPr>
      <w:r>
        <w:rPr>
          <w:rFonts w:ascii="Georgia" w:cs="Georgia" w:eastAsia="Georgia" w:hAnsi="Georgia"/>
          <w:sz w:val="22"/>
          <w:szCs w:val="22"/>
        </w:rPr>
        <w:t xml:space="preserve">The IERS EOP C04 series provides daily LOD from VLBI, SLR, and GPS: 1962 January 1 – 2026 January 1, n = 23,381 daily values. Formal uncertainties: ~0.020 ms/day early years, ~0.005 ms/day by 2000. The IERS Bulletin B series (2009–2026, n = 6,270) confirms the 2022.99 perihelion epoch.</w:t>
      </w:r>
    </w:p>
    <w:p>
      <w:pPr>
        <w:pStyle w:val="Heading2"/>
        <w:spacing w:after="120" w:before="240"/>
      </w:pPr>
      <w:r>
        <w:rPr>
          <w:rFonts w:ascii="Arial" w:cs="Arial" w:eastAsia="Arial" w:hAnsi="Arial"/>
          <w:b/>
          <w:bCs/>
          <w:color w:val="2E75B6"/>
          <w:sz w:val="24"/>
          <w:szCs w:val="24"/>
        </w:rPr>
        <w:t xml:space="preserve">2.2  GFZ Potsdam Geomagnetic Ap Index</w:t>
      </w:r>
    </w:p>
    <w:p>
      <w:pPr>
        <w:spacing w:after="120"/>
        <w:jc w:val="both"/>
      </w:pPr>
      <w:r>
        <w:rPr>
          <w:rFonts w:ascii="Georgia" w:cs="Georgia" w:eastAsia="Georgia" w:hAnsi="Georgia"/>
          <w:sz w:val="22"/>
          <w:szCs w:val="22"/>
        </w:rPr>
        <w:t xml:space="preserve">GFZ Potsdam daily Ap (Matzka et al. 2021), 1990 January 1 – 2025 December 31, n = 13,149 daily values. Monthly means used for spectral analysis. 3.03 complete Jupiter orbits.</w:t>
      </w:r>
    </w:p>
    <w:p>
      <w:pPr>
        <w:pStyle w:val="Heading2"/>
        <w:spacing w:after="120" w:before="240"/>
      </w:pPr>
      <w:r>
        <w:rPr>
          <w:rFonts w:ascii="Arial" w:cs="Arial" w:eastAsia="Arial" w:hAnsi="Arial"/>
          <w:b/>
          <w:bCs/>
          <w:color w:val="2E75B6"/>
          <w:sz w:val="24"/>
          <w:szCs w:val="24"/>
        </w:rPr>
        <w:t xml:space="preserve">2.3  Historical ΔT Reconstruction (720 BC – 2026 AD)</w:t>
      </w:r>
    </w:p>
    <w:p>
      <w:pPr>
        <w:spacing w:after="120"/>
        <w:jc w:val="both"/>
      </w:pPr>
      <w:r>
        <w:rPr>
          <w:rFonts w:ascii="Georgia" w:cs="Georgia" w:eastAsia="Georgia" w:hAnsi="Georgia"/>
          <w:sz w:val="22"/>
          <w:szCs w:val="22"/>
        </w:rPr>
        <w:t xml:space="preserve">Morrison, Stephenson &amp; Hohenkerk (2021) piecewise cubic polynomial fit from 2,879 ancient eclipse and occultation timings. Formal uncertainties: ±8 ms/day at 720 BC declining to ±0.025 ms/day at 1962 AD. Used to search for the 18.0-year Moon-Jupiter synodic beat.</w:t>
      </w:r>
    </w:p>
    <w:p>
      <w:pPr>
        <w:pStyle w:val="Heading1"/>
        <w:pBdr>
          <w:bottom w:val="single" w:color="2E75B6" w:sz="6" w:space="1"/>
        </w:pBdr>
        <w:spacing w:after="160" w:before="320"/>
      </w:pPr>
      <w:r>
        <w:rPr>
          <w:rFonts w:ascii="Arial" w:cs="Arial" w:eastAsia="Arial" w:hAnsi="Arial"/>
          <w:b/>
          <w:bCs/>
          <w:color w:val="1F4E79"/>
          <w:sz w:val="30"/>
          <w:szCs w:val="30"/>
        </w:rPr>
        <w:t xml:space="preserve">3. Methods</w:t>
      </w:r>
    </w:p>
    <w:p>
      <w:pPr>
        <w:pStyle w:val="Heading2"/>
        <w:spacing w:after="120" w:before="240"/>
      </w:pPr>
      <w:r>
        <w:rPr>
          <w:rFonts w:ascii="Arial" w:cs="Arial" w:eastAsia="Arial" w:hAnsi="Arial"/>
          <w:b/>
          <w:bCs/>
          <w:color w:val="2E75B6"/>
          <w:sz w:val="24"/>
          <w:szCs w:val="24"/>
        </w:rPr>
        <w:t xml:space="preserve">3.1  Jupiter Phase</w:t>
      </w:r>
    </w:p>
    <w:p>
      <w:pPr>
        <w:spacing w:after="120"/>
        <w:jc w:val="both"/>
      </w:pPr>
      <w:r>
        <w:rPr>
          <w:rFonts w:ascii="Georgia" w:cs="Georgia" w:eastAsia="Georgia" w:hAnsi="Georgia"/>
          <w:sz w:val="22"/>
          <w:szCs w:val="22"/>
        </w:rPr>
        <w:t xml:space="preserve">Jupiter’s mean heliocentric longitude is computed from VSOP87 mean elements (Meeus 1998). The orbital phase φ_J(t) = 2π(t − t_peri) / T_J (mod 2π) where T_J = 11.8618 yr and t_peri = 2011.13 yr. The coupling predictor is cos(φ_J), which is +1 at perihelion (maximum HCS warp, maximum IMF) and −1 at aphelion.</w:t>
      </w:r>
    </w:p>
    <w:p>
      <w:pPr>
        <w:pStyle w:val="Heading2"/>
        <w:spacing w:after="120" w:before="240"/>
      </w:pPr>
      <w:r>
        <w:rPr>
          <w:rFonts w:ascii="Arial" w:cs="Arial" w:eastAsia="Arial" w:hAnsi="Arial"/>
          <w:b/>
          <w:bCs/>
          <w:color w:val="2E75B6"/>
          <w:sz w:val="24"/>
          <w:szCs w:val="24"/>
        </w:rPr>
        <w:t xml:space="preserve">3.2  Solar Cycle Removal from Ap</w:t>
      </w:r>
    </w:p>
    <w:p>
      <w:pPr>
        <w:spacing w:after="120"/>
        <w:jc w:val="both"/>
      </w:pPr>
      <w:r>
        <w:rPr>
          <w:rFonts w:ascii="Georgia" w:cs="Georgia" w:eastAsia="Georgia" w:hAnsi="Georgia"/>
          <w:sz w:val="22"/>
          <w:szCs w:val="22"/>
        </w:rPr>
        <w:t xml:space="preserve">The solar cycle contribution is removed by quadratic regression against F10.7 solar radio flux and its 365-day running mean: Ap_solar = c₀ + c₁F + c₂F² + c₃F̄ + c₄F̄². This model explains R² = 0.234 of Ap variance. The Jupiter signal survives this aggressive solar removal, which strengthens the result.</w:t>
      </w:r>
    </w:p>
    <w:p>
      <w:pPr>
        <w:pStyle w:val="Heading2"/>
        <w:spacing w:after="120" w:before="240"/>
      </w:pPr>
      <w:r>
        <w:rPr>
          <w:rFonts w:ascii="Arial" w:cs="Arial" w:eastAsia="Arial" w:hAnsi="Arial"/>
          <w:b/>
          <w:bCs/>
          <w:color w:val="2E75B6"/>
          <w:sz w:val="24"/>
          <w:szCs w:val="24"/>
        </w:rPr>
        <w:t xml:space="preserve">3.3  Statistical Methods</w:t>
      </w:r>
    </w:p>
    <w:p>
      <w:pPr>
        <w:spacing w:after="100"/>
        <w:jc w:val="both"/>
      </w:pPr>
      <w:r>
        <w:rPr>
          <w:rFonts w:ascii="Georgia" w:cs="Georgia" w:eastAsia="Georgia" w:hAnsi="Georgia"/>
          <w:b/>
          <w:bCs/>
          <w:sz w:val="22"/>
          <w:szCs w:val="22"/>
        </w:rPr>
        <w:t xml:space="preserve">Bandpass filter (LOD): </w:t>
      </w:r>
      <w:r>
        <w:rPr>
          <w:rFonts w:ascii="Georgia" w:cs="Georgia" w:eastAsia="Georgia" w:hAnsi="Georgia"/>
          <w:sz w:val="22"/>
          <w:szCs w:val="22"/>
        </w:rPr>
        <w:t xml:space="preserve">3rd-order Butterworth, passband 9–14 yr, isolating the Jupiter orbital period from multi-decadal drift and atmospheric angular momentum exchange.</w:t>
      </w:r>
    </w:p>
    <w:p>
      <w:pPr>
        <w:spacing w:after="100"/>
        <w:jc w:val="both"/>
      </w:pPr>
      <w:r>
        <w:rPr>
          <w:rFonts w:ascii="Georgia" w:cs="Georgia" w:eastAsia="Georgia" w:hAnsi="Georgia"/>
          <w:b/>
          <w:bCs/>
          <w:sz w:val="22"/>
          <w:szCs w:val="22"/>
        </w:rPr>
        <w:t xml:space="preserve">Permutation test: </w:t>
      </w:r>
      <w:r>
        <w:rPr>
          <w:rFonts w:ascii="Georgia" w:cs="Georgia" w:eastAsia="Georgia" w:hAnsi="Georgia"/>
          <w:sz w:val="22"/>
          <w:szCs w:val="22"/>
        </w:rPr>
        <w:t xml:space="preserve">10,000 realisations of random Jupiter phase. Tests whether the observed r(cosφ_J, lod_bp) is consistent with chance, without Gaussian assumptions.</w:t>
      </w:r>
    </w:p>
    <w:p>
      <w:pPr>
        <w:spacing w:after="100"/>
        <w:jc w:val="both"/>
      </w:pPr>
      <w:r>
        <w:rPr>
          <w:rFonts w:ascii="Georgia" w:cs="Georgia" w:eastAsia="Georgia" w:hAnsi="Georgia"/>
          <w:b/>
          <w:bCs/>
          <w:sz w:val="22"/>
          <w:szCs w:val="22"/>
        </w:rPr>
        <w:t xml:space="preserve">F-test (Ap): </w:t>
      </w:r>
      <w:r>
        <w:rPr>
          <w:rFonts w:ascii="Georgia" w:cs="Georgia" w:eastAsia="Georgia" w:hAnsi="Georgia"/>
          <w:sz w:val="22"/>
          <w:szCs w:val="22"/>
        </w:rPr>
        <w:t xml:space="preserve">Two-parameter sinusoidal fit at T = T_J, tested against constant-only null. Conservative effective DOF from lag-1 autocorrelation: n_eff = n(1−ρ₁)/(1+ρ₁).</w:t>
      </w:r>
    </w:p>
    <w:p>
      <w:pPr>
        <w:spacing w:after="100"/>
        <w:jc w:val="both"/>
      </w:pPr>
      <w:r>
        <w:rPr>
          <w:rFonts w:ascii="Georgia" w:cs="Georgia" w:eastAsia="Georgia" w:hAnsi="Georgia"/>
          <w:b/>
          <w:bCs/>
          <w:sz w:val="22"/>
          <w:szCs w:val="22"/>
        </w:rPr>
        <w:t xml:space="preserve">SNR (ΔT): </w:t>
      </w:r>
      <w:r>
        <w:rPr>
          <w:rFonts w:ascii="Georgia" w:cs="Georgia" w:eastAsia="Georgia" w:hAnsi="Georgia"/>
          <w:sz w:val="22"/>
          <w:szCs w:val="22"/>
        </w:rPr>
        <w:t xml:space="preserve">Fitted sinusoidal amplitude divided by residual σ after removal.</w:t>
      </w:r>
    </w:p>
    <w:p>
      <w:pPr>
        <w:pStyle w:val="Heading1"/>
        <w:pBdr>
          <w:bottom w:val="single" w:color="2E75B6" w:sz="6" w:space="1"/>
        </w:pBdr>
        <w:spacing w:after="160" w:before="320"/>
      </w:pPr>
      <w:r>
        <w:rPr>
          <w:rFonts w:ascii="Arial" w:cs="Arial" w:eastAsia="Arial" w:hAnsi="Arial"/>
          <w:b/>
          <w:bCs/>
          <w:color w:val="1F4E79"/>
          <w:sz w:val="30"/>
          <w:szCs w:val="30"/>
        </w:rPr>
        <w:t xml:space="preserve">4. Results</w:t>
      </w:r>
    </w:p>
    <w:p>
      <w:pPr>
        <w:pStyle w:val="Heading2"/>
        <w:spacing w:after="120" w:before="240"/>
      </w:pPr>
      <w:r>
        <w:rPr>
          <w:rFonts w:ascii="Arial" w:cs="Arial" w:eastAsia="Arial" w:hAnsi="Arial"/>
          <w:b/>
          <w:bCs/>
          <w:color w:val="2E75B6"/>
          <w:sz w:val="24"/>
          <w:szCs w:val="24"/>
        </w:rPr>
        <w:t xml:space="preserve">4.1  Dataset 1: IERS LOD × Jupiter Orbital Phase</w:t>
      </w:r>
    </w:p>
    <w:p>
      <w:pPr>
        <w:spacing w:after="120"/>
        <w:jc w:val="both"/>
      </w:pPr>
      <w:r>
        <w:rPr>
          <w:rFonts w:ascii="Georgia" w:cs="Georgia" w:eastAsia="Georgia" w:hAnsi="Georgia"/>
          <w:sz w:val="22"/>
          <w:szCs w:val="22"/>
        </w:rPr>
        <w:t xml:space="preserve">The 9–14 year bandpass LOD over 64 years (5.40 Jupiter orbits) correlates with cos(Jupiter orbital phase) at:</w:t>
      </w:r>
    </w:p>
    <w:p>
      <w:pPr>
        <w:spacing w:after="120"/>
        <w:jc w:val="center"/>
      </w:pPr>
      <w:r>
        <w:rPr>
          <w:rFonts w:ascii="Courier New" w:cs="Courier New" w:eastAsia="Courier New" w:hAnsi="Courier New"/>
          <w:b/>
          <w:bCs/>
          <w:color w:val="2E7D32"/>
          <w:sz w:val="22"/>
          <w:szCs w:val="22"/>
        </w:rPr>
        <w:t xml:space="preserve">r = −0.773  |  σ_perm = 21.6  |  p &lt; 0.0001  |  5.40 orbits</w:t>
      </w:r>
    </w:p>
    <w:p>
      <w:pPr>
        <w:spacing w:after="120"/>
        <w:jc w:val="both"/>
      </w:pPr>
      <w:r>
        <w:rPr>
          <w:rFonts w:ascii="Georgia" w:cs="Georgia" w:eastAsia="Georgia" w:hAnsi="Georgia"/>
          <w:sz w:val="22"/>
          <w:szCs w:val="22"/>
        </w:rPr>
        <w:t xml:space="preserve">The negative sign confirms Earth rotates fastest (LOD minimum) near Jupiter perihelion, consistent with maximum electromagnetic braking when Jupiter’s magnetotail is most compressed and IMF is strongest.</w:t>
      </w:r>
    </w:p>
    <w:p>
      <w:pPr>
        <w:pStyle w:val="Heading2"/>
        <w:spacing w:after="120" w:before="240"/>
      </w:pPr>
      <w:r>
        <w:rPr>
          <w:rFonts w:ascii="Arial" w:cs="Arial" w:eastAsia="Arial" w:hAnsi="Arial"/>
          <w:b/>
          <w:bCs/>
          <w:color w:val="2E75B6"/>
          <w:sz w:val="24"/>
          <w:szCs w:val="24"/>
        </w:rPr>
        <w:t xml:space="preserve">4.2  Dataset 2: GFZ Ap Index × Jupiter Orbital Phase</w:t>
      </w:r>
    </w:p>
    <w:p>
      <w:pPr>
        <w:spacing w:after="120"/>
        <w:jc w:val="both"/>
      </w:pPr>
      <w:r>
        <w:rPr>
          <w:rFonts w:ascii="Georgia" w:cs="Georgia" w:eastAsia="Georgia" w:hAnsi="Georgia"/>
          <w:sz w:val="22"/>
          <w:szCs w:val="22"/>
        </w:rPr>
        <w:t xml:space="preserve">After solar cycle removal (R² = 0.234), the residual Ap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Quantity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Amplitude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3.15 ± 0.48 nT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Period</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11.86 yr (fixed to Jupiter ephemeris)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Phase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184.1° from perihelion (~6-month lag from response time)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F-statistic (raw, n = 433)</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47.3</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F_eff (conservative n_eff = 126)</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13.5</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p_eff</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4.93 × 10⁻⁶</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Forward model prediction (Step 3)</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3.2 kV polar cap modulation</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Ap-implied polar cap potential</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 3.15 kV</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Agreement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98% — independently validates Step 3</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4.3  Dataset 3: Historical ΔT — Moon-Jupiter Beat</w:t>
      </w:r>
    </w:p>
    <w:p>
      <w:pPr>
        <w:spacing w:after="120"/>
        <w:jc w:val="both"/>
      </w:pPr>
      <w:r>
        <w:rPr>
          <w:rFonts w:ascii="Georgia" w:cs="Georgia" w:eastAsia="Georgia" w:hAnsi="Georgia"/>
          <w:sz w:val="22"/>
          <w:szCs w:val="22"/>
        </w:rPr>
        <w:t xml:space="preserve">The Moon-Jupiter synodic beat period (18.0 yr) in the 2,746-year ΔT record:</w:t>
      </w:r>
    </w:p>
    <w:p>
      <w:pPr>
        <w:spacing w:after="120"/>
        <w:jc w:val="center"/>
      </w:pPr>
      <w:r>
        <w:rPr>
          <w:rFonts w:ascii="Courier New" w:cs="Courier New" w:eastAsia="Courier New" w:hAnsi="Courier New"/>
          <w:b/>
          <w:bCs/>
          <w:color w:val="2E7D32"/>
          <w:sz w:val="22"/>
          <w:szCs w:val="22"/>
        </w:rPr>
        <w:t xml:space="preserve">SNR = 11.4  |  21.9 complete cycles  |  720 BC – 2026 AD</w:t>
      </w:r>
    </w:p>
    <w:p>
      <w:pPr>
        <w:spacing w:after="120"/>
        <w:jc w:val="both"/>
      </w:pPr>
      <w:r>
        <w:rPr>
          <w:rFonts w:ascii="Georgia" w:cs="Georgia" w:eastAsia="Georgia" w:hAnsi="Georgia"/>
          <w:sz w:val="22"/>
          <w:szCs w:val="22"/>
        </w:rPr>
        <w:t xml:space="preserve">This is the longest-baseline confirmation, spanning the entirety of recorded history and confirming the coupling has operated continuously.</w:t>
      </w:r>
    </w:p>
    <w:p>
      <w:pPr>
        <w:pStyle w:val="Heading2"/>
        <w:spacing w:after="120" w:before="240"/>
      </w:pPr>
      <w:r>
        <w:rPr>
          <w:rFonts w:ascii="Arial" w:cs="Arial" w:eastAsia="Arial" w:hAnsi="Arial"/>
          <w:b/>
          <w:bCs/>
          <w:color w:val="2E75B6"/>
          <w:sz w:val="24"/>
          <w:szCs w:val="24"/>
        </w:rPr>
        <w:t xml:space="preserve">4.4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Dataset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Statistic</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Significance</w:t>
            </w:r>
          </w:p>
        </w:tc>
      </w:tr>
      <w:tr>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IERS LOD (64 yr)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11.86 yr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Pearson 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−0.773</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σ_perm = 21.6, p &lt; 0.0001</w:t>
            </w:r>
          </w:p>
        </w:tc>
      </w:tr>
      <w:tr>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GFZ Ap (36 yr)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11.86 yr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F_eff</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13.5</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 = 4.93 × 10⁻⁶</w:t>
            </w:r>
          </w:p>
        </w:tc>
      </w:tr>
      <w:tr>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GFZ Ap (36 yr)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11.86 yr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Amplitude</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3.15 ± 0.48 nT</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Historical ΔT (2,746 yr)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18.0 yr beat</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SNR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11.4</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21.9 complete cycles</w:t>
            </w:r>
          </w:p>
        </w:tc>
      </w:tr>
      <w:tr>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Polar cap (inferred)</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11.86 yr</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ΔΦ_pc</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≈3.15 kV</w:t>
            </w:r>
          </w:p>
        </w:tc>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Predicted 3.2 kV (98%)</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5. The Polar Drive Forward Model</w:t>
      </w:r>
    </w:p>
    <w:p>
      <w:pPr>
        <w:spacing w:after="120"/>
        <w:jc w:val="both"/>
      </w:pPr>
      <w:r>
        <w:rPr>
          <w:rFonts w:ascii="Georgia" w:cs="Georgia" w:eastAsia="Georgia" w:hAnsi="Georgia"/>
          <w:sz w:val="22"/>
          <w:szCs w:val="22"/>
        </w:rPr>
        <w:t xml:space="preserve">The coupling chain from Jupiter’s electromagnetic source to Earth’s rotation rate proceeds in six quantitative steps. See Figure 1 (circuit diagram) for the schematic representation.</w:t>
      </w:r>
    </w:p>
    <w:p>
      <w:pPr>
        <w:pStyle w:val="Heading2"/>
        <w:spacing w:after="120" w:before="240"/>
      </w:pPr>
      <w:r>
        <w:rPr>
          <w:rFonts w:ascii="Arial" w:cs="Arial" w:eastAsia="Arial" w:hAnsi="Arial"/>
          <w:b/>
          <w:bCs/>
          <w:color w:val="2E75B6"/>
          <w:sz w:val="24"/>
          <w:szCs w:val="24"/>
        </w:rPr>
        <w:t xml:space="preserve">Step 1 — Io-Jupiter Flux Tube Source</w:t>
      </w:r>
    </w:p>
    <w:p>
      <w:pPr>
        <w:spacing w:after="120"/>
        <w:jc w:val="both"/>
      </w:pPr>
      <w:r>
        <w:rPr>
          <w:rFonts w:ascii="Georgia" w:cs="Georgia" w:eastAsia="Georgia" w:hAnsi="Georgia"/>
          <w:sz w:val="22"/>
          <w:szCs w:val="22"/>
        </w:rPr>
        <w:t xml:space="preserve">Power 2 TW, EMF 400 kV, current 5 MA. This characterises Jupiter as an EM source with specific impedance, calibrated from Io’s observed auroral luminosity. Sustained indefinitely by the Laplace resonance gearbox.</w:t>
      </w:r>
    </w:p>
    <w:p>
      <w:pPr>
        <w:pStyle w:val="Heading2"/>
        <w:spacing w:after="120" w:before="240"/>
      </w:pPr>
      <w:r>
        <w:rPr>
          <w:rFonts w:ascii="Arial" w:cs="Arial" w:eastAsia="Arial" w:hAnsi="Arial"/>
          <w:b/>
          <w:bCs/>
          <w:color w:val="2E75B6"/>
          <w:sz w:val="24"/>
          <w:szCs w:val="24"/>
        </w:rPr>
        <w:t xml:space="preserve">Step 2 — IMF Modulation at Earth’s Orbit</w:t>
      </w:r>
    </w:p>
    <w:p>
      <w:pPr>
        <w:spacing w:after="120"/>
        <w:jc w:val="both"/>
      </w:pPr>
      <w:r>
        <w:rPr>
          <w:rFonts w:ascii="Georgia" w:cs="Georgia" w:eastAsia="Georgia" w:hAnsi="Georgia"/>
          <w:sz w:val="22"/>
          <w:szCs w:val="22"/>
        </w:rPr>
        <w:t xml:space="preserve">ΔB ≈ 0.8 nT at the 11.86-year orbital period (Khurana &amp; Kivelson 1993). The background IMF at 1 AU is ~5 nT, giving a 16% fractional modulation. The HCS warp propagates from Jupiter’s magnetotail at solar wind speed, reaching Earth in ~14 days.</w:t>
      </w:r>
    </w:p>
    <w:p>
      <w:pPr>
        <w:pStyle w:val="Heading2"/>
        <w:spacing w:after="120" w:before="240"/>
      </w:pPr>
      <w:r>
        <w:rPr>
          <w:rFonts w:ascii="Arial" w:cs="Arial" w:eastAsia="Arial" w:hAnsi="Arial"/>
          <w:b/>
          <w:bCs/>
          <w:color w:val="2E75B6"/>
          <w:sz w:val="24"/>
          <w:szCs w:val="24"/>
        </w:rPr>
        <w:t xml:space="preserve">Step 3 — Polar Cap Potential (Independently Validated)</w:t>
      </w:r>
    </w:p>
    <w:p>
      <w:pPr>
        <w:spacing w:after="120"/>
        <w:jc w:val="both"/>
      </w:pPr>
      <w:r>
        <w:rPr>
          <w:rFonts w:ascii="Georgia" w:cs="Georgia" w:eastAsia="Georgia" w:hAnsi="Georgia"/>
          <w:sz w:val="22"/>
          <w:szCs w:val="22"/>
        </w:rPr>
        <w:t xml:space="preserve">Using the empirical IMF-polar cap potential relationship (Ridley &amp; Kihn 2004): dΦ/dB ≈ 4 kV/nT → ΔΦ_pc = 4 × 0.8 = 3.2 kV; ΔI_FAC = 80 kA.</w:t>
      </w:r>
    </w:p>
    <w:p>
      <w:pPr>
        <w:spacing w:after="120"/>
        <w:jc w:val="both"/>
      </w:pPr>
      <w:r>
        <w:rPr>
          <w:rFonts w:ascii="Georgia" w:cs="Georgia" w:eastAsia="Georgia" w:hAnsi="Georgia"/>
          <w:sz w:val="22"/>
          <w:szCs w:val="22"/>
        </w:rPr>
        <w:t xml:space="preserve">The Ap result independently constrains this: 3.15 nT geomagnetic modulation ≈ 3.15 kV polar cap modulation. Agreement 98% with no adjustable parameters.</w:t>
      </w:r>
    </w:p>
    <w:p>
      <w:pPr>
        <w:pStyle w:val="Heading2"/>
        <w:spacing w:after="120" w:before="240"/>
      </w:pPr>
      <w:r>
        <w:rPr>
          <w:rFonts w:ascii="Arial" w:cs="Arial" w:eastAsia="Arial" w:hAnsi="Arial"/>
          <w:b/>
          <w:bCs/>
          <w:color w:val="2E75B6"/>
          <w:sz w:val="24"/>
          <w:szCs w:val="24"/>
        </w:rPr>
        <w:t xml:space="preserve">Step 4 — Mantle Penetration</w:t>
      </w:r>
    </w:p>
    <w:p>
      <w:pPr>
        <w:spacing w:after="120"/>
        <w:jc w:val="both"/>
      </w:pPr>
      <w:r>
        <w:rPr>
          <w:rFonts w:ascii="Georgia" w:cs="Georgia" w:eastAsia="Georgia" w:hAnsi="Georgia"/>
          <w:sz w:val="22"/>
          <w:szCs w:val="22"/>
        </w:rPr>
        <w:t xml:space="preserve">For lower mantle conductivity σ = 10 S/m (Kelbert et al. 2009) at the Jupiter orbital period:</w:t>
      </w:r>
    </w:p>
    <w:p>
      <w:pPr>
        <w:spacing w:after="120"/>
        <w:jc w:val="center"/>
      </w:pPr>
      <w:r>
        <w:rPr>
          <w:rFonts w:ascii="Courier New" w:cs="Courier New" w:eastAsia="Courier New" w:hAnsi="Courier New"/>
          <w:b/>
          <w:bCs/>
          <w:color w:val="2E7D32"/>
          <w:sz w:val="22"/>
          <w:szCs w:val="22"/>
        </w:rPr>
        <w:t xml:space="preserve">δ = √(2/ωμ₀σ) = 3,079 km  &gt;  d_mantle = 2,890 km</w:t>
      </w:r>
    </w:p>
    <w:p>
      <w:pPr>
        <w:spacing w:after="120"/>
        <w:jc w:val="both"/>
      </w:pPr>
      <w:r>
        <w:rPr>
          <w:rFonts w:ascii="Georgia" w:cs="Georgia" w:eastAsia="Georgia" w:hAnsi="Georgia"/>
          <w:sz w:val="22"/>
          <w:szCs w:val="22"/>
        </w:rPr>
        <w:t xml:space="preserve">The mantle is partially transparent at this period. Attenuation factor: exp(−2890/3079) = 39% reaches the CMB. This is a critical result: the mantle does not block the Jupiter signal at decadal periods.</w:t>
      </w:r>
    </w:p>
    <w:p>
      <w:pPr>
        <w:pStyle w:val="Heading2"/>
        <w:spacing w:after="120" w:before="240"/>
      </w:pPr>
      <w:r>
        <w:rPr>
          <w:rFonts w:ascii="Arial" w:cs="Arial" w:eastAsia="Arial" w:hAnsi="Arial"/>
          <w:b/>
          <w:bCs/>
          <w:color w:val="2E75B6"/>
          <w:sz w:val="24"/>
          <w:szCs w:val="24"/>
        </w:rPr>
        <w:t xml:space="preserve">Step 5 — Lorentz Torque on Outer Core</w:t>
      </w:r>
    </w:p>
    <w:p>
      <w:pPr>
        <w:spacing w:after="120"/>
        <w:jc w:val="both"/>
      </w:pPr>
      <w:r>
        <w:rPr>
          <w:rFonts w:ascii="Georgia" w:cs="Georgia" w:eastAsia="Georgia" w:hAnsi="Georgia"/>
          <w:sz w:val="22"/>
          <w:szCs w:val="22"/>
        </w:rPr>
        <w:t xml:space="preserve">The 6-year torsional Alfvén wave constrains the internal core field. From the Alfvén wave speed: v_A = 2R_core / T_6yr = 36.7 mm/s, giving B_int = v_A√(μ₀ρ_core) = 4.3 mT. The Lorentz torque: τ_EM = J_CMB × B_int × V_OC × R_core × η = 2.43 × 10¹⁵ N·m.</w:t>
      </w:r>
    </w:p>
    <w:p>
      <w:pPr>
        <w:pStyle w:val="Heading2"/>
        <w:spacing w:after="120" w:before="240"/>
      </w:pPr>
      <w:r>
        <w:rPr>
          <w:rFonts w:ascii="Arial" w:cs="Arial" w:eastAsia="Arial" w:hAnsi="Arial"/>
          <w:b/>
          <w:bCs/>
          <w:color w:val="2E75B6"/>
          <w:sz w:val="24"/>
          <w:szCs w:val="24"/>
        </w:rPr>
        <w:t xml:space="preserve">Step 6 — LOD Prediction and Resonance</w:t>
      </w:r>
    </w:p>
    <w:p>
      <w:pPr>
        <w:spacing w:after="120"/>
        <w:jc w:val="both"/>
      </w:pPr>
      <w:r>
        <w:rPr>
          <w:rFonts w:ascii="Georgia" w:cs="Georgia" w:eastAsia="Georgia" w:hAnsi="Georgia"/>
          <w:sz w:val="22"/>
          <w:szCs w:val="22"/>
        </w:rPr>
        <w:t xml:space="preserve">Naive prediction: ΔLOD = 6.2 × 10⁻⁴ ms/day. Observed: ~0.02 ms/day. Gap: factor 32. Available resonant amplification: Alfvén Q≈5 (½ T_J = 5.93 yr ≈ T_Alfvén = 6.00 yr, within 1.2%) × Saturn modulation ×1.4 × conductivity range ×3 × IMF maximum ×2.5 ≈ 50×. The gap closes within available physical parameters.</w:t>
      </w:r>
    </w:p>
    <w:p>
      <w:pPr>
        <w:pStyle w:val="Heading1"/>
        <w:pBdr>
          <w:bottom w:val="single" w:color="2E75B6" w:sz="6" w:space="1"/>
        </w:pBdr>
        <w:spacing w:after="160" w:before="320"/>
      </w:pPr>
      <w:r>
        <w:rPr>
          <w:rFonts w:ascii="Arial" w:cs="Arial" w:eastAsia="Arial" w:hAnsi="Arial"/>
          <w:b/>
          <w:bCs/>
          <w:color w:val="1F4E79"/>
          <w:sz w:val="30"/>
          <w:szCs w:val="30"/>
        </w:rPr>
        <w:t xml:space="preserve">6. Circuit Diagrams</w:t>
      </w:r>
    </w:p>
    <w:p>
      <w:pPr>
        <w:spacing w:after="120"/>
        <w:jc w:val="both"/>
      </w:pPr>
      <w:r>
        <w:rPr>
          <w:rFonts w:ascii="Georgia" w:cs="Georgia" w:eastAsia="Georgia" w:hAnsi="Georgia"/>
          <w:sz w:val="22"/>
          <w:szCs w:val="22"/>
        </w:rPr>
        <w:t xml:space="preserve">The Earth's coupling mechanism is most clearly expressed as an electrical circuit analogue. Figure 1 shows the complete 6-step Polar Drive chain; Figure 2 shows the system-level motor circuit.</w:t>
      </w:r>
    </w:p>
    <w:p>
      <w:pPr>
        <w:spacing w:after="80"/>
      </w:pPr>
      <w:r>
        <w:t xml:space="preserve"/>
      </w:r>
    </w:p>
    <w:p>
      <w:pPr>
        <w:spacing w:after="8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14750"/>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1. Earth Polar Drive — 6-step electrical circuit analogue. Steps 1–6 show the coupling chain from the Io-Jupiter flux tube to Earth's LOD response. The Ap validation box shows the 98% agreement of the Step 3 prediction with independent observation.</w:t>
      </w:r>
    </w:p>
    <w:p>
      <w:pPr>
        <w:spacing w:after="80"/>
      </w:pPr>
      <w:r>
        <w:t xml:space="preserve"/>
      </w:r>
    </w:p>
    <w:p>
      <w:pPr>
        <w:spacing w:after="8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71750"/>
                    </a:xfrm>
                    <a:prstGeom prst="rect">
                      <a:avLst/>
                    </a:prstGeom>
                  </pic:spPr>
                </pic:pic>
              </a:graphicData>
            </a:graphic>
          </wp:inline>
        </w:drawing>
      </w:r>
    </w:p>
    <w:p>
      <w:pPr>
        <w:spacing w:after="200"/>
        <w:jc w:val="center"/>
      </w:pPr>
      <w:r>
        <w:rPr>
          <w:rFonts w:ascii="Georgia" w:cs="Georgia" w:eastAsia="Georgia" w:hAnsi="Georgia"/>
          <w:i/>
          <w:iCs/>
          <w:color w:val="444444"/>
          <w:sz w:val="19"/>
          <w:szCs w:val="19"/>
        </w:rPr>
        <w:t xml:space="preserve">Figure 2. System-level Solar System Motor circuit. Jupiter (primary rotor) drives the Heliospheric Current Sheet bus. Earth is the AC induction motor load. Saturn acts as a secondary modulator through the Jose cycle.</w:t>
      </w:r>
    </w:p>
    <w:p>
      <w:pPr>
        <w:pStyle w:val="Heading1"/>
        <w:pBdr>
          <w:bottom w:val="single" w:color="2E75B6" w:sz="6" w:space="1"/>
        </w:pBdr>
        <w:spacing w:after="160" w:before="320"/>
      </w:pPr>
      <w:r>
        <w:rPr>
          <w:rFonts w:ascii="Arial" w:cs="Arial" w:eastAsia="Arial" w:hAnsi="Arial"/>
          <w:b/>
          <w:bCs/>
          <w:color w:val="1F4E79"/>
          <w:sz w:val="30"/>
          <w:szCs w:val="30"/>
        </w:rPr>
        <w:t xml:space="preserve">7. Discussion</w:t>
      </w:r>
    </w:p>
    <w:p>
      <w:pPr>
        <w:pStyle w:val="Heading2"/>
        <w:spacing w:after="120" w:before="240"/>
      </w:pPr>
      <w:r>
        <w:rPr>
          <w:rFonts w:ascii="Arial" w:cs="Arial" w:eastAsia="Arial" w:hAnsi="Arial"/>
          <w:b/>
          <w:bCs/>
          <w:color w:val="2E75B6"/>
          <w:sz w:val="24"/>
          <w:szCs w:val="24"/>
        </w:rPr>
        <w:t xml:space="preserve">7.1  Alternative Explanations</w:t>
      </w:r>
    </w:p>
    <w:p>
      <w:pPr>
        <w:spacing w:after="100"/>
        <w:jc w:val="both"/>
      </w:pPr>
      <w:r>
        <w:rPr>
          <w:rFonts w:ascii="Georgia" w:cs="Georgia" w:eastAsia="Georgia" w:hAnsi="Georgia"/>
          <w:b/>
          <w:bCs/>
          <w:sz w:val="22"/>
          <w:szCs w:val="22"/>
        </w:rPr>
        <w:t xml:space="preserve">Solar cycle aliasing: </w:t>
      </w:r>
      <w:r>
        <w:rPr>
          <w:rFonts w:ascii="Georgia" w:cs="Georgia" w:eastAsia="Georgia" w:hAnsi="Georgia"/>
          <w:sz w:val="22"/>
          <w:szCs w:val="22"/>
        </w:rPr>
        <w:t xml:space="preserve">The solar cycle (~10.7 yr) is within 10% of Jupiter’s 11.86-yr period. However, the Jupiter signal survives explicit solar cycle removal (R² = 0.234) at p = 4.93 × 10⁻⁶. The permutation test specifically validates Jupiter’s orbital phase (not period), ruling out an alias.</w:t>
      </w:r>
    </w:p>
    <w:p>
      <w:pPr>
        <w:spacing w:after="100"/>
        <w:jc w:val="both"/>
      </w:pPr>
      <w:r>
        <w:rPr>
          <w:rFonts w:ascii="Georgia" w:cs="Georgia" w:eastAsia="Georgia" w:hAnsi="Georgia"/>
          <w:b/>
          <w:bCs/>
          <w:sz w:val="22"/>
          <w:szCs w:val="22"/>
        </w:rPr>
        <w:t xml:space="preserve">Solar cycle length control: </w:t>
      </w:r>
      <w:r>
        <w:rPr>
          <w:rFonts w:ascii="Georgia" w:cs="Georgia" w:eastAsia="Georgia" w:hAnsi="Georgia"/>
          <w:sz w:val="22"/>
          <w:szCs w:val="22"/>
        </w:rPr>
        <w:t xml:space="preserve">Mean SC length (11.025 yr) differs from Jupiter’s period by 7%; correlation r = 0.27 (p = 0.20) — not significant. We do not claim solar cycle length is controlled by Jupiter.</w:t>
      </w:r>
    </w:p>
    <w:p>
      <w:pPr>
        <w:spacing w:after="100"/>
        <w:jc w:val="both"/>
      </w:pPr>
      <w:r>
        <w:rPr>
          <w:rFonts w:ascii="Georgia" w:cs="Georgia" w:eastAsia="Georgia" w:hAnsi="Georgia"/>
          <w:b/>
          <w:bCs/>
          <w:sz w:val="22"/>
          <w:szCs w:val="22"/>
        </w:rPr>
        <w:t xml:space="preserve">Tidal forcing: </w:t>
      </w:r>
      <w:r>
        <w:rPr>
          <w:rFonts w:ascii="Georgia" w:cs="Georgia" w:eastAsia="Georgia" w:hAnsi="Georgia"/>
          <w:sz w:val="22"/>
          <w:szCs w:val="22"/>
        </w:rPr>
        <w:t xml:space="preserve">Cannot explain the Ap result; geomagnetic activity is not directly coupled to gravitational tides.</w:t>
      </w:r>
    </w:p>
    <w:p>
      <w:pPr>
        <w:spacing w:after="100"/>
        <w:jc w:val="both"/>
      </w:pPr>
      <w:r>
        <w:rPr>
          <w:rFonts w:ascii="Georgia" w:cs="Georgia" w:eastAsia="Georgia" w:hAnsi="Georgia"/>
          <w:b/>
          <w:bCs/>
          <w:sz w:val="22"/>
          <w:szCs w:val="22"/>
        </w:rPr>
        <w:t xml:space="preserve">Coincidence: </w:t>
      </w:r>
      <w:r>
        <w:rPr>
          <w:rFonts w:ascii="Georgia" w:cs="Georgia" w:eastAsia="Georgia" w:hAnsi="Georgia"/>
          <w:sz w:val="22"/>
          <w:szCs w:val="22"/>
        </w:rPr>
        <w:t xml:space="preserve">Three independent datasets (LOD, Ap, ΔT), three different physical observables, spanning 36–2,746 years, each &gt;&gt;4σ. The probability of coincidence is negligible.</w:t>
      </w:r>
    </w:p>
    <w:p>
      <w:pPr>
        <w:spacing w:after="100"/>
        <w:jc w:val="both"/>
      </w:pPr>
      <w:r>
        <w:rPr>
          <w:rFonts w:ascii="Georgia" w:cs="Georgia" w:eastAsia="Georgia" w:hAnsi="Georgia"/>
          <w:b/>
          <w:sz w:val="22"/>
          <w:szCs w:val="22"/>
        </w:rPr>
        <w:t xml:space="preserve">Earth flyby anomalies: </w:t>
      </w:r>
      <w:r>
        <w:rPr>
          <w:rFonts w:ascii="Georgia" w:cs="Georgia" w:eastAsia="Georgia" w:hAnsi="Georgia"/>
          <w:sz w:val="22"/>
          <w:szCs w:val="22"/>
        </w:rPr>
        <w:t xml:space="preserve">Spacecraft Earth flybys show an inclination correlation with unexplained velocity residuals: 80% of detected anomalies (|Δv| &gt; 1 mm/s) occurred at trajectory inclinations &gt;90°, while 0% of non-detections showed this geometry. This distribution is consistent with a polar-geography coupling effect. However, the observed amplitudes are approximately 150× too large to be attributed to direct electromagnetic forces on the spacecraft. An indirect connection via ionospheric drag model errors — modulated by the same Polar Drive that varies geomagnetic activity — remains a candidate but is unquantified at present.</w:t>
      </w:r>
    </w:p>
    <w:p>
      <w:pPr>
        <w:pStyle w:val="Heading2"/>
        <w:spacing w:after="120" w:before="240"/>
      </w:pPr>
      <w:r>
        <w:rPr>
          <w:rFonts w:ascii="Arial" w:cs="Arial" w:eastAsia="Arial" w:hAnsi="Arial"/>
          <w:b/>
          <w:bCs/>
          <w:color w:val="2E75B6"/>
          <w:sz w:val="24"/>
          <w:szCs w:val="24"/>
        </w:rPr>
        <w:t xml:space="preserve">7.2  IMAP/ACE Prediction (Operative February 2026)</w:t>
      </w:r>
    </w:p>
    <w:p>
      <w:pPr>
        <w:spacing w:after="120"/>
        <w:jc w:val="both"/>
      </w:pPr>
      <w:r>
        <w:rPr>
          <w:rFonts w:ascii="Georgia" w:cs="Georgia" w:eastAsia="Georgia" w:hAnsi="Georgia"/>
          <w:sz w:val="22"/>
          <w:szCs w:val="22"/>
        </w:rPr>
        <w:t xml:space="preserve">NASA’s IMAP mission arrived at L1 on 10 January 2026 and began science operations on 1 February 2026. Together with ACE, Wind, SOHO, DSCOVR, SWFO-L1, and Aditya-L1, six spacecraft now simultaneously measure the IMF at L1 — directly at the location of Polar Drive Step 2.</w:t>
      </w:r>
    </w:p>
    <w:p>
      <w:pPr>
        <w:spacing w:after="120"/>
        <w:jc w:val="both"/>
      </w:pPr>
      <w:r>
        <w:rPr>
          <w:rFonts w:ascii="Georgia" w:cs="Georgia" w:eastAsia="Georgia" w:hAnsi="Georgia"/>
          <w:sz w:val="22"/>
          <w:szCs w:val="22"/>
        </w:rPr>
        <w:t xml:space="preserve">Prediction 4: The IMF magnitude at L1 contains a 0.8 ± 0.2 nT periodic signal at 11.86 yr, phase-locked to Jupiter perihelion. The ACE/Wind archive (1998–2026, 28 yr) is immediately testable from https://cdaweb.gsfc.nasa.gov. IMAP provides definitive 5σ measurement by ~2031.</w:t>
      </w:r>
    </w:p>
    <w:p>
      <w:pPr>
        <w:pStyle w:val="Heading1"/>
        <w:pBdr>
          <w:bottom w:val="single" w:color="2E75B6" w:sz="6" w:space="1"/>
        </w:pBdr>
        <w:spacing w:after="160" w:before="320"/>
      </w:pPr>
      <w:r>
        <w:rPr>
          <w:rFonts w:ascii="Arial" w:cs="Arial" w:eastAsia="Arial" w:hAnsi="Arial"/>
          <w:b/>
          <w:bCs/>
          <w:color w:val="1F4E79"/>
          <w:sz w:val="30"/>
          <w:szCs w:val="30"/>
        </w:rPr>
        <w:t xml:space="preserve">8. Predictions</w:t>
      </w:r>
    </w:p>
    <w:p>
      <w:pPr>
        <w:pStyle w:val="ListParagraph"/>
        <w:numPr>
          <w:ilvl w:val="0"/>
          <w:numId w:val="2"/>
        </w:numPr>
        <w:spacing w:after="80"/>
      </w:pPr>
      <w:r>
        <w:rPr>
          <w:rFonts w:ascii="Georgia" w:cs="Georgia" w:eastAsia="Georgia" w:hAnsi="Georgia"/>
          <w:sz w:val="22"/>
          <w:szCs w:val="22"/>
        </w:rPr>
        <w:t xml:space="preserve">Polar cap potential (SuperDARN/DMSP): ~3 kV amplitude modulation at Jupiter’s orbital period, maximum at perihelion. Testable from existing long-baseline datasets.</w:t>
      </w:r>
    </w:p>
    <w:p>
      <w:pPr>
        <w:pStyle w:val="ListParagraph"/>
        <w:numPr>
          <w:ilvl w:val="0"/>
          <w:numId w:val="2"/>
        </w:numPr>
        <w:spacing w:after="80"/>
      </w:pPr>
      <w:r>
        <w:rPr>
          <w:rFonts w:ascii="Georgia" w:cs="Georgia" w:eastAsia="Georgia" w:hAnsi="Georgia"/>
          <w:sz w:val="22"/>
          <w:szCs w:val="22"/>
        </w:rPr>
        <w:t xml:space="preserve">Mars InSight seismic: Marsquakes (M &gt; 3.5) should cluster within ±6 months of Mars-Sun-Jupiter alignment (synodic 2.24 yr). Tests the PM DC motor analogue in the absence of a planetary magnetosphere.</w:t>
      </w:r>
    </w:p>
    <w:p>
      <w:pPr>
        <w:pStyle w:val="ListParagraph"/>
        <w:numPr>
          <w:ilvl w:val="0"/>
          <w:numId w:val="2"/>
        </w:numPr>
        <w:spacing w:after="80"/>
      </w:pPr>
      <w:r>
        <w:rPr>
          <w:rFonts w:ascii="Georgia" w:cs="Georgia" w:eastAsia="Georgia" w:hAnsi="Georgia"/>
          <w:sz w:val="22"/>
          <w:szCs w:val="22"/>
        </w:rPr>
        <w:t xml:space="preserve">Inner core dynamics: The 2010 LOD lurch (6σ) preceded the 2021 Great Inequality node by ~11 yr. Future analogous events should occur near Jupiter opposition at GI nodes (~2032, ~2044).</w:t>
      </w:r>
    </w:p>
    <w:p>
      <w:pPr>
        <w:pStyle w:val="ListParagraph"/>
        <w:numPr>
          <w:ilvl w:val="0"/>
          <w:numId w:val="2"/>
        </w:numPr>
        <w:spacing w:after="80"/>
      </w:pPr>
      <w:r>
        <w:rPr>
          <w:rFonts w:ascii="Georgia" w:cs="Georgia" w:eastAsia="Georgia" w:hAnsi="Georgia"/>
          <w:sz w:val="22"/>
          <w:szCs w:val="22"/>
        </w:rPr>
        <w:t xml:space="preserve">IMAP/ACE IMF (Prediction 4): 0.8 ± 0.2 nT at 11.86 yr in L1 IMF. Testable NOW with ACE archive. IMAP definitive: ~2031.</w:t>
      </w:r>
    </w:p>
    <w:p>
      <w:pPr>
        <w:pStyle w:val="Heading1"/>
        <w:pBdr>
          <w:bottom w:val="single" w:color="2E75B6" w:sz="6" w:space="1"/>
        </w:pBdr>
        <w:spacing w:after="160" w:before="320"/>
      </w:pPr>
      <w:r>
        <w:rPr>
          <w:rFonts w:ascii="Arial" w:cs="Arial" w:eastAsia="Arial" w:hAnsi="Arial"/>
          <w:b/>
          <w:bCs/>
          <w:color w:val="1F4E79"/>
          <w:sz w:val="30"/>
          <w:szCs w:val="30"/>
        </w:rPr>
        <w:t xml:space="preserve">9. Conclusions</w:t>
      </w:r>
    </w:p>
    <w:p>
      <w:pPr>
        <w:spacing w:after="120"/>
        <w:jc w:val="both"/>
      </w:pPr>
      <w:r>
        <w:rPr>
          <w:rFonts w:ascii="Georgia" w:cs="Georgia" w:eastAsia="Georgia" w:hAnsi="Georgia"/>
          <w:sz w:val="22"/>
          <w:szCs w:val="22"/>
        </w:rPr>
        <w:t xml:space="preserve">Three independent datasets confirm Jupiter’s orbital phase modulates Earth’s LOD and geomagnetic activity at &gt;&gt;4σ each. The Polar Drive forward model predicts 3.2 kV polar cap modulation; independent Ap calibration observes ~3.15 kV (98% agreement). The mantle skin depth calculation confirms partial transparency at Jupiter’s orbital period, removing the key physical objection to the mechanism.</w:t>
      </w:r>
    </w:p>
    <w:p>
      <w:pPr>
        <w:spacing w:after="120"/>
        <w:jc w:val="both"/>
      </w:pPr>
      <w:r>
        <w:rPr>
          <w:rFonts w:ascii="Georgia" w:cs="Georgia" w:eastAsia="Georgia" w:hAnsi="Georgia"/>
          <w:sz w:val="22"/>
          <w:szCs w:val="22"/>
        </w:rPr>
        <w:t xml:space="preserve">The complete physical chain — Laplace resonance gearbox → Io flux tube → HCS warp → Polar cap → Mantle → Core torque → LOD — is grounded at every step in independent measurements. This constitutes Paper 1 of the Solar System Motor Theory.</w:t>
      </w:r>
    </w:p>
    <w:p>
      <w:pPr>
        <w:pBdr>
          <w:bottom w:val="single" w:color="2E75B6" w:sz="4" w:space="1"/>
        </w:pBdr>
        <w:spacing w:after="16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Supplement A: Corrections from Earlier Drafts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Previous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Corrected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Ap solar removal R²</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0.062</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0.234</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Added quadratic F10.7 + running mean</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Ap Jupiter amplitude</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2.83 nT</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3.15 ± 0.48 nT</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More aggressive solar removal</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Polar cap agreement</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88%</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98%</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Follows from amplitude correction</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LOD permutation σ</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not computed</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21.6</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Implemented 10,000 permutations</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LOD n_eff formula</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error (zero)</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11 (T/T_filter)</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11111"/>
                <w:sz w:val="20"/>
                <w:szCs w:val="20"/>
              </w:rPr>
              <w:t xml:space="preserve">Corrected autocorrelation formula</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0"/>
          <w:szCs w:val="30"/>
        </w:rPr>
        <w:t xml:space="preserve">References</w:t>
      </w:r>
    </w:p>
    <w:p>
      <w:pPr>
        <w:spacing w:after="80"/>
        <w:ind w:left="360" w:hanging="360"/>
      </w:pPr>
      <w:r>
        <w:rPr>
          <w:rFonts w:ascii="Georgia" w:cs="Georgia" w:eastAsia="Georgia" w:hAnsi="Georgia"/>
          <w:sz w:val="20"/>
          <w:szCs w:val="20"/>
        </w:rPr>
        <w:t xml:space="preserve">Gillet, N., et al. (2010). Fast torsional waves and strong magnetic field within the Earth's core. Science, 329(5988), 82–84.</w:t>
      </w:r>
    </w:p>
    <w:p>
      <w:pPr>
        <w:spacing w:after="80"/>
        <w:ind w:left="360" w:hanging="360"/>
      </w:pPr>
      <w:r>
        <w:rPr>
          <w:rFonts w:ascii="Georgia" w:cs="Georgia" w:eastAsia="Georgia" w:hAnsi="Georgia"/>
          <w:sz w:val="20"/>
          <w:szCs w:val="20"/>
        </w:rPr>
        <w:t xml:space="preserve">Jackson, A., Bloxham, J., &amp; Gubbins, D. (1993). Time-dependent flow at the core surface and conservation of angular momentum. Geophysical Monograph Series, 72, 97–107.</w:t>
      </w:r>
    </w:p>
    <w:p>
      <w:pPr>
        <w:spacing w:after="80"/>
        <w:ind w:left="360" w:hanging="360"/>
      </w:pPr>
      <w:r>
        <w:rPr>
          <w:rFonts w:ascii="Georgia" w:cs="Georgia" w:eastAsia="Georgia" w:hAnsi="Georgia"/>
          <w:sz w:val="20"/>
          <w:szCs w:val="20"/>
        </w:rPr>
        <w:t xml:space="preserve">Kelbert, A., Schultz, A., &amp; Egbert, G. (2009). Global electromagnetic induction constraints on transition-zone water content. Nature, 460, 1003–1006.</w:t>
      </w:r>
    </w:p>
    <w:p>
      <w:pPr>
        <w:spacing w:after="80"/>
        <w:ind w:left="360" w:hanging="360"/>
      </w:pPr>
      <w:r>
        <w:rPr>
          <w:rFonts w:ascii="Georgia" w:cs="Georgia" w:eastAsia="Georgia" w:hAnsi="Georgia"/>
          <w:sz w:val="20"/>
          <w:szCs w:val="20"/>
        </w:rPr>
        <w:t xml:space="preserve">Khurana, K.K., &amp; Kivelson, M.G. (1993). An observation of reconnection in the Jovian magnetotail. JGR Space Physics, 98(A12), 21163–21174.</w:t>
      </w:r>
    </w:p>
    <w:p>
      <w:pPr>
        <w:spacing w:after="80"/>
        <w:ind w:left="360" w:hanging="360"/>
      </w:pPr>
      <w:r>
        <w:rPr>
          <w:rFonts w:ascii="Georgia" w:cs="Georgia" w:eastAsia="Georgia" w:hAnsi="Georgia"/>
          <w:sz w:val="20"/>
          <w:szCs w:val="20"/>
        </w:rPr>
        <w:t xml:space="preserve">Matzka, J., et al. (2021). The geomagnetic Kp index and derived indices. Space Weather, 19(5), e2020SW002641.</w:t>
      </w:r>
    </w:p>
    <w:p>
      <w:pPr>
        <w:spacing w:after="80"/>
        <w:ind w:left="360" w:hanging="360"/>
      </w:pPr>
      <w:r>
        <w:rPr>
          <w:rFonts w:ascii="Georgia" w:cs="Georgia" w:eastAsia="Georgia" w:hAnsi="Georgia"/>
          <w:sz w:val="20"/>
          <w:szCs w:val="20"/>
        </w:rPr>
        <w:t xml:space="preserve">Meeus, J. (1998). Astronomical Algorithms, 2nd ed. Willmann-Bell, Richmond, VA.</w:t>
      </w:r>
    </w:p>
    <w:p>
      <w:pPr>
        <w:spacing w:after="80"/>
        <w:ind w:left="360" w:hanging="360"/>
      </w:pPr>
      <w:r>
        <w:rPr>
          <w:rFonts w:ascii="Georgia" w:cs="Georgia" w:eastAsia="Georgia" w:hAnsi="Georgia"/>
          <w:sz w:val="20"/>
          <w:szCs w:val="20"/>
        </w:rPr>
        <w:t xml:space="preserve">Morrison, L.V., Stephenson, F.R., &amp; Hohenkerk, C.Y. (2021). Investigation of a 1500-year periodicity in ΔT. Phil. Trans. R. Soc. A, 379, 20200364.</w:t>
      </w:r>
    </w:p>
    <w:p>
      <w:pPr>
        <w:spacing w:after="80"/>
        <w:ind w:left="360" w:hanging="360"/>
      </w:pPr>
      <w:r>
        <w:rPr>
          <w:rFonts w:ascii="Georgia" w:cs="Georgia" w:eastAsia="Georgia" w:hAnsi="Georgia"/>
          <w:sz w:val="20"/>
          <w:szCs w:val="20"/>
        </w:rPr>
        <w:t xml:space="preserve">Ridley, A.J., &amp; Kihn, E.A. (2004). Polar cap index comparisons with AMIE cross polar cap potential. GRL, 31(7), L07801.</w:t>
      </w:r>
    </w:p>
    <w:p>
      <w:pPr>
        <w:spacing w:after="80"/>
        <w:ind w:left="360" w:hanging="360"/>
      </w:pPr>
      <w:r>
        <w:rPr>
          <w:rFonts w:ascii="Georgia" w:cs="Georgia" w:eastAsia="Georgia" w:hAnsi="Georgia"/>
          <w:sz w:val="20"/>
          <w:szCs w:val="20"/>
        </w:rPr>
        <w:t xml:space="preserve">Rosen, R.D. (1993). The axial momentum balance of Earth and its fluid envelope. Surveys in Geophysics, 14(1), 1–29.</w:t>
      </w:r>
    </w:p>
    <w:p>
      <w:pPr>
        <w:spacing w:after="80"/>
        <w:ind w:left="360" w:hanging="360"/>
      </w:pPr>
      <w:r>
        <w:rPr>
          <w:rFonts w:ascii="Georgia" w:cs="Georgia" w:eastAsia="Georgia" w:hAnsi="Georgia"/>
          <w:sz w:val="20"/>
          <w:szCs w:val="20"/>
        </w:rPr>
        <w:t xml:space="preserve">Saur, J., et al. (2004). Plasma interaction of Io with its plasma torus. Jupiter: The Planet, Satellites and Magnetosphere, 1, 537–560.</w:t>
      </w:r>
    </w:p>
    <w:p>
      <w:pPr>
        <w:spacing w:after="80"/>
        <w:ind w:left="360" w:hanging="360"/>
      </w:pPr>
      <w:r>
        <w:rPr>
          <w:rFonts w:ascii="Georgia" w:cs="Georgia" w:eastAsia="Georgia" w:hAnsi="Georgia"/>
          <w:sz w:val="20"/>
          <w:szCs w:val="20"/>
        </w:rPr>
        <w:t xml:space="preserve">Stephenson, F.R., Morrison, L.V., &amp; Hohenkerk, C.Y. (2016). Measurement of the Earth's rotation: 720 BC to AD 2015. Phil. Trans. R. Soc. A, 374, 20150328.</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666666"/>
        <w:sz w:val="18"/>
        <w:szCs w:val="18"/>
      </w:rPr>
      <w:t xml:space="preserve">Browne (2026) — Solar System Motor Theory Paper 1  |  Page </w:t>
    </w:r>
    <w:r>
      <w:rPr>
        <w:rFonts w:ascii="Arial" w:cs="Arial" w:eastAsia="Arial" w:hAnsi="Arial"/>
        <w:color w:val="666666"/>
        <w:sz w:val="18"/>
        <w:szCs w:val="18"/>
      </w:rPr>
      <w:t xml:space="preserve"> [pg]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rFonts w:ascii="Arial" w:cs="Arial" w:eastAsia="Arial" w:hAnsi="Arial"/>
        <w:color w:val="666666"/>
        <w:sz w:val="18"/>
        <w:szCs w:val="18"/>
      </w:rPr>
      <w:t xml:space="preserve">Long-Period LOD and Ap Modulation — Jupiter Orbital Phase  |  v1.3  |  2026-04-12 05:13 UTC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49b21a74cedbf18a10d750f43a8be609d00455.png"/><Relationship Id="rId10" Type="http://schemas.openxmlformats.org/officeDocument/2006/relationships/image" Target="media/1ca4edd23eef1ac1d529e86a979c730daa9b56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2026-04-12T05:27:13.667Z</dcterms:created>
  <dcterms:modified xsi:type="dcterms:W3CDTF">2026-04-12T05:27:13.667Z</dcterms:modified>
</cp:coreProperties>
</file>

<file path=docProps/custom.xml><?xml version="1.0" encoding="utf-8"?>
<Properties xmlns="http://schemas.openxmlformats.org/officeDocument/2006/custom-properties" xmlns:vt="http://schemas.openxmlformats.org/officeDocument/2006/docPropsVTypes"/>
</file>