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lang w:val="en-US"/>
        </w:rPr>
        <w:t>Analysis of mouse data</w:t>
      </w:r>
    </w:p>
    <w:p>
      <w:pPr>
        <w:pStyle w:val="Normal"/>
        <w:rPr>
          <w:lang w:val="en-US"/>
        </w:rPr>
      </w:pPr>
      <w:r>
        <w:rPr>
          <w:lang w:val="en-US"/>
        </w:rPr>
      </w:r>
    </w:p>
    <w:p>
      <w:pPr>
        <w:pStyle w:val="Normal"/>
        <w:rPr>
          <w:lang w:val="en-US"/>
        </w:rPr>
      </w:pPr>
      <w:r>
        <w:rPr>
          <w:lang w:val="en-US"/>
        </w:rPr>
      </w:r>
    </w:p>
    <w:p>
      <w:pPr>
        <w:pStyle w:val="Heading2"/>
        <w:rPr/>
      </w:pPr>
      <w:r>
        <w:rPr>
          <w:lang w:val="en-US"/>
        </w:rPr>
        <w:t>Method</w:t>
      </w:r>
    </w:p>
    <w:p>
      <w:pPr>
        <w:pStyle w:val="Normal"/>
        <w:rPr>
          <w:lang w:val="en-US"/>
        </w:rPr>
      </w:pPr>
      <w:r>
        <w:rPr>
          <w:lang w:val="en-US"/>
        </w:rPr>
      </w:r>
    </w:p>
    <w:p>
      <w:pPr>
        <w:pStyle w:val="Normal"/>
        <w:rPr/>
      </w:pPr>
      <w:r>
        <w:rPr>
          <w:lang w:val="en-US"/>
        </w:rPr>
        <w:t xml:space="preserve">I have analysed each cell type separately. I converted the proportion of cells of the given type to the logit scale, and fitted a Normal linear mixed model, with mouse type and time as the predictors and the logit proportion as response. Time was included as a 5-level factor.  I </w:t>
      </w:r>
      <w:r>
        <w:rPr>
          <w:lang w:val="en-US"/>
        </w:rPr>
        <w:t xml:space="preserve">have also considered </w:t>
      </w:r>
      <w:r>
        <w:rPr>
          <w:lang w:val="en-US"/>
        </w:rPr>
        <w:t xml:space="preserve">stroke size, </w:t>
      </w:r>
      <w:r>
        <w:rPr>
          <w:lang w:val="en-US"/>
        </w:rPr>
        <w:t>but it</w:t>
      </w:r>
      <w:r>
        <w:rPr>
          <w:lang w:val="en-US"/>
        </w:rPr>
        <w:t xml:space="preserve"> does not add to the explanation of the data, so I did not </w:t>
      </w:r>
      <w:r>
        <w:rPr>
          <w:lang w:val="en-US"/>
        </w:rPr>
        <w:t>include this in the analysis</w:t>
      </w:r>
      <w:r>
        <w:rPr>
          <w:lang w:val="en-US"/>
        </w:rPr>
        <w:t>.</w:t>
      </w:r>
    </w:p>
    <w:p>
      <w:pPr>
        <w:pStyle w:val="Normal"/>
        <w:rPr>
          <w:lang w:val="en-US"/>
        </w:rPr>
      </w:pPr>
      <w:r>
        <w:rPr/>
      </w:r>
    </w:p>
    <w:p>
      <w:pPr>
        <w:pStyle w:val="Normal"/>
        <w:rPr/>
      </w:pPr>
      <w:r>
        <w:rPr>
          <w:lang w:val="en-US"/>
        </w:rPr>
        <w:t xml:space="preserve">I included a random intercept for each mouse, to take into account the correlations of repeated observations of the same mouse. The variables of interest are the mean proportion of cells for the two types of mice, at each point in time., as well as the interaction between mouse type and time. </w:t>
      </w:r>
    </w:p>
    <w:p>
      <w:pPr>
        <w:pStyle w:val="Normal"/>
        <w:rPr>
          <w:lang w:val="en-US"/>
        </w:rPr>
      </w:pPr>
      <w:r>
        <w:rPr>
          <w:lang w:val="en-US"/>
        </w:rPr>
      </w:r>
    </w:p>
    <w:p>
      <w:pPr>
        <w:pStyle w:val="Normal"/>
        <w:rPr/>
      </w:pPr>
      <w:r>
        <w:rPr>
          <w:lang w:val="en-US"/>
        </w:rPr>
        <w:t>All confidence intervals are 95%. There was a single occurrence of a zero count, and this I adjusted to the value one for practical reasons. All analysis was done in R version 3.6, with packages NMLE and LME4.</w:t>
      </w:r>
    </w:p>
    <w:p>
      <w:pPr>
        <w:pStyle w:val="Normal"/>
        <w:rPr>
          <w:lang w:val="en-US"/>
        </w:rPr>
      </w:pPr>
      <w:r>
        <w:rPr>
          <w:lang w:val="en-US"/>
        </w:rPr>
      </w:r>
    </w:p>
    <w:p>
      <w:pPr>
        <w:pStyle w:val="Heading2"/>
        <w:rPr>
          <w:lang w:val="en-US"/>
        </w:rPr>
      </w:pPr>
      <w:r>
        <w:rPr>
          <w:lang w:val="en-US"/>
        </w:rPr>
      </w:r>
    </w:p>
    <w:p>
      <w:pPr>
        <w:pStyle w:val="Normal"/>
        <w:rPr>
          <w:lang w:val="en-US"/>
        </w:rPr>
      </w:pPr>
      <w:r>
        <w:rPr>
          <w:lang w:val="en-US"/>
        </w:rPr>
      </w:r>
    </w:p>
    <w:p>
      <w:pPr>
        <w:pStyle w:val="Heading2"/>
        <w:rPr/>
      </w:pPr>
      <w:r>
        <w:rPr>
          <w:lang w:val="en-US"/>
        </w:rPr>
        <w:t>Results</w:t>
      </w:r>
    </w:p>
    <w:p>
      <w:pPr>
        <w:pStyle w:val="Normal"/>
        <w:rPr>
          <w:lang w:val="en-US"/>
        </w:rPr>
      </w:pPr>
      <w:r>
        <w:rPr>
          <w:lang w:val="en-US"/>
        </w:rPr>
      </w:r>
    </w:p>
    <w:p>
      <w:pPr>
        <w:pStyle w:val="Normal"/>
        <w:rPr/>
      </w:pPr>
      <w:r>
        <w:rPr>
          <w:lang w:val="en-US"/>
        </w:rPr>
        <w:t>Initial analyses showed that cell counts for female mice, and for PLT mice, were quite different from male WT and T2 mice (in which we are primarily interested), so I removed them from the analysis.</w:t>
      </w:r>
    </w:p>
    <w:p>
      <w:pPr>
        <w:pStyle w:val="Normal"/>
        <w:rPr>
          <w:lang w:val="en-US"/>
        </w:rPr>
      </w:pPr>
      <w:r>
        <w:rPr/>
      </w:r>
    </w:p>
    <w:p>
      <w:pPr>
        <w:pStyle w:val="Normal"/>
        <w:rPr/>
      </w:pPr>
      <w:r>
        <w:rPr>
          <w:lang w:val="en-US"/>
        </w:rPr>
        <w:t>We have 4 WT mice and 7 T2 mice. For each of 11 cell types, we have 15 observations for the WT mice, and 23 observations for the T2 mice, i.e. a total of 38 observations. The study is thus severely underpowered, and we can only hope to detect large effects.</w:t>
      </w:r>
      <w:r>
        <w:br w:type="page"/>
      </w:r>
    </w:p>
    <w:p>
      <w:pPr>
        <w:pStyle w:val="Normal"/>
        <w:rPr>
          <w:lang w:val="en-US"/>
        </w:rPr>
      </w:pPr>
      <w:r>
        <w:rPr>
          <w:lang w:val="en-US"/>
        </w:rPr>
      </w:r>
    </w:p>
    <w:p>
      <w:pPr>
        <w:pStyle w:val="Normal"/>
        <w:rPr/>
      </w:pPr>
      <w:r>
        <w:rPr>
          <w:lang w:val="en-US"/>
        </w:rPr>
        <w:t>Comparing WT mice and T2 mice at the same day, we find the following:</w:t>
      </w:r>
    </w:p>
    <w:p>
      <w:pPr>
        <w:pStyle w:val="Normal"/>
        <w:rPr>
          <w:lang w:val="en-US"/>
        </w:rPr>
      </w:pPr>
      <w:r>
        <w:rPr>
          <w:lang w:val="en-US"/>
        </w:rPr>
      </w:r>
    </w:p>
    <w:p>
      <w:pPr>
        <w:pStyle w:val="ListParagraph"/>
        <w:numPr>
          <w:ilvl w:val="0"/>
          <w:numId w:val="1"/>
        </w:numPr>
        <w:rPr/>
      </w:pPr>
      <w:r>
        <w:rPr>
          <w:lang w:val="en-US"/>
        </w:rPr>
        <w:t xml:space="preserve">The mean proportions for CD19pos_B220, CD19, CD19pos_B220pos_MHCII to be </w:t>
      </w:r>
      <w:r>
        <w:rPr>
          <w:i/>
          <w:lang w:val="en-US"/>
        </w:rPr>
        <w:t>lower</w:t>
      </w:r>
      <w:r>
        <w:rPr>
          <w:lang w:val="en-US"/>
        </w:rPr>
        <w:t xml:space="preserve"> for T2 mice at days 0, 10 and 17.</w:t>
      </w:r>
    </w:p>
    <w:p>
      <w:pPr>
        <w:pStyle w:val="ListParagraph"/>
        <w:numPr>
          <w:ilvl w:val="0"/>
          <w:numId w:val="1"/>
        </w:numPr>
        <w:rPr/>
      </w:pPr>
      <w:r>
        <w:rPr>
          <w:lang w:val="en-US"/>
        </w:rPr>
        <w:t xml:space="preserve">For CD11c, this is the case at days 3 and 10. </w:t>
      </w:r>
    </w:p>
    <w:p>
      <w:pPr>
        <w:pStyle w:val="ListParagraph"/>
        <w:numPr>
          <w:ilvl w:val="0"/>
          <w:numId w:val="1"/>
        </w:numPr>
        <w:rPr/>
      </w:pPr>
      <w:r>
        <w:rPr>
          <w:lang w:val="en-US"/>
        </w:rPr>
        <w:t xml:space="preserve">mMDSCs_MHCII proportions are lower in T2 mice on days 10,17 and 24 </w:t>
      </w:r>
    </w:p>
    <w:p>
      <w:pPr>
        <w:pStyle w:val="ListParagraph"/>
        <w:numPr>
          <w:ilvl w:val="0"/>
          <w:numId w:val="1"/>
        </w:numPr>
        <w:rPr/>
      </w:pPr>
      <w:r>
        <w:rPr>
          <w:lang w:val="en-US"/>
        </w:rPr>
        <w:t>intMDSCs_MHCII are lower in T2 mice on days 10 and 24.</w:t>
      </w:r>
    </w:p>
    <w:p>
      <w:pPr>
        <w:pStyle w:val="ListParagraph"/>
        <w:numPr>
          <w:ilvl w:val="0"/>
          <w:numId w:val="1"/>
        </w:numPr>
        <w:rPr/>
      </w:pPr>
      <w:r>
        <w:rPr>
          <w:lang w:val="en-US"/>
        </w:rPr>
        <w:t xml:space="preserve">CD11b proportions are </w:t>
      </w:r>
      <w:r>
        <w:rPr>
          <w:i/>
          <w:lang w:val="en-US"/>
        </w:rPr>
        <w:t>higher</w:t>
      </w:r>
      <w:r>
        <w:rPr>
          <w:lang w:val="en-US"/>
        </w:rPr>
        <w:t xml:space="preserve"> in T2 mice at day 17; </w:t>
      </w:r>
    </w:p>
    <w:p>
      <w:pPr>
        <w:pStyle w:val="ListParagraph"/>
        <w:numPr>
          <w:ilvl w:val="0"/>
          <w:numId w:val="1"/>
        </w:numPr>
        <w:rPr/>
      </w:pPr>
      <w:r>
        <w:rPr>
          <w:lang w:val="en-US"/>
        </w:rPr>
        <w:t xml:space="preserve">mMDSCs at days 0 and 10; </w:t>
      </w:r>
    </w:p>
    <w:p>
      <w:pPr>
        <w:pStyle w:val="ListParagraph"/>
        <w:numPr>
          <w:ilvl w:val="0"/>
          <w:numId w:val="1"/>
        </w:numPr>
        <w:rPr/>
      </w:pPr>
      <w:r>
        <w:rPr>
          <w:lang w:val="en-US"/>
        </w:rPr>
        <w:t xml:space="preserve">gMDSCs at days 3,17 and 24; </w:t>
      </w:r>
    </w:p>
    <w:p>
      <w:pPr>
        <w:pStyle w:val="Normal"/>
        <w:rPr>
          <w:lang w:val="en-US"/>
        </w:rPr>
      </w:pPr>
      <w:r>
        <w:rPr>
          <w:lang w:val="en-US"/>
        </w:rPr>
      </w:r>
    </w:p>
    <w:p>
      <w:pPr>
        <w:pStyle w:val="Normal"/>
        <w:rPr/>
      </w:pPr>
      <w:r>
        <w:rPr>
          <w:lang w:val="en-US"/>
        </w:rPr>
        <w:t xml:space="preserve">There are no significant differences for intMDSCs and gMDSCs_MHCII cells.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rPr/>
      </w:pPr>
      <w:r>
        <w:rPr>
          <w:lang w:val="en-US"/>
        </w:rPr>
        <w:t xml:space="preserve">Analysis of variance. </w:t>
      </w:r>
    </w:p>
    <w:p>
      <w:pPr>
        <w:pStyle w:val="Normal"/>
        <w:rPr/>
      </w:pPr>
      <w:r>
        <w:rPr>
          <w:lang w:val="en-US"/>
        </w:rPr>
        <w:t xml:space="preserve">  </w:t>
      </w:r>
    </w:p>
    <w:tbl>
      <w:tblPr>
        <w:tblStyle w:val="TableGrid"/>
        <w:tblW w:w="9007" w:type="dxa"/>
        <w:jc w:val="left"/>
        <w:tblInd w:w="0" w:type="dxa"/>
        <w:tblCellMar>
          <w:top w:w="0" w:type="dxa"/>
          <w:left w:w="108" w:type="dxa"/>
          <w:bottom w:w="0" w:type="dxa"/>
          <w:right w:w="108" w:type="dxa"/>
        </w:tblCellMar>
        <w:tblLook w:noVBand="1" w:val="04a0" w:noHBand="0" w:lastColumn="0" w:firstColumn="1" w:lastRow="0" w:firstRow="1"/>
      </w:tblPr>
      <w:tblGrid>
        <w:gridCol w:w="2766"/>
        <w:gridCol w:w="2060"/>
        <w:gridCol w:w="2060"/>
        <w:gridCol w:w="2120"/>
      </w:tblGrid>
      <w:tr>
        <w:trPr>
          <w:trHeight w:val="744" w:hRule="atLeast"/>
        </w:trPr>
        <w:tc>
          <w:tcPr>
            <w:tcW w:w="2766" w:type="dxa"/>
            <w:tcBorders/>
            <w:shd w:fill="auto" w:val="clear"/>
            <w:tcMar>
              <w:left w:w="108" w:type="dxa"/>
            </w:tcMar>
          </w:tcPr>
          <w:p>
            <w:pPr>
              <w:pStyle w:val="Normal"/>
              <w:rPr/>
            </w:pPr>
            <w:r>
              <w:rPr>
                <w:b/>
                <w:lang w:val="en-US"/>
              </w:rPr>
              <w:t>Celltype</w:t>
            </w:r>
          </w:p>
        </w:tc>
        <w:tc>
          <w:tcPr>
            <w:tcW w:w="2060" w:type="dxa"/>
            <w:tcBorders/>
            <w:shd w:fill="auto" w:val="clear"/>
            <w:tcMar>
              <w:left w:w="108" w:type="dxa"/>
            </w:tcMar>
          </w:tcPr>
          <w:p>
            <w:pPr>
              <w:pStyle w:val="Normal"/>
              <w:rPr/>
            </w:pPr>
            <w:r>
              <w:rPr>
                <w:b/>
                <w:lang w:val="en-US"/>
              </w:rPr>
              <w:t>Type (t2/wt)</w:t>
            </w:r>
          </w:p>
        </w:tc>
        <w:tc>
          <w:tcPr>
            <w:tcW w:w="2060" w:type="dxa"/>
            <w:tcBorders/>
            <w:shd w:fill="auto" w:val="clear"/>
            <w:tcMar>
              <w:left w:w="108" w:type="dxa"/>
            </w:tcMar>
          </w:tcPr>
          <w:p>
            <w:pPr>
              <w:pStyle w:val="Normal"/>
              <w:rPr/>
            </w:pPr>
            <w:r>
              <w:rPr>
                <w:b/>
                <w:lang w:val="en-US"/>
              </w:rPr>
              <w:t>Time (1,..,24)</w:t>
            </w:r>
          </w:p>
        </w:tc>
        <w:tc>
          <w:tcPr>
            <w:tcW w:w="2120" w:type="dxa"/>
            <w:tcBorders/>
            <w:shd w:fill="auto" w:val="clear"/>
            <w:tcMar>
              <w:left w:w="108" w:type="dxa"/>
            </w:tcMar>
          </w:tcPr>
          <w:p>
            <w:pPr>
              <w:pStyle w:val="Normal"/>
              <w:rPr/>
            </w:pPr>
            <w:r>
              <w:rPr>
                <w:b/>
                <w:lang w:val="en-US"/>
              </w:rPr>
              <w:t>interaction</w:t>
            </w:r>
          </w:p>
        </w:tc>
      </w:tr>
      <w:tr>
        <w:trPr/>
        <w:tc>
          <w:tcPr>
            <w:tcW w:w="2766" w:type="dxa"/>
            <w:tcBorders/>
            <w:shd w:fill="auto" w:val="clear"/>
            <w:tcMar>
              <w:left w:w="108" w:type="dxa"/>
            </w:tcMar>
          </w:tcPr>
          <w:p>
            <w:pPr>
              <w:pStyle w:val="Normal"/>
              <w:rPr/>
            </w:pPr>
            <w:r>
              <w:rPr>
                <w:lang w:val="en-US"/>
              </w:rPr>
              <w:t>CD19pos_B220</w:t>
            </w:r>
          </w:p>
        </w:tc>
        <w:tc>
          <w:tcPr>
            <w:tcW w:w="2060" w:type="dxa"/>
            <w:tcBorders/>
            <w:shd w:fill="auto" w:val="clear"/>
            <w:tcMar>
              <w:left w:w="108" w:type="dxa"/>
            </w:tcMar>
          </w:tcPr>
          <w:p>
            <w:pPr>
              <w:pStyle w:val="Normal"/>
              <w:rPr/>
            </w:pPr>
            <w:r>
              <w:rPr>
                <w:b/>
                <w:lang w:val="en-US"/>
              </w:rPr>
              <w:t>0.0094</w:t>
            </w:r>
          </w:p>
        </w:tc>
        <w:tc>
          <w:tcPr>
            <w:tcW w:w="2060" w:type="dxa"/>
            <w:tcBorders/>
            <w:shd w:fill="auto" w:val="clear"/>
            <w:tcMar>
              <w:left w:w="108" w:type="dxa"/>
            </w:tcMar>
          </w:tcPr>
          <w:p>
            <w:pPr>
              <w:pStyle w:val="Normal"/>
              <w:rPr/>
            </w:pPr>
            <w:r>
              <w:rPr>
                <w:b/>
                <w:lang w:val="en-US"/>
              </w:rPr>
              <w:t>0.0465</w:t>
            </w:r>
          </w:p>
        </w:tc>
        <w:tc>
          <w:tcPr>
            <w:tcW w:w="2120" w:type="dxa"/>
            <w:tcBorders/>
            <w:shd w:fill="auto" w:val="clear"/>
            <w:tcMar>
              <w:left w:w="108" w:type="dxa"/>
            </w:tcMar>
          </w:tcPr>
          <w:p>
            <w:pPr>
              <w:pStyle w:val="Normal"/>
              <w:rPr/>
            </w:pPr>
            <w:r>
              <w:rPr>
                <w:lang w:val="en-US"/>
              </w:rPr>
              <w:t>0.5118</w:t>
            </w:r>
          </w:p>
        </w:tc>
      </w:tr>
      <w:tr>
        <w:trPr/>
        <w:tc>
          <w:tcPr>
            <w:tcW w:w="2766" w:type="dxa"/>
            <w:tcBorders/>
            <w:shd w:fill="auto" w:val="clear"/>
            <w:tcMar>
              <w:left w:w="108" w:type="dxa"/>
            </w:tcMar>
          </w:tcPr>
          <w:p>
            <w:pPr>
              <w:pStyle w:val="Normal"/>
              <w:rPr/>
            </w:pPr>
            <w:r>
              <w:rPr>
                <w:lang w:val="en-US"/>
              </w:rPr>
              <w:t>CD19</w:t>
            </w:r>
          </w:p>
        </w:tc>
        <w:tc>
          <w:tcPr>
            <w:tcW w:w="2060" w:type="dxa"/>
            <w:tcBorders/>
            <w:shd w:fill="auto" w:val="clear"/>
            <w:tcMar>
              <w:left w:w="108" w:type="dxa"/>
            </w:tcMar>
          </w:tcPr>
          <w:p>
            <w:pPr>
              <w:pStyle w:val="Normal"/>
              <w:rPr/>
            </w:pPr>
            <w:r>
              <w:rPr>
                <w:b/>
                <w:lang w:val="en-US"/>
              </w:rPr>
              <w:t>0.0184</w:t>
            </w:r>
          </w:p>
        </w:tc>
        <w:tc>
          <w:tcPr>
            <w:tcW w:w="2060" w:type="dxa"/>
            <w:tcBorders/>
            <w:shd w:fill="auto" w:val="clear"/>
            <w:tcMar>
              <w:left w:w="108" w:type="dxa"/>
            </w:tcMar>
          </w:tcPr>
          <w:p>
            <w:pPr>
              <w:pStyle w:val="Normal"/>
              <w:rPr/>
            </w:pPr>
            <w:r>
              <w:rPr>
                <w:b/>
                <w:lang w:val="en-US"/>
              </w:rPr>
              <w:t>0.0188</w:t>
            </w:r>
          </w:p>
        </w:tc>
        <w:tc>
          <w:tcPr>
            <w:tcW w:w="2120" w:type="dxa"/>
            <w:tcBorders/>
            <w:shd w:fill="auto" w:val="clear"/>
            <w:tcMar>
              <w:left w:w="108" w:type="dxa"/>
            </w:tcMar>
          </w:tcPr>
          <w:p>
            <w:pPr>
              <w:pStyle w:val="Normal"/>
              <w:rPr/>
            </w:pPr>
            <w:r>
              <w:rPr>
                <w:lang w:val="en-US"/>
              </w:rPr>
              <w:t>0.8498</w:t>
            </w:r>
          </w:p>
        </w:tc>
      </w:tr>
      <w:tr>
        <w:trPr/>
        <w:tc>
          <w:tcPr>
            <w:tcW w:w="2766" w:type="dxa"/>
            <w:tcBorders/>
            <w:shd w:fill="auto" w:val="clear"/>
            <w:tcMar>
              <w:left w:w="108" w:type="dxa"/>
            </w:tcMar>
          </w:tcPr>
          <w:p>
            <w:pPr>
              <w:pStyle w:val="Normal"/>
              <w:rPr/>
            </w:pPr>
            <w:r>
              <w:rPr>
                <w:lang w:val="en-US"/>
              </w:rPr>
              <w:t>CD19pos_B220pos_MHCII</w:t>
            </w:r>
          </w:p>
        </w:tc>
        <w:tc>
          <w:tcPr>
            <w:tcW w:w="2060" w:type="dxa"/>
            <w:tcBorders/>
            <w:shd w:fill="auto" w:val="clear"/>
            <w:tcMar>
              <w:left w:w="108" w:type="dxa"/>
            </w:tcMar>
          </w:tcPr>
          <w:p>
            <w:pPr>
              <w:pStyle w:val="Normal"/>
              <w:rPr/>
            </w:pPr>
            <w:r>
              <w:rPr>
                <w:b/>
                <w:lang w:val="en-US"/>
              </w:rPr>
              <w:t>0.0086</w:t>
            </w:r>
          </w:p>
        </w:tc>
        <w:tc>
          <w:tcPr>
            <w:tcW w:w="2060" w:type="dxa"/>
            <w:tcBorders/>
            <w:shd w:fill="auto" w:val="clear"/>
            <w:tcMar>
              <w:left w:w="108" w:type="dxa"/>
            </w:tcMar>
          </w:tcPr>
          <w:p>
            <w:pPr>
              <w:pStyle w:val="Normal"/>
              <w:rPr/>
            </w:pPr>
            <w:r>
              <w:rPr>
                <w:b/>
                <w:lang w:val="en-US"/>
              </w:rPr>
              <w:t>0.0480</w:t>
            </w:r>
          </w:p>
        </w:tc>
        <w:tc>
          <w:tcPr>
            <w:tcW w:w="2120" w:type="dxa"/>
            <w:tcBorders/>
            <w:shd w:fill="auto" w:val="clear"/>
            <w:tcMar>
              <w:left w:w="108" w:type="dxa"/>
            </w:tcMar>
          </w:tcPr>
          <w:p>
            <w:pPr>
              <w:pStyle w:val="Normal"/>
              <w:rPr/>
            </w:pPr>
            <w:r>
              <w:rPr>
                <w:lang w:val="en-US"/>
              </w:rPr>
              <w:t>0.5476</w:t>
            </w:r>
          </w:p>
        </w:tc>
      </w:tr>
      <w:tr>
        <w:trPr/>
        <w:tc>
          <w:tcPr>
            <w:tcW w:w="2766" w:type="dxa"/>
            <w:tcBorders/>
            <w:shd w:fill="auto" w:val="clear"/>
            <w:tcMar>
              <w:left w:w="108" w:type="dxa"/>
            </w:tcMar>
          </w:tcPr>
          <w:p>
            <w:pPr>
              <w:pStyle w:val="Normal"/>
              <w:rPr/>
            </w:pPr>
            <w:r>
              <w:rPr>
                <w:lang w:val="en-US"/>
              </w:rPr>
              <w:t>CD11c</w:t>
            </w:r>
          </w:p>
        </w:tc>
        <w:tc>
          <w:tcPr>
            <w:tcW w:w="2060" w:type="dxa"/>
            <w:tcBorders/>
            <w:shd w:fill="auto" w:val="clear"/>
            <w:tcMar>
              <w:left w:w="108" w:type="dxa"/>
            </w:tcMar>
          </w:tcPr>
          <w:p>
            <w:pPr>
              <w:pStyle w:val="Normal"/>
              <w:rPr/>
            </w:pPr>
            <w:r>
              <w:rPr>
                <w:lang w:val="en-US"/>
              </w:rPr>
              <w:t>0.0284</w:t>
            </w:r>
          </w:p>
        </w:tc>
        <w:tc>
          <w:tcPr>
            <w:tcW w:w="2060" w:type="dxa"/>
            <w:tcBorders/>
            <w:shd w:fill="auto" w:val="clear"/>
            <w:tcMar>
              <w:left w:w="108" w:type="dxa"/>
            </w:tcMar>
          </w:tcPr>
          <w:p>
            <w:pPr>
              <w:pStyle w:val="Normal"/>
              <w:rPr/>
            </w:pPr>
            <w:r>
              <w:rPr>
                <w:lang w:val="en-US"/>
              </w:rPr>
              <w:t>0.0003</w:t>
            </w:r>
          </w:p>
        </w:tc>
        <w:tc>
          <w:tcPr>
            <w:tcW w:w="2120" w:type="dxa"/>
            <w:tcBorders/>
            <w:shd w:fill="auto" w:val="clear"/>
            <w:tcMar>
              <w:left w:w="108" w:type="dxa"/>
            </w:tcMar>
          </w:tcPr>
          <w:p>
            <w:pPr>
              <w:pStyle w:val="Normal"/>
              <w:rPr/>
            </w:pPr>
            <w:r>
              <w:rPr>
                <w:b/>
                <w:lang w:val="en-US"/>
              </w:rPr>
              <w:t>0.0036</w:t>
            </w:r>
          </w:p>
        </w:tc>
      </w:tr>
      <w:tr>
        <w:trPr/>
        <w:tc>
          <w:tcPr>
            <w:tcW w:w="2766" w:type="dxa"/>
            <w:tcBorders/>
            <w:shd w:fill="auto" w:val="clear"/>
            <w:tcMar>
              <w:left w:w="108" w:type="dxa"/>
            </w:tcMar>
          </w:tcPr>
          <w:p>
            <w:pPr>
              <w:pStyle w:val="Normal"/>
              <w:rPr/>
            </w:pPr>
            <w:r>
              <w:rPr>
                <w:lang w:val="en-US"/>
              </w:rPr>
              <w:t>CD11b</w:t>
            </w:r>
          </w:p>
        </w:tc>
        <w:tc>
          <w:tcPr>
            <w:tcW w:w="2060" w:type="dxa"/>
            <w:tcBorders/>
            <w:shd w:fill="auto" w:val="clear"/>
            <w:tcMar>
              <w:left w:w="108" w:type="dxa"/>
            </w:tcMar>
          </w:tcPr>
          <w:p>
            <w:pPr>
              <w:pStyle w:val="Normal"/>
              <w:rPr/>
            </w:pPr>
            <w:r>
              <w:rPr>
                <w:lang w:val="en-US"/>
              </w:rPr>
              <w:t>0.0583</w:t>
            </w:r>
          </w:p>
        </w:tc>
        <w:tc>
          <w:tcPr>
            <w:tcW w:w="2060" w:type="dxa"/>
            <w:tcBorders/>
            <w:shd w:fill="auto" w:val="clear"/>
            <w:tcMar>
              <w:left w:w="108" w:type="dxa"/>
            </w:tcMar>
          </w:tcPr>
          <w:p>
            <w:pPr>
              <w:pStyle w:val="Normal"/>
              <w:rPr/>
            </w:pPr>
            <w:r>
              <w:rPr>
                <w:b/>
                <w:lang w:val="en-US"/>
              </w:rPr>
              <w:t>0.0091</w:t>
            </w:r>
          </w:p>
        </w:tc>
        <w:tc>
          <w:tcPr>
            <w:tcW w:w="2120" w:type="dxa"/>
            <w:tcBorders/>
            <w:shd w:fill="auto" w:val="clear"/>
            <w:tcMar>
              <w:left w:w="108" w:type="dxa"/>
            </w:tcMar>
          </w:tcPr>
          <w:p>
            <w:pPr>
              <w:pStyle w:val="Normal"/>
              <w:rPr/>
            </w:pPr>
            <w:r>
              <w:rPr>
                <w:lang w:val="en-US"/>
              </w:rPr>
              <w:t>0.4817</w:t>
            </w:r>
          </w:p>
        </w:tc>
      </w:tr>
      <w:tr>
        <w:trPr>
          <w:trHeight w:val="338" w:hRule="atLeast"/>
        </w:trPr>
        <w:tc>
          <w:tcPr>
            <w:tcW w:w="2766" w:type="dxa"/>
            <w:tcBorders/>
            <w:shd w:fill="auto" w:val="clear"/>
            <w:tcMar>
              <w:left w:w="108" w:type="dxa"/>
            </w:tcMar>
          </w:tcPr>
          <w:p>
            <w:pPr>
              <w:pStyle w:val="Normal"/>
              <w:rPr/>
            </w:pPr>
            <w:r>
              <w:rPr>
                <w:lang w:val="en-US"/>
              </w:rPr>
              <w:t>mMDSCs</w:t>
            </w:r>
          </w:p>
        </w:tc>
        <w:tc>
          <w:tcPr>
            <w:tcW w:w="2060" w:type="dxa"/>
            <w:tcBorders/>
            <w:shd w:fill="auto" w:val="clear"/>
            <w:tcMar>
              <w:left w:w="108" w:type="dxa"/>
            </w:tcMar>
          </w:tcPr>
          <w:p>
            <w:pPr>
              <w:pStyle w:val="Normal"/>
              <w:rPr/>
            </w:pPr>
            <w:r>
              <w:rPr>
                <w:lang w:val="en-US"/>
              </w:rPr>
              <w:t>0.2614</w:t>
            </w:r>
          </w:p>
        </w:tc>
        <w:tc>
          <w:tcPr>
            <w:tcW w:w="2060" w:type="dxa"/>
            <w:tcBorders/>
            <w:shd w:fill="auto" w:val="clear"/>
            <w:tcMar>
              <w:left w:w="108" w:type="dxa"/>
            </w:tcMar>
          </w:tcPr>
          <w:p>
            <w:pPr>
              <w:pStyle w:val="Normal"/>
              <w:rPr/>
            </w:pPr>
            <w:r>
              <w:rPr>
                <w:lang w:val="en-US"/>
              </w:rPr>
              <w:t>&lt; 1e-5</w:t>
            </w:r>
          </w:p>
        </w:tc>
        <w:tc>
          <w:tcPr>
            <w:tcW w:w="2120" w:type="dxa"/>
            <w:tcBorders/>
            <w:shd w:fill="auto" w:val="clear"/>
            <w:tcMar>
              <w:left w:w="108" w:type="dxa"/>
            </w:tcMar>
          </w:tcPr>
          <w:p>
            <w:pPr>
              <w:pStyle w:val="Normal"/>
              <w:rPr/>
            </w:pPr>
            <w:r>
              <w:rPr>
                <w:b/>
                <w:lang w:val="en-US"/>
              </w:rPr>
              <w:t>0.0023</w:t>
            </w:r>
          </w:p>
        </w:tc>
      </w:tr>
      <w:tr>
        <w:trPr/>
        <w:tc>
          <w:tcPr>
            <w:tcW w:w="2766" w:type="dxa"/>
            <w:tcBorders/>
            <w:shd w:fill="auto" w:val="clear"/>
            <w:tcMar>
              <w:left w:w="108" w:type="dxa"/>
            </w:tcMar>
          </w:tcPr>
          <w:p>
            <w:pPr>
              <w:pStyle w:val="Normal"/>
              <w:rPr/>
            </w:pPr>
            <w:r>
              <w:rPr>
                <w:lang w:val="en-US"/>
              </w:rPr>
              <w:t>gMDSCs</w:t>
            </w:r>
          </w:p>
        </w:tc>
        <w:tc>
          <w:tcPr>
            <w:tcW w:w="2060" w:type="dxa"/>
            <w:tcBorders/>
            <w:shd w:fill="auto" w:val="clear"/>
            <w:tcMar>
              <w:left w:w="108" w:type="dxa"/>
            </w:tcMar>
          </w:tcPr>
          <w:p>
            <w:pPr>
              <w:pStyle w:val="Normal"/>
              <w:rPr/>
            </w:pPr>
            <w:r>
              <w:rPr>
                <w:b/>
                <w:lang w:val="en-US"/>
              </w:rPr>
              <w:t>0.0283</w:t>
            </w:r>
          </w:p>
        </w:tc>
        <w:tc>
          <w:tcPr>
            <w:tcW w:w="2060" w:type="dxa"/>
            <w:tcBorders/>
            <w:shd w:fill="auto" w:val="clear"/>
            <w:tcMar>
              <w:left w:w="108" w:type="dxa"/>
            </w:tcMar>
          </w:tcPr>
          <w:p>
            <w:pPr>
              <w:pStyle w:val="Normal"/>
              <w:rPr/>
            </w:pPr>
            <w:r>
              <w:rPr>
                <w:b/>
                <w:lang w:val="en-US"/>
              </w:rPr>
              <w:t>0.0349</w:t>
            </w:r>
          </w:p>
        </w:tc>
        <w:tc>
          <w:tcPr>
            <w:tcW w:w="2120" w:type="dxa"/>
            <w:tcBorders/>
            <w:shd w:fill="auto" w:val="clear"/>
            <w:tcMar>
              <w:left w:w="108" w:type="dxa"/>
            </w:tcMar>
          </w:tcPr>
          <w:p>
            <w:pPr>
              <w:pStyle w:val="Normal"/>
              <w:rPr/>
            </w:pPr>
            <w:r>
              <w:rPr>
                <w:lang w:val="en-US"/>
              </w:rPr>
              <w:t>0.2904</w:t>
            </w:r>
          </w:p>
        </w:tc>
      </w:tr>
      <w:tr>
        <w:trPr/>
        <w:tc>
          <w:tcPr>
            <w:tcW w:w="2766" w:type="dxa"/>
            <w:tcBorders/>
            <w:shd w:fill="auto" w:val="clear"/>
            <w:tcMar>
              <w:left w:w="108" w:type="dxa"/>
            </w:tcMar>
          </w:tcPr>
          <w:p>
            <w:pPr>
              <w:pStyle w:val="Normal"/>
              <w:rPr/>
            </w:pPr>
            <w:r>
              <w:rPr>
                <w:lang w:val="en-US"/>
              </w:rPr>
              <w:t>intMDSCs</w:t>
            </w:r>
          </w:p>
        </w:tc>
        <w:tc>
          <w:tcPr>
            <w:tcW w:w="2060" w:type="dxa"/>
            <w:tcBorders/>
            <w:shd w:fill="auto" w:val="clear"/>
            <w:tcMar>
              <w:left w:w="108" w:type="dxa"/>
            </w:tcMar>
          </w:tcPr>
          <w:p>
            <w:pPr>
              <w:pStyle w:val="Normal"/>
              <w:rPr/>
            </w:pPr>
            <w:r>
              <w:rPr>
                <w:lang w:val="en-US"/>
              </w:rPr>
              <w:t>0.2014</w:t>
            </w:r>
          </w:p>
        </w:tc>
        <w:tc>
          <w:tcPr>
            <w:tcW w:w="2060" w:type="dxa"/>
            <w:tcBorders/>
            <w:shd w:fill="auto" w:val="clear"/>
            <w:tcMar>
              <w:left w:w="108" w:type="dxa"/>
            </w:tcMar>
          </w:tcPr>
          <w:p>
            <w:pPr>
              <w:pStyle w:val="Normal"/>
              <w:rPr/>
            </w:pPr>
            <w:r>
              <w:rPr>
                <w:lang w:val="en-US"/>
              </w:rPr>
              <w:t>0.1039</w:t>
            </w:r>
          </w:p>
        </w:tc>
        <w:tc>
          <w:tcPr>
            <w:tcW w:w="2120" w:type="dxa"/>
            <w:tcBorders/>
            <w:shd w:fill="auto" w:val="clear"/>
            <w:tcMar>
              <w:left w:w="108" w:type="dxa"/>
            </w:tcMar>
          </w:tcPr>
          <w:p>
            <w:pPr>
              <w:pStyle w:val="Normal"/>
              <w:rPr/>
            </w:pPr>
            <w:r>
              <w:rPr>
                <w:lang w:val="en-US"/>
              </w:rPr>
              <w:t>0.3143</w:t>
            </w:r>
          </w:p>
        </w:tc>
      </w:tr>
      <w:tr>
        <w:trPr/>
        <w:tc>
          <w:tcPr>
            <w:tcW w:w="2766" w:type="dxa"/>
            <w:tcBorders/>
            <w:shd w:fill="auto" w:val="clear"/>
            <w:tcMar>
              <w:left w:w="108" w:type="dxa"/>
            </w:tcMar>
          </w:tcPr>
          <w:p>
            <w:pPr>
              <w:pStyle w:val="Normal"/>
              <w:rPr/>
            </w:pPr>
            <w:r>
              <w:rPr>
                <w:lang w:val="en-US"/>
              </w:rPr>
              <w:t>mMDSCs_MHCII</w:t>
            </w:r>
          </w:p>
        </w:tc>
        <w:tc>
          <w:tcPr>
            <w:tcW w:w="2060" w:type="dxa"/>
            <w:tcBorders/>
            <w:shd w:fill="auto" w:val="clear"/>
            <w:tcMar>
              <w:left w:w="108" w:type="dxa"/>
            </w:tcMar>
          </w:tcPr>
          <w:p>
            <w:pPr>
              <w:pStyle w:val="Normal"/>
              <w:rPr/>
            </w:pPr>
            <w:r>
              <w:rPr>
                <w:lang w:val="en-US"/>
              </w:rPr>
              <w:t>0.0126</w:t>
            </w:r>
          </w:p>
        </w:tc>
        <w:tc>
          <w:tcPr>
            <w:tcW w:w="2060" w:type="dxa"/>
            <w:tcBorders/>
            <w:shd w:fill="auto" w:val="clear"/>
            <w:tcMar>
              <w:left w:w="108" w:type="dxa"/>
            </w:tcMar>
          </w:tcPr>
          <w:p>
            <w:pPr>
              <w:pStyle w:val="Normal"/>
              <w:rPr/>
            </w:pPr>
            <w:r>
              <w:rPr>
                <w:lang w:val="en-US"/>
              </w:rPr>
              <w:t>0.3620</w:t>
            </w:r>
          </w:p>
        </w:tc>
        <w:tc>
          <w:tcPr>
            <w:tcW w:w="2120" w:type="dxa"/>
            <w:tcBorders/>
            <w:shd w:fill="auto" w:val="clear"/>
            <w:tcMar>
              <w:left w:w="108" w:type="dxa"/>
            </w:tcMar>
          </w:tcPr>
          <w:p>
            <w:pPr>
              <w:pStyle w:val="Normal"/>
              <w:rPr/>
            </w:pPr>
            <w:r>
              <w:rPr>
                <w:b/>
                <w:lang w:val="en-US"/>
              </w:rPr>
              <w:t>0.0219</w:t>
            </w:r>
          </w:p>
        </w:tc>
      </w:tr>
      <w:tr>
        <w:trPr/>
        <w:tc>
          <w:tcPr>
            <w:tcW w:w="2766" w:type="dxa"/>
            <w:tcBorders/>
            <w:shd w:fill="auto" w:val="clear"/>
            <w:tcMar>
              <w:left w:w="108" w:type="dxa"/>
            </w:tcMar>
          </w:tcPr>
          <w:p>
            <w:pPr>
              <w:pStyle w:val="Normal"/>
              <w:rPr/>
            </w:pPr>
            <w:r>
              <w:rPr>
                <w:lang w:val="en-US"/>
              </w:rPr>
              <w:t>gMDSCs_MHCII</w:t>
            </w:r>
          </w:p>
        </w:tc>
        <w:tc>
          <w:tcPr>
            <w:tcW w:w="2060" w:type="dxa"/>
            <w:tcBorders/>
            <w:shd w:fill="auto" w:val="clear"/>
            <w:tcMar>
              <w:left w:w="108" w:type="dxa"/>
            </w:tcMar>
          </w:tcPr>
          <w:p>
            <w:pPr>
              <w:pStyle w:val="Normal"/>
              <w:rPr/>
            </w:pPr>
            <w:r>
              <w:rPr>
                <w:lang w:val="en-US"/>
              </w:rPr>
              <w:t>0.5438</w:t>
            </w:r>
          </w:p>
        </w:tc>
        <w:tc>
          <w:tcPr>
            <w:tcW w:w="2060" w:type="dxa"/>
            <w:tcBorders/>
            <w:shd w:fill="auto" w:val="clear"/>
            <w:tcMar>
              <w:left w:w="108" w:type="dxa"/>
            </w:tcMar>
          </w:tcPr>
          <w:p>
            <w:pPr>
              <w:pStyle w:val="Normal"/>
              <w:rPr/>
            </w:pPr>
            <w:r>
              <w:rPr>
                <w:b/>
                <w:lang w:val="en-US"/>
              </w:rPr>
              <w:t>0.0005</w:t>
            </w:r>
          </w:p>
        </w:tc>
        <w:tc>
          <w:tcPr>
            <w:tcW w:w="2120" w:type="dxa"/>
            <w:tcBorders/>
            <w:shd w:fill="auto" w:val="clear"/>
            <w:tcMar>
              <w:left w:w="108" w:type="dxa"/>
            </w:tcMar>
          </w:tcPr>
          <w:p>
            <w:pPr>
              <w:pStyle w:val="Normal"/>
              <w:rPr/>
            </w:pPr>
            <w:r>
              <w:rPr>
                <w:lang w:val="en-US"/>
              </w:rPr>
              <w:t>0.0926</w:t>
            </w:r>
          </w:p>
        </w:tc>
      </w:tr>
      <w:tr>
        <w:trPr/>
        <w:tc>
          <w:tcPr>
            <w:tcW w:w="2766" w:type="dxa"/>
            <w:tcBorders/>
            <w:shd w:fill="auto" w:val="clear"/>
            <w:tcMar>
              <w:left w:w="108" w:type="dxa"/>
            </w:tcMar>
          </w:tcPr>
          <w:p>
            <w:pPr>
              <w:pStyle w:val="Normal"/>
              <w:rPr/>
            </w:pPr>
            <w:r>
              <w:rPr>
                <w:lang w:val="en-US"/>
              </w:rPr>
              <w:t>intMDSCs_MHCII</w:t>
            </w:r>
          </w:p>
        </w:tc>
        <w:tc>
          <w:tcPr>
            <w:tcW w:w="2060" w:type="dxa"/>
            <w:tcBorders/>
            <w:shd w:fill="auto" w:val="clear"/>
            <w:tcMar>
              <w:left w:w="108" w:type="dxa"/>
            </w:tcMar>
          </w:tcPr>
          <w:p>
            <w:pPr>
              <w:pStyle w:val="Normal"/>
              <w:rPr/>
            </w:pPr>
            <w:r>
              <w:rPr>
                <w:b/>
                <w:lang w:val="en-US"/>
              </w:rPr>
              <w:t>0.0168</w:t>
            </w:r>
          </w:p>
        </w:tc>
        <w:tc>
          <w:tcPr>
            <w:tcW w:w="2060" w:type="dxa"/>
            <w:tcBorders/>
            <w:shd w:fill="auto" w:val="clear"/>
            <w:tcMar>
              <w:left w:w="108" w:type="dxa"/>
            </w:tcMar>
          </w:tcPr>
          <w:p>
            <w:pPr>
              <w:pStyle w:val="Normal"/>
              <w:rPr/>
            </w:pPr>
            <w:r>
              <w:rPr>
                <w:lang w:val="en-US"/>
              </w:rPr>
              <w:t>0.8351</w:t>
            </w:r>
          </w:p>
        </w:tc>
        <w:tc>
          <w:tcPr>
            <w:tcW w:w="2120" w:type="dxa"/>
            <w:tcBorders/>
            <w:shd w:fill="auto" w:val="clear"/>
            <w:tcMar>
              <w:left w:w="108" w:type="dxa"/>
            </w:tcMar>
          </w:tcPr>
          <w:p>
            <w:pPr>
              <w:pStyle w:val="Normal"/>
              <w:rPr/>
            </w:pPr>
            <w:r>
              <w:rPr>
                <w:lang w:val="en-US"/>
              </w:rPr>
              <w:t>0.0567</w:t>
            </w:r>
          </w:p>
        </w:tc>
      </w:tr>
    </w:tbl>
    <w:p>
      <w:pPr>
        <w:pStyle w:val="Normal"/>
        <w:rPr>
          <w:lang w:val="en-US"/>
        </w:rPr>
      </w:pPr>
      <w:r>
        <w:rPr>
          <w:lang w:val="en-US"/>
        </w:rPr>
      </w:r>
    </w:p>
    <w:p>
      <w:pPr>
        <w:pStyle w:val="Normal"/>
        <w:rPr/>
      </w:pPr>
      <w:r>
        <w:rPr>
          <w:lang w:val="en-US"/>
        </w:rPr>
        <w:t xml:space="preserve"> </w:t>
      </w:r>
      <w:r>
        <w:rPr>
          <w:lang w:val="en-US"/>
        </w:rPr>
        <w:t>Analyis of variance: p-values for linear regression at the logit scale.</w:t>
      </w:r>
    </w:p>
    <w:p>
      <w:pPr>
        <w:pStyle w:val="Normal"/>
        <w:rPr>
          <w:lang w:val="en-US"/>
        </w:rPr>
      </w:pPr>
      <w:r>
        <w:rPr>
          <w:lang w:val="en-US"/>
        </w:rPr>
      </w:r>
    </w:p>
    <w:p>
      <w:pPr>
        <w:pStyle w:val="Normal"/>
        <w:rPr>
          <w:lang w:val="en-US"/>
        </w:rPr>
      </w:pPr>
      <w:r>
        <w:rPr>
          <w:lang w:val="en-US"/>
        </w:rPr>
      </w:r>
    </w:p>
    <w:p>
      <w:pPr>
        <w:pStyle w:val="Normal"/>
        <w:rPr/>
      </w:pPr>
      <w:r>
        <w:rPr>
          <w:lang w:val="en-US"/>
        </w:rPr>
        <w:t xml:space="preserve">The interaction between mouse type and period is significant for cell types CD11c, mMDSCs and mMDSCs_MHCII: This tells us that, for these cell types, the time trajectory </w:t>
      </w:r>
      <w:r>
        <w:rPr>
          <w:lang w:val="en-US"/>
        </w:rPr>
        <w:t xml:space="preserve">appears to </w:t>
      </w:r>
      <w:r>
        <w:rPr>
          <w:lang w:val="en-US"/>
        </w:rPr>
        <w:t>differ for the two types of mice. For the remaining cell types, we see no evidence that the two types of mice respond differently over the five time periods. We see, however, significant main effects for all cell types, with the exception of intMDSCs.</w:t>
      </w:r>
    </w:p>
    <w:p>
      <w:pPr>
        <w:pStyle w:val="Normal"/>
        <w:rPr>
          <w:lang w:val="en-US"/>
        </w:rPr>
      </w:pPr>
      <w:r>
        <w:rPr>
          <w:lang w:val="en-US"/>
        </w:rPr>
      </w:r>
    </w:p>
    <w:p>
      <w:pPr>
        <w:pStyle w:val="Normal"/>
        <w:rPr>
          <w:lang w:val="en-US"/>
        </w:rPr>
      </w:pPr>
      <w:r>
        <w:rPr>
          <w:lang w:val="en-US"/>
        </w:rPr>
      </w:r>
    </w:p>
    <w:p>
      <w:pPr>
        <w:pStyle w:val="Normal"/>
        <w:rPr/>
      </w:pPr>
      <w:r>
        <w:rPr>
          <w:lang w:val="en-US"/>
        </w:rPr>
        <w:t xml:space="preserve">In what follows, we look at this in detail, for each cell type. </w:t>
      </w:r>
      <w:r>
        <w:rPr>
          <w:lang w:val="en-US"/>
        </w:rPr>
        <w:t>In all figures, WT are black, T2 mice are red.</w:t>
      </w:r>
      <w:r>
        <w:br w:type="page"/>
      </w:r>
    </w:p>
    <w:p>
      <w:pPr>
        <w:pStyle w:val="Heading2"/>
        <w:rPr/>
      </w:pPr>
      <w:r>
        <w:rPr/>
        <w:t xml:space="preserve">1. </w:t>
      </w:r>
      <w:r>
        <w:rPr/>
        <w:t>CD19pos_B220</w:t>
      </w:r>
    </w:p>
    <w:p>
      <w:pPr>
        <w:pStyle w:val="Normal"/>
        <w:rPr/>
      </w:pPr>
      <w:r>
        <w:rPr/>
      </w:r>
    </w:p>
    <w:p>
      <w:pPr>
        <w:pStyle w:val="Normal"/>
        <w:rPr/>
      </w:pPr>
      <w:r>
        <w:rPr/>
        <w:drawing>
          <wp:inline distT="0" distB="0" distL="0" distR="12700">
            <wp:extent cx="5115560" cy="4563745"/>
            <wp:effectExtent l="0" t="0" r="0" b="0"/>
            <wp:docPr id="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descr=""/>
                    <pic:cNvPicPr>
                      <a:picLocks noChangeAspect="1" noChangeArrowheads="1"/>
                    </pic:cNvPicPr>
                  </pic:nvPicPr>
                  <pic:blipFill>
                    <a:blip r:embed="rId2"/>
                    <a:stretch>
                      <a:fillRect/>
                    </a:stretch>
                  </pic:blipFill>
                  <pic:spPr bwMode="auto">
                    <a:xfrm>
                      <a:off x="0" y="0"/>
                      <a:ext cx="5115560" cy="4563745"/>
                    </a:xfrm>
                    <a:prstGeom prst="rect">
                      <a:avLst/>
                    </a:prstGeom>
                  </pic:spPr>
                </pic:pic>
              </a:graphicData>
            </a:graphic>
          </wp:inline>
        </w:drawing>
      </w:r>
    </w:p>
    <w:p>
      <w:pPr>
        <w:pStyle w:val="Normal"/>
        <w:rPr/>
      </w:pPr>
      <w:r>
        <w:rPr>
          <w:b/>
          <w:lang w:val="en-US"/>
        </w:rPr>
        <w:t>data</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bookmarkStart w:id="0" w:name="_GoBack"/>
      <w:bookmarkEnd w:id="0"/>
      <w:r>
        <w:rPr>
          <w:lang w:val="en-US"/>
        </w:rPr>
        <w:t xml:space="preserve">The proportion of cells appear to depend on the type, but not on the period. </w:t>
      </w:r>
    </w:p>
    <w:p>
      <w:pPr>
        <w:pStyle w:val="Normal"/>
        <w:rPr>
          <w:lang w:val="en-US"/>
        </w:rPr>
      </w:pPr>
      <w:r>
        <w:rPr>
          <w:lang w:val="en-US"/>
        </w:rPr>
      </w:r>
    </w:p>
    <w:p>
      <w:pPr>
        <w:pStyle w:val="Normal"/>
        <w:rPr>
          <w:lang w:val="en-US"/>
        </w:rPr>
      </w:pPr>
      <w:r>
        <w:rPr>
          <w:lang w:val="en-US"/>
        </w:rPr>
        <w:t>mean proportion for WT cells</w:t>
        <w:tab/>
        <w:t>: 0.21 [0.14-0.18]</w:t>
      </w:r>
    </w:p>
    <w:p>
      <w:pPr>
        <w:pStyle w:val="Normal"/>
        <w:rPr>
          <w:lang w:val="en-US"/>
        </w:rPr>
      </w:pPr>
      <w:r>
        <w:rPr>
          <w:lang w:val="en-US"/>
        </w:rPr>
        <w:t>mean proportion for T2 cells</w:t>
        <w:tab/>
        <w:t>: 0.1</w:t>
      </w:r>
      <w:r>
        <w:rPr>
          <w:lang w:val="en-US"/>
        </w:rPr>
        <w:t>0</w:t>
      </w:r>
      <w:r>
        <w:rPr>
          <w:lang w:val="en-US"/>
        </w:rPr>
        <w:t xml:space="preserve"> [0.</w:t>
      </w:r>
      <w:r>
        <w:rPr>
          <w:lang w:val="en-US"/>
        </w:rPr>
        <w:t>08</w:t>
      </w:r>
      <w:r>
        <w:rPr>
          <w:lang w:val="en-US"/>
        </w:rPr>
        <w:t>-0.1</w:t>
      </w:r>
      <w:r>
        <w:rPr>
          <w:lang w:val="en-US"/>
        </w:rPr>
        <w:t>4</w:t>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r>
    </w:p>
    <w:p>
      <w:pPr>
        <w:pStyle w:val="Normal"/>
        <w:rPr>
          <w:lang w:val="en-US"/>
        </w:rPr>
      </w:pPr>
      <w:r>
        <w:rPr>
          <w:lang w:val="en-US"/>
        </w:rPr>
      </w:r>
    </w:p>
    <w:p>
      <w:pPr>
        <w:pStyle w:val="Normal"/>
        <w:rPr>
          <w:lang w:val="en-US"/>
        </w:rPr>
      </w:pPr>
      <w:r>
        <w:rPr>
          <w:lang w:val="en-US"/>
        </w:rPr>
      </w:r>
    </w:p>
    <w:p>
      <w:pPr>
        <w:pStyle w:val="Heading2"/>
        <w:rPr>
          <w:lang w:val="en-US"/>
        </w:rPr>
      </w:pPr>
      <w:r>
        <w:rPr/>
      </w:r>
      <w:r>
        <w:br w:type="page"/>
      </w:r>
    </w:p>
    <w:p>
      <w:pPr>
        <w:pStyle w:val="Heading2"/>
        <w:rPr/>
      </w:pPr>
      <w:r>
        <w:rPr>
          <w:lang w:val="en-US"/>
        </w:rPr>
        <w:t xml:space="preserve">2. </w:t>
      </w:r>
      <w:r>
        <w:rPr>
          <w:lang w:val="en-US"/>
        </w:rPr>
        <w:t>CD19</w:t>
      </w:r>
    </w:p>
    <w:p>
      <w:pPr>
        <w:pStyle w:val="Normal"/>
        <w:rPr>
          <w:lang w:val="en-US"/>
        </w:rPr>
      </w:pPr>
      <w:r>
        <w:rPr/>
      </w:r>
    </w:p>
    <w:p>
      <w:pPr>
        <w:pStyle w:val="Normal"/>
        <w:rPr>
          <w:lang w:val="en-US"/>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41859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4185920"/>
                    </a:xfrm>
                    <a:prstGeom prst="rect">
                      <a:avLst/>
                    </a:prstGeom>
                  </pic:spPr>
                </pic:pic>
              </a:graphicData>
            </a:graphic>
          </wp:anchor>
        </w:drawing>
      </w:r>
      <w:r>
        <w:br w:type="page"/>
      </w:r>
    </w:p>
    <w:p>
      <w:pPr>
        <w:pStyle w:val="Normal"/>
        <w:rPr>
          <w:lang w:val="en-US"/>
        </w:rPr>
      </w:pPr>
      <w:r>
        <w:rPr/>
      </w:r>
    </w:p>
    <w:p>
      <w:pPr>
        <w:pStyle w:val="Normal"/>
        <w:rPr>
          <w:lang w:val="en-US"/>
        </w:rPr>
      </w:pPr>
      <w:r>
        <w:rPr>
          <w:lang w:val="en-US"/>
        </w:rPr>
      </w:r>
    </w:p>
    <w:p>
      <w:pPr>
        <w:pStyle w:val="Normal"/>
        <w:rPr/>
      </w:pPr>
      <w:r>
        <w:rPr/>
        <w:drawing>
          <wp:inline distT="0" distB="6350" distL="0" distR="12700">
            <wp:extent cx="5727700" cy="5124450"/>
            <wp:effectExtent l="0" t="0" r="0" b="0"/>
            <wp:docPr id="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descr=""/>
                    <pic:cNvPicPr>
                      <a:picLocks noChangeAspect="1" noChangeArrowheads="1"/>
                    </pic:cNvPicPr>
                  </pic:nvPicPr>
                  <pic:blipFill>
                    <a:blip r:embed="rId4"/>
                    <a:stretch>
                      <a:fillRect/>
                    </a:stretch>
                  </pic:blipFill>
                  <pic:spPr bwMode="auto">
                    <a:xfrm>
                      <a:off x="0" y="0"/>
                      <a:ext cx="5727700" cy="5124450"/>
                    </a:xfrm>
                    <a:prstGeom prst="rect">
                      <a:avLst/>
                    </a:prstGeom>
                  </pic:spPr>
                </pic:pic>
              </a:graphicData>
            </a:graphic>
          </wp:inline>
        </w:drawing>
      </w:r>
    </w:p>
    <w:p>
      <w:pPr>
        <w:pStyle w:val="Normal"/>
        <w:rPr>
          <w:lang w:val="en-US"/>
        </w:rPr>
      </w:pPr>
      <w:r>
        <w:rPr>
          <w:lang w:val="en-US"/>
        </w:rPr>
      </w:r>
      <w:r>
        <w:br w:type="page"/>
      </w:r>
    </w:p>
    <w:p>
      <w:pPr>
        <w:pStyle w:val="Normal"/>
        <w:rPr>
          <w:lang w:val="en-US"/>
        </w:rPr>
      </w:pPr>
      <w:r>
        <w:rPr>
          <w:lang w:val="en-US"/>
        </w:rPr>
      </w:r>
    </w:p>
    <w:p>
      <w:pPr>
        <w:pStyle w:val="Normal"/>
        <w:rPr>
          <w:lang w:val="en-US"/>
        </w:rPr>
      </w:pPr>
      <w:r>
        <w:rPr>
          <w:lang w:val="en-US"/>
        </w:rPr>
      </w:r>
    </w:p>
    <w:p>
      <w:pPr>
        <w:pStyle w:val="Normal"/>
        <w:rPr>
          <w:lang w:val="en-US"/>
        </w:rPr>
      </w:pPr>
      <w:r>
        <w:rPr>
          <w:lang w:val="en-US"/>
        </w:rPr>
        <w:t>We have the following 95% CI for the proportions:</w:t>
      </w:r>
    </w:p>
    <w:p>
      <w:pPr>
        <w:pStyle w:val="Normal"/>
        <w:rPr>
          <w:lang w:val="en-US"/>
        </w:rPr>
      </w:pPr>
      <w:r>
        <w:rPr>
          <w:lang w:val="en-US"/>
        </w:rPr>
      </w:r>
    </w:p>
    <w:tbl>
      <w:tblPr>
        <w:tblW w:w="7709"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745"/>
        <w:gridCol w:w="1745"/>
        <w:gridCol w:w="1745"/>
        <w:gridCol w:w="1746"/>
        <w:gridCol w:w="728"/>
      </w:tblGrid>
      <w:tr>
        <w:trPr/>
        <w:tc>
          <w:tcPr>
            <w:tcW w:w="174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Type</w:t>
            </w:r>
          </w:p>
        </w:tc>
        <w:tc>
          <w:tcPr>
            <w:tcW w:w="174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Time</w:t>
            </w:r>
          </w:p>
        </w:tc>
        <w:tc>
          <w:tcPr>
            <w:tcW w:w="174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estimate</w:t>
            </w:r>
          </w:p>
        </w:tc>
        <w:tc>
          <w:tcPr>
            <w:tcW w:w="174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Lower</w:t>
            </w:r>
          </w:p>
        </w:tc>
        <w:tc>
          <w:tcPr>
            <w:tcW w:w="72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b/>
                <w:b/>
                <w:bCs/>
              </w:rPr>
            </w:pPr>
            <w:r>
              <w:rPr>
                <w:b/>
                <w:bCs/>
              </w:rPr>
              <w:t>upper</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0.22</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0.16</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0.29</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0.30</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0.22</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0.39</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0.29</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0.21</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0.38</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0.24</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0.17</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0.22</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0.31</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0.22</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0.41</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T2</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0.12</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0.09</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0.16</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0.18</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0.14</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0.23</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0.17</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0.13</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0.23</w:t>
            </w:r>
          </w:p>
        </w:tc>
      </w:tr>
      <w:tr>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0.14</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0.10</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0.18</w:t>
            </w:r>
          </w:p>
        </w:tc>
      </w:tr>
      <w:tr>
        <w:trPr>
          <w:trHeight w:val="60" w:hRule="atLeast"/>
        </w:trPr>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74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0.19</w:t>
            </w:r>
          </w:p>
        </w:tc>
        <w:tc>
          <w:tcPr>
            <w:tcW w:w="174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0.13</w:t>
            </w:r>
          </w:p>
        </w:tc>
        <w:tc>
          <w:tcPr>
            <w:tcW w:w="72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0.25</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t>Odds ratio’s</w:t>
      </w:r>
    </w:p>
    <w:p>
      <w:pPr>
        <w:pStyle w:val="Normal"/>
        <w:rPr>
          <w:lang w:val="en-US"/>
        </w:rPr>
      </w:pPr>
      <w:r>
        <w:rPr>
          <w:lang w:val="en-US"/>
        </w:rPr>
      </w:r>
    </w:p>
    <w:p>
      <w:pPr>
        <w:pStyle w:val="PreformattedText"/>
        <w:rPr>
          <w:lang w:val="en-US"/>
        </w:rPr>
      </w:pPr>
      <w:bookmarkStart w:id="1" w:name="rstudio_console_output"/>
      <w:bookmarkEnd w:id="1"/>
      <w:r>
        <w:rPr>
          <w:lang w:val="en-US"/>
        </w:rPr>
        <w:t xml:space="preserve">                </w:t>
      </w:r>
      <w:r>
        <w:rPr>
          <w:rFonts w:ascii="Ubuntu Mono" w:hAnsi="Ubuntu Mono"/>
          <w:sz w:val="21"/>
          <w:lang w:val="en-US"/>
        </w:rPr>
        <w:t xml:space="preserve">estimate lower upper </w:t>
      </w:r>
    </w:p>
    <w:p>
      <w:pPr>
        <w:pStyle w:val="PreformattedText"/>
        <w:pBdr/>
        <w:spacing w:before="0" w:after="0"/>
        <w:rPr>
          <w:rFonts w:ascii="Ubuntu Mono" w:hAnsi="Ubuntu Mono"/>
          <w:sz w:val="21"/>
        </w:rPr>
      </w:pPr>
      <w:r>
        <w:rPr>
          <w:rFonts w:ascii="Ubuntu Mono" w:hAnsi="Ubuntu Mono"/>
          <w:sz w:val="21"/>
        </w:rPr>
        <w:t xml:space="preserve">typeT2              0.51  0.34  0.77      </w:t>
      </w:r>
    </w:p>
    <w:p>
      <w:pPr>
        <w:pStyle w:val="PreformattedText"/>
        <w:pBdr/>
        <w:spacing w:before="0" w:after="0"/>
        <w:rPr>
          <w:rFonts w:ascii="Ubuntu Mono" w:hAnsi="Ubuntu Mono"/>
          <w:sz w:val="21"/>
        </w:rPr>
      </w:pPr>
      <w:r>
        <w:rPr>
          <w:rFonts w:ascii="Ubuntu Mono" w:hAnsi="Ubuntu Mono"/>
          <w:sz w:val="21"/>
        </w:rPr>
        <w:t xml:space="preserve">factor(period)2     1.55  1.19  2.01      </w:t>
      </w:r>
    </w:p>
    <w:p>
      <w:pPr>
        <w:pStyle w:val="PreformattedText"/>
        <w:pBdr/>
        <w:spacing w:before="0" w:after="0"/>
        <w:rPr>
          <w:rFonts w:ascii="Ubuntu Mono" w:hAnsi="Ubuntu Mono"/>
          <w:sz w:val="21"/>
        </w:rPr>
      </w:pPr>
      <w:r>
        <w:rPr>
          <w:rFonts w:ascii="Ubuntu Mono" w:hAnsi="Ubuntu Mono"/>
          <w:sz w:val="21"/>
        </w:rPr>
        <w:t xml:space="preserve">factor(period)3     1.45  1.09  1.93      </w:t>
      </w:r>
    </w:p>
    <w:p>
      <w:pPr>
        <w:pStyle w:val="PreformattedText"/>
        <w:pBdr/>
        <w:spacing w:before="0" w:after="0"/>
        <w:rPr>
          <w:rFonts w:ascii="Ubuntu Mono" w:hAnsi="Ubuntu Mono"/>
          <w:sz w:val="21"/>
        </w:rPr>
      </w:pPr>
      <w:r>
        <w:rPr>
          <w:rFonts w:ascii="Ubuntu Mono" w:hAnsi="Ubuntu Mono"/>
          <w:sz w:val="21"/>
        </w:rPr>
        <w:t xml:space="preserve">factor(period)4     1.11  0.84  1.48       </w:t>
      </w:r>
    </w:p>
    <w:p>
      <w:pPr>
        <w:pStyle w:val="PreformattedText"/>
        <w:pBdr/>
        <w:spacing w:before="0" w:after="0"/>
        <w:rPr>
          <w:rFonts w:ascii="Ubuntu Mono" w:hAnsi="Ubuntu Mono"/>
          <w:sz w:val="21"/>
        </w:rPr>
      </w:pPr>
      <w:r>
        <w:rPr>
          <w:rFonts w:ascii="Ubuntu Mono" w:hAnsi="Ubuntu Mono"/>
          <w:sz w:val="21"/>
        </w:rPr>
        <w:t xml:space="preserve">factor(period)5     1.63  1.18  2.25 </w:t>
      </w:r>
    </w:p>
    <w:p>
      <w:pPr>
        <w:pStyle w:val="PreformattedText"/>
        <w:pBdr/>
        <w:spacing w:before="0" w:after="0"/>
        <w:rPr>
          <w:rFonts w:ascii="Ubuntu Mono" w:hAnsi="Ubuntu Mono"/>
          <w:sz w:val="21"/>
        </w:rPr>
      </w:pPr>
      <w:r>
        <w:rPr>
          <w:rFonts w:ascii="Ubuntu Mono" w:hAnsi="Ubuntu Mono"/>
          <w:sz w:val="21"/>
        </w:rPr>
      </w:r>
    </w:p>
    <w:p>
      <w:pPr>
        <w:pStyle w:val="PreformattedText"/>
        <w:pBdr/>
        <w:spacing w:before="0" w:after="0"/>
        <w:rPr>
          <w:rFonts w:ascii="Ubuntu Mono" w:hAnsi="Ubuntu Mono"/>
          <w:sz w:val="21"/>
        </w:rPr>
      </w:pPr>
      <w:r>
        <w:rPr>
          <w:rFonts w:ascii="Ubuntu Mono" w:hAnsi="Ubuntu Mono"/>
          <w:sz w:val="21"/>
        </w:rPr>
        <w:t>In terms of odds ratios, we are about half as likely to see a T2 cell than a WT cell. All cell counts appear to increase after day 0, with the exception of period 4 (day 17)</w:t>
      </w:r>
      <w:r>
        <w:rPr>
          <w:rFonts w:ascii="Ubuntu Mono" w:hAnsi="Ubuntu Mono"/>
          <w:sz w:val="21"/>
        </w:rPr>
        <w:t xml:space="preserve">     </w:t>
      </w:r>
    </w:p>
    <w:p>
      <w:pPr>
        <w:pStyle w:val="Normal"/>
        <w:rPr>
          <w:lang w:val="en-US"/>
        </w:rPr>
      </w:pPr>
      <w:r>
        <w:rPr>
          <w:lang w:val="en-US"/>
        </w:rPr>
      </w:r>
    </w:p>
    <w:p>
      <w:pPr>
        <w:pStyle w:val="Normal"/>
        <w:rPr>
          <w:lang w:val="en-US"/>
        </w:rPr>
      </w:pPr>
      <w:r>
        <w:rPr>
          <w:lang w:val="en-US"/>
        </w:rPr>
      </w:r>
      <w:r>
        <w:br w:type="page"/>
      </w:r>
    </w:p>
    <w:p>
      <w:pPr>
        <w:pStyle w:val="Heading2"/>
        <w:rPr/>
      </w:pPr>
      <w:r>
        <w:rPr>
          <w:lang w:val="en-US"/>
        </w:rPr>
        <w:t xml:space="preserve">3. </w:t>
      </w:r>
      <w:r>
        <w:rPr>
          <w:lang w:val="en-US"/>
        </w:rPr>
        <w:t>CD19pos_B220pos_MHCII</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2">
            <wp:simplePos x="0" y="0"/>
            <wp:positionH relativeFrom="column">
              <wp:posOffset>0</wp:posOffset>
            </wp:positionH>
            <wp:positionV relativeFrom="paragraph">
              <wp:posOffset>190500</wp:posOffset>
            </wp:positionV>
            <wp:extent cx="4984750" cy="394906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4984750" cy="394906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 xml:space="preserve">T2 cells are lower than WT cells, and there is no evidence for an effect of time. </w:t>
      </w:r>
    </w:p>
    <w:p>
      <w:pPr>
        <w:pStyle w:val="Normal"/>
        <w:rPr/>
      </w:pPr>
      <w:r>
        <w:rPr/>
      </w:r>
    </w:p>
    <w:p>
      <w:pPr>
        <w:pStyle w:val="Normal"/>
        <w:rPr>
          <w:lang w:val="en-US"/>
        </w:rPr>
      </w:pPr>
      <w:r>
        <w:rPr>
          <w:lang w:val="en-US"/>
        </w:rPr>
        <w:t>mean proportion for WT cells</w:t>
        <w:tab/>
        <w:t>: 0.</w:t>
      </w:r>
      <w:r>
        <w:rPr>
          <w:lang w:val="en-US"/>
        </w:rPr>
        <w:t>13</w:t>
      </w:r>
      <w:r>
        <w:rPr>
          <w:lang w:val="en-US"/>
        </w:rPr>
        <w:t xml:space="preserve"> [0.1</w:t>
      </w:r>
      <w:r>
        <w:rPr>
          <w:lang w:val="en-US"/>
        </w:rPr>
        <w:t>0</w:t>
      </w:r>
      <w:r>
        <w:rPr>
          <w:lang w:val="en-US"/>
        </w:rPr>
        <w:t>-0.1</w:t>
      </w:r>
      <w:r>
        <w:rPr>
          <w:lang w:val="en-US"/>
        </w:rPr>
        <w:t>9</w:t>
      </w:r>
      <w:r>
        <w:rPr>
          <w:lang w:val="en-US"/>
        </w:rPr>
        <w:t>]</w:t>
      </w:r>
    </w:p>
    <w:p>
      <w:pPr>
        <w:pStyle w:val="Normal"/>
        <w:rPr>
          <w:lang w:val="en-US"/>
        </w:rPr>
      </w:pPr>
      <w:r>
        <w:rPr>
          <w:lang w:val="en-US"/>
        </w:rPr>
        <w:t>mean proportion for T2 cells</w:t>
        <w:tab/>
        <w:t>: 0.</w:t>
      </w:r>
      <w:r>
        <w:rPr>
          <w:lang w:val="en-US"/>
        </w:rPr>
        <w:t>20</w:t>
      </w:r>
      <w:r>
        <w:rPr>
          <w:lang w:val="en-US"/>
        </w:rPr>
        <w:t xml:space="preserve"> [0.</w:t>
      </w:r>
      <w:r>
        <w:rPr>
          <w:lang w:val="en-US"/>
        </w:rPr>
        <w:t>14</w:t>
      </w:r>
      <w:r>
        <w:rPr>
          <w:lang w:val="en-US"/>
        </w:rPr>
        <w:t>-0.</w:t>
      </w:r>
      <w:r>
        <w:rPr>
          <w:lang w:val="en-US"/>
        </w:rPr>
        <w:t>26</w:t>
      </w:r>
      <w:r>
        <w:rPr>
          <w:lang w:val="en-US"/>
        </w:rPr>
        <w:t>]</w:t>
      </w:r>
    </w:p>
    <w:p>
      <w:pPr>
        <w:pStyle w:val="Normal"/>
        <w:rPr>
          <w:lang w:val="en-US"/>
        </w:rPr>
      </w:pPr>
      <w:r>
        <w:rPr>
          <w:lang w:val="en-US"/>
        </w:rPr>
      </w:r>
    </w:p>
    <w:p>
      <w:pPr>
        <w:pStyle w:val="Normal"/>
        <w:rPr>
          <w:lang w:val="en-US"/>
        </w:rPr>
      </w:pPr>
      <w:r>
        <w:rPr/>
      </w:r>
      <w:r>
        <w:br w:type="page"/>
      </w:r>
    </w:p>
    <w:p>
      <w:pPr>
        <w:pStyle w:val="Normal"/>
        <w:rPr>
          <w:lang w:val="en-US"/>
        </w:rPr>
      </w:pPr>
      <w:r>
        <w:rPr>
          <w:lang w:val="en-US"/>
        </w:rPr>
      </w:r>
    </w:p>
    <w:p>
      <w:pPr>
        <w:pStyle w:val="Normal"/>
        <w:rPr>
          <w:lang w:val="en-US"/>
        </w:rPr>
      </w:pPr>
      <w:r>
        <w:rPr>
          <w:lang w:val="en-US"/>
        </w:rPr>
      </w:r>
    </w:p>
    <w:p>
      <w:pPr>
        <w:pStyle w:val="Heading3"/>
        <w:rPr/>
      </w:pPr>
      <w:r>
        <w:rPr/>
        <w:t xml:space="preserve">4. </w:t>
      </w:r>
      <w:r>
        <w:rPr/>
        <w:t>CD11C</w:t>
      </w:r>
    </w:p>
    <w:p>
      <w:pPr>
        <w:pStyle w:val="Normal"/>
        <w:rPr>
          <w:lang w:val="en-US"/>
        </w:rPr>
      </w:pPr>
      <w:r>
        <w:rPr>
          <w:lang w:val="en-US"/>
        </w:rPr>
      </w:r>
    </w:p>
    <w:p>
      <w:pPr>
        <w:pStyle w:val="Normal"/>
        <w:rPr>
          <w:lang w:val="en-US"/>
        </w:rPr>
      </w:pPr>
      <w:r>
        <w:rPr>
          <w:lang w:val="en-US"/>
        </w:rPr>
      </w:r>
    </w:p>
    <w:p>
      <w:pPr>
        <w:pStyle w:val="Normal"/>
        <w:rPr/>
      </w:pPr>
      <w:r>
        <w:rPr/>
        <w:drawing>
          <wp:inline distT="0" distB="0" distL="0" distR="12700">
            <wp:extent cx="5727700" cy="5040630"/>
            <wp:effectExtent l="0" t="0" r="0" b="0"/>
            <wp:docPr id="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0" descr=""/>
                    <pic:cNvPicPr>
                      <a:picLocks noChangeAspect="1" noChangeArrowheads="1"/>
                    </pic:cNvPicPr>
                  </pic:nvPicPr>
                  <pic:blipFill>
                    <a:blip r:embed="rId6"/>
                    <a:stretch>
                      <a:fillRect/>
                    </a:stretch>
                  </pic:blipFill>
                  <pic:spPr bwMode="auto">
                    <a:xfrm>
                      <a:off x="0" y="0"/>
                      <a:ext cx="5727700" cy="504063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Here we may have an interation between time and type. T2 cells and WT cells respond differently over time.</w:t>
      </w:r>
    </w:p>
    <w:p>
      <w:pPr>
        <w:pStyle w:val="PreformattedText"/>
        <w:rPr>
          <w:color w:val="0000FF"/>
        </w:rPr>
      </w:pPr>
      <w:r>
        <w:rPr>
          <w:rFonts w:ascii="Ubuntu Mono" w:hAnsi="Ubuntu Mono"/>
          <w:sz w:val="21"/>
          <w:lang w:val="en-US"/>
        </w:rPr>
      </w:r>
    </w:p>
    <w:p>
      <w:pPr>
        <w:pStyle w:val="PreformattedText"/>
        <w:pBdr/>
        <w:spacing w:before="0" w:after="0"/>
        <w:ind w:left="0" w:right="0" w:hanging="0"/>
        <w:rPr/>
      </w:pPr>
      <w:r>
        <w:rPr/>
        <w:t xml:space="preserve">                    </w:t>
      </w:r>
      <w:r>
        <w:rPr>
          <w:rFonts w:ascii="Ubuntu Mono" w:hAnsi="Ubuntu Mono"/>
          <w:sz w:val="21"/>
        </w:rPr>
        <w:t>numDF denDF   F-value p-value</w:t>
      </w:r>
    </w:p>
    <w:p>
      <w:pPr>
        <w:pStyle w:val="PreformattedText"/>
        <w:pBdr/>
        <w:spacing w:before="0" w:after="0"/>
        <w:rPr>
          <w:rFonts w:ascii="Ubuntu Mono" w:hAnsi="Ubuntu Mono"/>
          <w:sz w:val="21"/>
        </w:rPr>
      </w:pPr>
      <w:r>
        <w:rPr>
          <w:rFonts w:ascii="Ubuntu Mono" w:hAnsi="Ubuntu Mono"/>
          <w:sz w:val="21"/>
        </w:rPr>
        <w:t>(Intercept)             1    19 2656.8587  &lt;.0001</w:t>
      </w:r>
    </w:p>
    <w:p>
      <w:pPr>
        <w:pStyle w:val="PreformattedText"/>
        <w:pBdr/>
        <w:spacing w:before="0" w:after="0"/>
        <w:rPr>
          <w:rFonts w:ascii="Ubuntu Mono" w:hAnsi="Ubuntu Mono"/>
          <w:sz w:val="21"/>
        </w:rPr>
      </w:pPr>
      <w:r>
        <w:rPr>
          <w:rFonts w:ascii="Ubuntu Mono" w:hAnsi="Ubuntu Mono"/>
          <w:sz w:val="21"/>
        </w:rPr>
        <w:t>type                    1     9    8.2129  0.0186</w:t>
      </w:r>
    </w:p>
    <w:p>
      <w:pPr>
        <w:pStyle w:val="PreformattedText"/>
        <w:pBdr/>
        <w:spacing w:before="0" w:after="0"/>
        <w:rPr>
          <w:rFonts w:ascii="Ubuntu Mono" w:hAnsi="Ubuntu Mono"/>
          <w:sz w:val="21"/>
        </w:rPr>
      </w:pPr>
      <w:r>
        <w:rPr>
          <w:rFonts w:ascii="Ubuntu Mono" w:hAnsi="Ubuntu Mono"/>
          <w:sz w:val="21"/>
        </w:rPr>
        <w:t>factor(period)          4    19   13.5725  &lt;.0001</w:t>
      </w:r>
    </w:p>
    <w:p>
      <w:pPr>
        <w:pStyle w:val="PreformattedText"/>
        <w:pBdr/>
        <w:spacing w:before="0" w:after="0"/>
        <w:rPr>
          <w:rFonts w:ascii="Ubuntu Mono" w:hAnsi="Ubuntu Mono"/>
          <w:sz w:val="21"/>
        </w:rPr>
      </w:pPr>
      <w:r>
        <w:rPr>
          <w:rFonts w:ascii="Ubuntu Mono" w:hAnsi="Ubuntu Mono"/>
          <w:sz w:val="21"/>
        </w:rPr>
        <w:t>type:factor(period)     4    19    5.6633  0.0036</w:t>
      </w:r>
    </w:p>
    <w:p>
      <w:pPr>
        <w:pStyle w:val="Normal"/>
        <w:rPr>
          <w:lang w:val="en-US"/>
        </w:rPr>
      </w:pPr>
      <w:r>
        <w:rPr>
          <w:lang w:val="en-US"/>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731510" cy="418084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4180840"/>
                    </a:xfrm>
                    <a:prstGeom prst="rect">
                      <a:avLst/>
                    </a:prstGeom>
                  </pic:spPr>
                </pic:pic>
              </a:graphicData>
            </a:graphic>
          </wp:anchor>
        </w:drawing>
      </w:r>
    </w:p>
    <w:p>
      <w:pPr>
        <w:pStyle w:val="Normal"/>
        <w:rPr>
          <w:lang w:val="en-US"/>
        </w:rPr>
      </w:pPr>
      <w:r>
        <w:rPr>
          <w:lang w:val="en-US"/>
        </w:rPr>
        <w:t>Confidence intervals for means:</w:t>
      </w:r>
    </w:p>
    <w:p>
      <w:pPr>
        <w:pStyle w:val="PreformattedText"/>
        <w:rPr>
          <w:lang w:val="en-US"/>
        </w:rPr>
      </w:pPr>
      <w:r>
        <w:rPr>
          <w:rFonts w:ascii="Ubuntu Mono" w:hAnsi="Ubuntu Mono"/>
          <w:sz w:val="21"/>
          <w:lang w:val="en-US"/>
        </w:rPr>
        <w:t xml:space="preserve">  </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05"/>
        <w:gridCol w:w="1805"/>
        <w:gridCol w:w="1805"/>
        <w:gridCol w:w="1805"/>
        <w:gridCol w:w="1806"/>
      </w:tblGrid>
      <w:tr>
        <w:trPr/>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period</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Estimate</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Lower</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upper</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0.05</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0.04</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0.05</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0.05</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0.05</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0.05</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0.04</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0.07</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0.02</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0.02</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0.03</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0.04</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So this is one where T2 and WT cells respond differently over time. Notice, though, that the proportions are an order of magnitude smaller than at the previous celltypes. If there is any measurement error, then that might affect these cells more than others. </w:t>
      </w:r>
      <w:r>
        <w:br w:type="page"/>
      </w:r>
    </w:p>
    <w:p>
      <w:pPr>
        <w:pStyle w:val="Heading2"/>
        <w:rPr/>
      </w:pPr>
      <w:r>
        <w:rPr>
          <w:lang w:val="en-US"/>
        </w:rPr>
        <w:t xml:space="preserve">5. </w:t>
      </w:r>
      <w:r>
        <w:rPr>
          <w:lang w:val="en-US"/>
        </w:rPr>
        <w:t>CD11b</w:t>
      </w:r>
    </w:p>
    <w:p>
      <w:pPr>
        <w:pStyle w:val="Normal"/>
        <w:rPr>
          <w:lang w:val="en-US"/>
        </w:rPr>
      </w:pPr>
      <w:r>
        <w:rPr>
          <w:lang w:val="en-US"/>
        </w:rPr>
        <w:drawing>
          <wp:anchor behindDoc="0" distT="0" distB="0" distL="0" distR="0" simplePos="0" locked="0" layoutInCell="1" allowOverlap="1" relativeHeight="39">
            <wp:simplePos x="0" y="0"/>
            <wp:positionH relativeFrom="column">
              <wp:posOffset>0</wp:posOffset>
            </wp:positionH>
            <wp:positionV relativeFrom="paragraph">
              <wp:posOffset>111125</wp:posOffset>
            </wp:positionV>
            <wp:extent cx="5731510" cy="415099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731510" cy="4150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0">
            <wp:simplePos x="0" y="0"/>
            <wp:positionH relativeFrom="column">
              <wp:posOffset>0</wp:posOffset>
            </wp:positionH>
            <wp:positionV relativeFrom="paragraph">
              <wp:posOffset>635</wp:posOffset>
            </wp:positionV>
            <wp:extent cx="5731510" cy="424434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4244340"/>
                    </a:xfrm>
                    <a:prstGeom prst="rect">
                      <a:avLst/>
                    </a:prstGeom>
                  </pic:spPr>
                </pic:pic>
              </a:graphicData>
            </a:graphic>
          </wp:anchor>
        </w:drawing>
      </w:r>
    </w:p>
    <w:p>
      <w:pPr>
        <w:pStyle w:val="Normal"/>
        <w:rPr/>
      </w:pPr>
      <w:r>
        <w:rPr/>
      </w:r>
    </w:p>
    <w:p>
      <w:pPr>
        <w:pStyle w:val="Normal"/>
        <w:rPr/>
      </w:pPr>
      <w:r>
        <w:rPr/>
      </w:r>
    </w:p>
    <w:p>
      <w:pPr>
        <w:pStyle w:val="Normal"/>
        <w:rPr/>
      </w:pPr>
      <w:r>
        <w:rPr/>
        <w:t xml:space="preserve">There seem to be more T2 cells, but there is a lot of overlap, and we have no evidence for a difference. Both types of cells respond over time in the same way. </w:t>
      </w:r>
      <w:r>
        <w:br w:type="page"/>
      </w:r>
    </w:p>
    <w:p>
      <w:pPr>
        <w:pStyle w:val="Heading2"/>
        <w:rPr/>
      </w:pPr>
      <w:r>
        <w:rPr>
          <w:lang w:val="en-US"/>
        </w:rPr>
        <w:t xml:space="preserve">6. </w:t>
      </w:r>
      <w:r>
        <w:rPr>
          <w:lang w:val="en-US"/>
        </w:rPr>
        <w:t>mMDSCs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drawing>
          <wp:inline distT="0" distB="0" distL="0" distR="12700">
            <wp:extent cx="5727700" cy="5186680"/>
            <wp:effectExtent l="0" t="0" r="0" b="0"/>
            <wp:docPr id="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descr=""/>
                    <pic:cNvPicPr>
                      <a:picLocks noChangeAspect="1" noChangeArrowheads="1"/>
                    </pic:cNvPicPr>
                  </pic:nvPicPr>
                  <pic:blipFill>
                    <a:blip r:embed="rId10"/>
                    <a:stretch>
                      <a:fillRect/>
                    </a:stretch>
                  </pic:blipFill>
                  <pic:spPr bwMode="auto">
                    <a:xfrm>
                      <a:off x="0" y="0"/>
                      <a:ext cx="5727700" cy="518668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731510" cy="419671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731510" cy="41967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t>Here we have some evidence for an interaction between time and type.</w:t>
      </w:r>
    </w:p>
    <w:p>
      <w:pPr>
        <w:pStyle w:val="Normal"/>
        <w:rPr>
          <w:lang w:val="en-US"/>
        </w:rPr>
      </w:pPr>
      <w:r>
        <w:rPr>
          <w:lang w:val="en-US"/>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05"/>
        <w:gridCol w:w="1805"/>
        <w:gridCol w:w="1805"/>
        <w:gridCol w:w="1805"/>
        <w:gridCol w:w="1806"/>
      </w:tblGrid>
      <w:tr>
        <w:trPr/>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Type</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Time</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Estimate</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Lower</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b/>
                <w:b/>
                <w:bCs/>
              </w:rPr>
            </w:pPr>
            <w:r>
              <w:rPr>
                <w:b/>
                <w:bCs/>
              </w:rPr>
              <w:t>upper</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0.03</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0.07</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0.02</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0.06</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0.11</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0.06</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0.13</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0.04</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0.10</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0.05</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0.07</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0.00</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0.01</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0.08</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0.05</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0.13</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0.06</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0.10</w:t>
            </w:r>
          </w:p>
        </w:tc>
      </w:tr>
    </w:tbl>
    <w:p>
      <w:pPr>
        <w:pStyle w:val="Normal"/>
        <w:rPr>
          <w:lang w:val="en-US"/>
        </w:rPr>
      </w:pPr>
      <w:r>
        <w:rPr>
          <w:lang w:val="en-US"/>
        </w:rPr>
      </w:r>
      <w:r>
        <w:br w:type="page"/>
      </w:r>
    </w:p>
    <w:p>
      <w:pPr>
        <w:pStyle w:val="Heading2"/>
        <w:rPr/>
      </w:pPr>
      <w:r>
        <w:rPr>
          <w:lang w:val="en-US"/>
        </w:rPr>
        <w:t xml:space="preserve">7. </w:t>
      </w:r>
      <w:r>
        <w:rPr>
          <w:lang w:val="en-US"/>
        </w:rPr>
        <w:t>gMDSCs</w:t>
      </w:r>
    </w:p>
    <w:p>
      <w:pPr>
        <w:pStyle w:val="Normal"/>
        <w:rPr>
          <w:lang w:val="en-US"/>
        </w:rPr>
      </w:pPr>
      <w:r>
        <w:rPr>
          <w:lang w:val="en-US"/>
        </w:rPr>
      </w:r>
    </w:p>
    <w:p>
      <w:pPr>
        <w:pStyle w:val="Normal"/>
        <w:rPr/>
      </w:pPr>
      <w:r>
        <w:rPr/>
        <w:drawing>
          <wp:inline distT="0" distB="12700" distL="0" distR="12700">
            <wp:extent cx="5727700" cy="5092700"/>
            <wp:effectExtent l="0" t="0" r="0" b="0"/>
            <wp:docPr id="1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
                    <pic:cNvPicPr>
                      <a:picLocks noChangeAspect="1" noChangeArrowheads="1"/>
                    </pic:cNvPicPr>
                  </pic:nvPicPr>
                  <pic:blipFill>
                    <a:blip r:embed="rId12"/>
                    <a:stretch>
                      <a:fillRect/>
                    </a:stretch>
                  </pic:blipFill>
                  <pic:spPr bwMode="auto">
                    <a:xfrm>
                      <a:off x="0" y="0"/>
                      <a:ext cx="5727700" cy="50927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Normal"/>
        <w:rPr>
          <w:lang w:val="en-US"/>
        </w:rPr>
      </w:pPr>
      <w:r>
        <w:rPr>
          <w:lang w:val="en-US"/>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05"/>
        <w:gridCol w:w="1805"/>
        <w:gridCol w:w="1805"/>
        <w:gridCol w:w="1805"/>
        <w:gridCol w:w="1806"/>
      </w:tblGrid>
      <w:tr>
        <w:trPr/>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Type</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Period</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Estimate</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Lower</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b/>
                <w:b/>
                <w:bCs/>
              </w:rPr>
            </w:pPr>
            <w:r>
              <w:rPr>
                <w:b/>
                <w:bCs/>
              </w:rPr>
              <w:t>upper</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0.16</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0.10</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0.24</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0.26</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0.15</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0.35</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0.28</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0.18</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0.40</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0.25</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0.15</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0.37</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0.29</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0.38</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0.30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0.40</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0.40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0.29</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0.51</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0.45</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0.33</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0.56</w:t>
            </w:r>
          </w:p>
        </w:tc>
      </w:tr>
      <w:tr>
        <w:trPr/>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0.41</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0.29</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0.54</w:t>
            </w:r>
          </w:p>
        </w:tc>
      </w:tr>
    </w:tbl>
    <w:p>
      <w:pPr>
        <w:pStyle w:val="Normal"/>
        <w:rPr/>
      </w:pPr>
      <w:r>
        <w:rPr/>
      </w:r>
    </w:p>
    <w:p>
      <w:pPr>
        <w:pStyle w:val="PreformattedText"/>
        <w:rPr>
          <w:lang w:val="en-US"/>
        </w:rPr>
      </w:pPr>
      <w:r>
        <w:rPr>
          <w:lang w:val="en-US"/>
        </w:rPr>
        <w:t xml:space="preserve"> </w:t>
      </w:r>
      <w:r>
        <w:br w:type="page"/>
      </w:r>
    </w:p>
    <w:p>
      <w:pPr>
        <w:pStyle w:val="Normal"/>
        <w:rPr>
          <w:lang w:val="en-US"/>
        </w:rPr>
      </w:pPr>
      <w:r>
        <w:rPr>
          <w:lang w:val="en-US"/>
        </w:rPr>
      </w:r>
    </w:p>
    <w:p>
      <w:pPr>
        <w:pStyle w:val="Heading2"/>
        <w:rPr/>
      </w:pPr>
      <w:r>
        <w:rPr>
          <w:lang w:val="en-US"/>
        </w:rPr>
        <w:t xml:space="preserve">8. </w:t>
      </w:r>
      <w:r>
        <w:rPr>
          <w:lang w:val="en-US"/>
        </w:rPr>
        <w:t>intMDSCs</w:t>
      </w:r>
    </w:p>
    <w:p>
      <w:pPr>
        <w:pStyle w:val="Normal"/>
        <w:rPr>
          <w:lang w:val="en-US"/>
        </w:rPr>
      </w:pPr>
      <w:r>
        <w:rPr>
          <w:lang w:val="en-US"/>
        </w:rPr>
      </w:r>
    </w:p>
    <w:p>
      <w:pPr>
        <w:pStyle w:val="Normal"/>
        <w:rPr>
          <w:lang w:val="en-US"/>
        </w:rPr>
      </w:pPr>
      <w:r>
        <w:rPr>
          <w:lang w:val="en-US"/>
        </w:rPr>
      </w:r>
    </w:p>
    <w:p>
      <w:pPr>
        <w:pStyle w:val="Normal"/>
        <w:rPr/>
      </w:pPr>
      <w:r>
        <w:rPr/>
        <w:drawing>
          <wp:inline distT="0" distB="8255" distL="0" distR="12700">
            <wp:extent cx="5727700" cy="5097145"/>
            <wp:effectExtent l="0" t="0" r="0" b="0"/>
            <wp:docPr id="1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descr=""/>
                    <pic:cNvPicPr>
                      <a:picLocks noChangeAspect="1" noChangeArrowheads="1"/>
                    </pic:cNvPicPr>
                  </pic:nvPicPr>
                  <pic:blipFill>
                    <a:blip r:embed="rId13"/>
                    <a:stretch>
                      <a:fillRect/>
                    </a:stretch>
                  </pic:blipFill>
                  <pic:spPr bwMode="auto">
                    <a:xfrm>
                      <a:off x="0" y="0"/>
                      <a:ext cx="5727700" cy="509714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731510" cy="41338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731510" cy="413385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There is no evidence here for a difference between the two cell types, and they both vary very slightly over time. </w:t>
      </w:r>
    </w:p>
    <w:p>
      <w:pPr>
        <w:pStyle w:val="Normal"/>
        <w:rPr>
          <w:lang w:val="en-US"/>
        </w:rPr>
      </w:pPr>
      <w:r>
        <w:rPr>
          <w:lang w:val="en-US"/>
        </w:rPr>
      </w:r>
    </w:p>
    <w:p>
      <w:pPr>
        <w:pStyle w:val="PreformattedText"/>
        <w:rPr>
          <w:rFonts w:ascii="Ubuntu Mono" w:hAnsi="Ubuntu Mono"/>
          <w:sz w:val="21"/>
        </w:rPr>
      </w:pPr>
      <w:r>
        <w:rPr>
          <w:rFonts w:ascii="Ubuntu Mono" w:hAnsi="Ubuntu Mono"/>
          <w:color w:val="0000FF"/>
          <w:sz w:val="21"/>
        </w:rPr>
        <w:t xml:space="preserve"> </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23"/>
        <w:gridCol w:w="1687"/>
        <w:gridCol w:w="1805"/>
        <w:gridCol w:w="1805"/>
        <w:gridCol w:w="1806"/>
      </w:tblGrid>
      <w:tr>
        <w:trPr/>
        <w:tc>
          <w:tcPr>
            <w:tcW w:w="192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Type</w:t>
            </w:r>
          </w:p>
        </w:tc>
        <w:tc>
          <w:tcPr>
            <w:tcW w:w="168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Period</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Estimate</w:t>
            </w:r>
          </w:p>
        </w:tc>
        <w:tc>
          <w:tcPr>
            <w:tcW w:w="18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rPr>
            </w:pPr>
            <w:r>
              <w:rPr>
                <w:b/>
                <w:bCs/>
              </w:rPr>
              <w:t>Low</w:t>
            </w:r>
          </w:p>
        </w:tc>
        <w:tc>
          <w:tcPr>
            <w:tcW w:w="18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b/>
                <w:b/>
                <w:bCs/>
              </w:rPr>
            </w:pPr>
            <w:r>
              <w:rPr>
                <w:b/>
                <w:bCs/>
              </w:rPr>
              <w:t>upp</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w:t>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0.05</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0.03</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0.02</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0.04</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0.04</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T2</w:t>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0.03</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0.02</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10</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0.02</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17</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0.03</w:t>
            </w:r>
          </w:p>
        </w:tc>
      </w:tr>
      <w:tr>
        <w:trPr/>
        <w:tc>
          <w:tcPr>
            <w:tcW w:w="192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168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24</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0.02</w:t>
            </w:r>
          </w:p>
        </w:tc>
        <w:tc>
          <w:tcPr>
            <w:tcW w:w="180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0.01</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0.03</w:t>
            </w:r>
          </w:p>
        </w:tc>
      </w:tr>
    </w:tbl>
    <w:p>
      <w:pPr>
        <w:pStyle w:val="Normal"/>
        <w:rPr>
          <w:lang w:val="en-US"/>
        </w:rPr>
      </w:pPr>
      <w:r>
        <w:rPr>
          <w:lang w:val="en-US"/>
        </w:rPr>
      </w:r>
    </w:p>
    <w:p>
      <w:pPr>
        <w:pStyle w:val="PreformattedText"/>
        <w:rPr>
          <w:lang w:val="en-US"/>
        </w:rPr>
      </w:pPr>
      <w:r>
        <w:rPr>
          <w:color w:val="0000FF"/>
          <w:lang w:val="en-US"/>
        </w:rPr>
        <w:t xml:space="preserve"> </w:t>
      </w:r>
      <w:r>
        <w:br w:type="page"/>
      </w:r>
    </w:p>
    <w:p>
      <w:pPr>
        <w:pStyle w:val="Normal"/>
        <w:rPr>
          <w:lang w:val="en-US"/>
        </w:rPr>
      </w:pPr>
      <w:r>
        <w:rPr>
          <w:lang w:val="en-US"/>
        </w:rPr>
      </w:r>
    </w:p>
    <w:p>
      <w:pPr>
        <w:pStyle w:val="Heading2"/>
        <w:rPr/>
      </w:pPr>
      <w:r>
        <w:rPr>
          <w:lang w:val="en-US"/>
        </w:rPr>
        <w:t xml:space="preserve">9. </w:t>
      </w:r>
      <w:r>
        <w:rPr>
          <w:lang w:val="en-US"/>
        </w:rPr>
        <w:t>MDSCSs_MHCII</w:t>
      </w:r>
    </w:p>
    <w:p>
      <w:pPr>
        <w:pStyle w:val="Normal"/>
        <w:rPr>
          <w:lang w:val="en-US"/>
        </w:rPr>
      </w:pPr>
      <w:r>
        <w:rPr>
          <w:lang w:val="en-US"/>
        </w:rPr>
      </w:r>
    </w:p>
    <w:p>
      <w:pPr>
        <w:pStyle w:val="Normal"/>
        <w:rPr/>
      </w:pPr>
      <w:r>
        <w:rPr/>
        <w:drawing>
          <wp:inline distT="0" distB="0" distL="0" distR="12700">
            <wp:extent cx="5727700" cy="6031865"/>
            <wp:effectExtent l="0" t="0" r="0" b="0"/>
            <wp:docPr id="1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4" descr=""/>
                    <pic:cNvPicPr>
                      <a:picLocks noChangeAspect="1" noChangeArrowheads="1"/>
                    </pic:cNvPicPr>
                  </pic:nvPicPr>
                  <pic:blipFill>
                    <a:blip r:embed="rId15"/>
                    <a:stretch>
                      <a:fillRect/>
                    </a:stretch>
                  </pic:blipFill>
                  <pic:spPr bwMode="auto">
                    <a:xfrm>
                      <a:off x="0" y="0"/>
                      <a:ext cx="5727700" cy="603186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731510" cy="413385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5731510" cy="413385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t>The cell counts here are very low, note the scale on the y-axis. We do have some evidence for an interaction. It appears that WT increase ever so slightly over time, but T2’s do not</w:t>
      </w:r>
      <w:r>
        <w:br w:type="page"/>
      </w:r>
    </w:p>
    <w:p>
      <w:pPr>
        <w:pStyle w:val="Heading2"/>
        <w:rPr/>
      </w:pPr>
      <w:r>
        <w:rPr>
          <w:lang w:val="en-US"/>
        </w:rPr>
        <w:t xml:space="preserve">10. </w:t>
      </w:r>
      <w:r>
        <w:rPr>
          <w:lang w:val="en-US"/>
        </w:rPr>
        <w:t>gMDSCs_MHCII</w:t>
      </w:r>
    </w:p>
    <w:p>
      <w:pPr>
        <w:pStyle w:val="Normal"/>
        <w:rPr>
          <w:lang w:val="en-US"/>
        </w:rPr>
      </w:pPr>
      <w:r>
        <w:rPr>
          <w:lang w:val="en-US"/>
        </w:rPr>
      </w:r>
    </w:p>
    <w:p>
      <w:pPr>
        <w:pStyle w:val="Normal"/>
        <w:rPr>
          <w:lang w:val="en-US"/>
        </w:rPr>
      </w:pPr>
      <w:r>
        <w:rPr>
          <w:lang w:val="en-US"/>
        </w:rPr>
      </w:r>
    </w:p>
    <w:p>
      <w:pPr>
        <w:pStyle w:val="Normal"/>
        <w:rPr/>
      </w:pPr>
      <w:r>
        <w:rPr/>
        <w:drawing>
          <wp:inline distT="0" distB="5080" distL="0" distR="12700">
            <wp:extent cx="5727700" cy="7995920"/>
            <wp:effectExtent l="0" t="0" r="0" b="0"/>
            <wp:docPr id="1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5" descr=""/>
                    <pic:cNvPicPr>
                      <a:picLocks noChangeAspect="1" noChangeArrowheads="1"/>
                    </pic:cNvPicPr>
                  </pic:nvPicPr>
                  <pic:blipFill>
                    <a:blip r:embed="rId17"/>
                    <a:stretch>
                      <a:fillRect/>
                    </a:stretch>
                  </pic:blipFill>
                  <pic:spPr bwMode="auto">
                    <a:xfrm>
                      <a:off x="0" y="0"/>
                      <a:ext cx="5727700" cy="799592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731510" cy="41605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8"/>
                    <a:stretch>
                      <a:fillRect/>
                    </a:stretch>
                  </pic:blipFill>
                  <pic:spPr bwMode="auto">
                    <a:xfrm>
                      <a:off x="0" y="0"/>
                      <a:ext cx="5731510" cy="416052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The two cell types behave pretty much identically. </w:t>
      </w:r>
      <w:r>
        <w:br w:type="page"/>
      </w:r>
    </w:p>
    <w:p>
      <w:pPr>
        <w:pStyle w:val="Normal"/>
        <w:rPr>
          <w:lang w:val="en-US"/>
        </w:rPr>
      </w:pPr>
      <w:r>
        <w:rPr>
          <w:lang w:val="en-US"/>
        </w:rPr>
      </w:r>
    </w:p>
    <w:p>
      <w:pPr>
        <w:pStyle w:val="Heading2"/>
        <w:rPr/>
      </w:pPr>
      <w:r>
        <w:rPr>
          <w:lang w:val="en-US"/>
        </w:rPr>
        <w:t xml:space="preserve">11. </w:t>
      </w:r>
      <w:r>
        <w:rPr>
          <w:lang w:val="en-US"/>
        </w:rPr>
        <w:t>intMDSCs_MHCII</w:t>
      </w:r>
    </w:p>
    <w:p>
      <w:pPr>
        <w:pStyle w:val="Normal"/>
        <w:rPr>
          <w:lang w:val="en-US"/>
        </w:rPr>
      </w:pPr>
      <w:r>
        <w:rPr>
          <w:lang w:val="en-US"/>
        </w:rPr>
      </w:r>
    </w:p>
    <w:p>
      <w:pPr>
        <w:pStyle w:val="Normal"/>
        <w:rPr/>
      </w:pPr>
      <w:r>
        <w:rPr/>
        <w:drawing>
          <wp:inline distT="0" distB="0" distL="0" distR="12700">
            <wp:extent cx="5727700" cy="7904480"/>
            <wp:effectExtent l="0" t="0" r="0" b="0"/>
            <wp:docPr id="1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6" descr=""/>
                    <pic:cNvPicPr>
                      <a:picLocks noChangeAspect="1" noChangeArrowheads="1"/>
                    </pic:cNvPicPr>
                  </pic:nvPicPr>
                  <pic:blipFill>
                    <a:blip r:embed="rId19"/>
                    <a:stretch>
                      <a:fillRect/>
                    </a:stretch>
                  </pic:blipFill>
                  <pic:spPr bwMode="auto">
                    <a:xfrm>
                      <a:off x="0" y="0"/>
                      <a:ext cx="5727700" cy="790448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r>
    </w:p>
    <w:p>
      <w:pPr>
        <w:pStyle w:val="Normal"/>
        <w:rPr>
          <w:lang w:val="en-US"/>
        </w:rPr>
      </w:pPr>
      <w:r>
        <w:rPr>
          <w:lang w:val="en-US"/>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31510" cy="417322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5731510" cy="417322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lang w:val="en-US"/>
        </w:rPr>
        <w:t>There is a difference between the types, and it is pretty much constant over time. Nothing happens after day zero.</w:t>
      </w:r>
    </w:p>
    <w:sectPr>
      <w:footerReference w:type="default" r:id="rId21"/>
      <w:type w:val="nextPage"/>
      <w:pgSz w:w="11906" w:h="16838"/>
      <w:pgMar w:left="1440" w:right="1440" w:header="0"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Ubuntu Mono">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r>
    <w:r>
      <mc:AlternateContent>
        <mc:Choice Requires="wps">
          <w:drawing>
            <wp:anchor behindDoc="0" distT="0" distB="0" distL="0" distR="0" simplePos="0" locked="0" layoutInCell="1" allowOverlap="1" relativeHeight="36">
              <wp:simplePos x="0" y="0"/>
              <wp:positionH relativeFrom="margin">
                <wp:align>right</wp:align>
              </wp:positionH>
              <wp:positionV relativeFrom="paragraph">
                <wp:posOffset>635</wp:posOffset>
              </wp:positionV>
              <wp:extent cx="194310" cy="177800"/>
              <wp:effectExtent l="0" t="0" r="0" b="0"/>
              <wp:wrapTopAndBottom/>
              <wp:docPr id="20" name="Frame1"/>
              <a:graphic xmlns:a="http://schemas.openxmlformats.org/drawingml/2006/main">
                <a:graphicData uri="http://schemas.microsoft.com/office/word/2010/wordprocessingShape">
                  <wps:wsp>
                    <wps:cNvSpPr txBox="1"/>
                    <wps:spPr>
                      <a:xfrm>
                        <a:off x="0" y="0"/>
                        <a:ext cx="194310" cy="177800"/>
                      </a:xfrm>
                      <a:prstGeom prst="rect"/>
                      <a:solidFill>
                        <a:srgbClr val="FFFFFF">
                          <a:alpha val="0"/>
                        </a:srgbClr>
                      </a:solidFill>
                    </wps:spPr>
                    <wps:txbx>
                      <w:txbxContent>
                        <w:p>
                          <w:pPr>
                            <w:pStyle w:val="Footer"/>
                            <w:pBdr/>
                            <w:rPr/>
                          </w:pPr>
                          <w:r>
                            <w:rPr>
                              <w:rStyle w:val="Pagenumber"/>
                            </w:rPr>
                            <w:fldChar w:fldCharType="begin"/>
                          </w:r>
                          <w:r>
                            <w:instrText> PAGE </w:instrText>
                          </w:r>
                          <w:r>
                            <w:fldChar w:fldCharType="separate"/>
                          </w:r>
                          <w:r>
                            <w:t>25</w:t>
                          </w:r>
                          <w:r>
                            <w:fldChar w:fldCharType="end"/>
                          </w:r>
                        </w:p>
                      </w:txbxContent>
                    </wps:txbx>
                    <wps:bodyPr anchor="t" lIns="0" tIns="0" rIns="0" bIns="0">
                      <a:spAutoFit/>
                    </wps:bodyPr>
                  </wps:wsp>
                </a:graphicData>
              </a:graphic>
            </wp:anchor>
          </w:drawing>
        </mc:Choice>
        <mc:Fallback>
          <w:pict>
            <v:rect fillcolor="#FFFFFF" style="position:absolute;rotation:0;width:15.3pt;height:14pt;mso-wrap-distance-left:0pt;mso-wrap-distance-right:0pt;mso-wrap-distance-top:0pt;mso-wrap-distance-bottom:0pt;margin-top:0.05pt;mso-position-vertical-relative:text;margin-left:436pt;mso-position-horizontal:right;mso-position-horizontal-relative:margin">
              <v:fill opacity="0f"/>
              <v:textbox inset="0in,0in,0in,0in">
                <w:txbxContent>
                  <w:p>
                    <w:pPr>
                      <w:pStyle w:val="Footer"/>
                      <w:pBdr/>
                      <w:rPr/>
                    </w:pPr>
                    <w:r>
                      <w:rPr>
                        <w:rStyle w:val="Pagenumber"/>
                      </w:rPr>
                      <w:fldChar w:fldCharType="begin"/>
                    </w:r>
                    <w:r>
                      <w:instrText> PAGE </w:instrText>
                    </w:r>
                    <w:r>
                      <w:fldChar w:fldCharType="separate"/>
                    </w:r>
                    <w:r>
                      <w:t>25</w:t>
                    </w:r>
                    <w:r>
                      <w:fldChar w:fldCharType="end"/>
                    </w:r>
                  </w:p>
                </w:txbxContent>
              </v:textbox>
              <w10:wrap type="topAndBottom"/>
            </v:rect>
          </w:pict>
        </mc:Fallback>
      </mc:AlternateContent>
    </w:r>
  </w:p>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GB"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GB" w:eastAsia="en-US" w:bidi="ar-SA"/>
    </w:rPr>
  </w:style>
  <w:style w:type="paragraph" w:styleId="Heading1">
    <w:name w:val="Heading 1"/>
    <w:basedOn w:val="Normal"/>
    <w:next w:val="Normal"/>
    <w:link w:val="Heading1Char"/>
    <w:uiPriority w:val="9"/>
    <w:qFormat/>
    <w:rsid w:val="00052cdc"/>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df2218"/>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530fd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lang w:val="en-U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52cdc"/>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df2218"/>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530fde"/>
    <w:rPr>
      <w:rFonts w:ascii="Calibri Light" w:hAnsi="Calibri Light" w:eastAsia="" w:cs="" w:asciiTheme="majorHAnsi" w:cstheme="majorBidi" w:eastAsiaTheme="majorEastAsia" w:hAnsiTheme="majorHAnsi"/>
      <w:color w:val="1F3763" w:themeColor="accent1" w:themeShade="7f"/>
      <w:lang w:val="en-US"/>
    </w:rPr>
  </w:style>
  <w:style w:type="character" w:styleId="FooterChar" w:customStyle="1">
    <w:name w:val="Footer Char"/>
    <w:basedOn w:val="DefaultParagraphFont"/>
    <w:link w:val="Footer"/>
    <w:uiPriority w:val="99"/>
    <w:qFormat/>
    <w:rsid w:val="008c555e"/>
    <w:rPr/>
  </w:style>
  <w:style w:type="character" w:styleId="Pagenumber">
    <w:name w:val="page number"/>
    <w:basedOn w:val="DefaultParagraphFont"/>
    <w:uiPriority w:val="99"/>
    <w:semiHidden/>
    <w:unhideWhenUsed/>
    <w:qFormat/>
    <w:rsid w:val="008c555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f39f7"/>
    <w:pPr>
      <w:spacing w:before="0" w:after="0"/>
      <w:ind w:left="720" w:hanging="0"/>
      <w:contextualSpacing/>
    </w:pPr>
    <w:rPr/>
  </w:style>
  <w:style w:type="paragraph" w:styleId="Footer">
    <w:name w:val="Footer"/>
    <w:basedOn w:val="Normal"/>
    <w:link w:val="FooterChar"/>
    <w:uiPriority w:val="99"/>
    <w:unhideWhenUsed/>
    <w:rsid w:val="008c555e"/>
    <w:pPr>
      <w:tabs>
        <w:tab w:val="center" w:pos="4513" w:leader="none"/>
        <w:tab w:val="right" w:pos="9026"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90ee8"/>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Application>LibreOffice/5.4.6.2$Linux_X86_64 LibreOffice_project/40m0$Build-2</Application>
  <Pages>25</Pages>
  <Words>1137</Words>
  <Characters>5071</Characters>
  <CharactersWithSpaces>6057</CharactersWithSpaces>
  <Paragraphs>359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2020-01-05T22:31:00Z</dcterms:created>
  <dc:creator>Michel de Lange</dc:creator>
  <dc:description/>
  <dc:language>en-NZ</dc:language>
  <cp:lastModifiedBy/>
  <cp:lastPrinted>2020-01-08T00:45:00Z</cp:lastPrinted>
  <dcterms:modified xsi:type="dcterms:W3CDTF">2020-01-30T15:44:55Z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