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747E7" w14:textId="0AC353CB" w:rsidR="00607330" w:rsidRPr="00607330" w:rsidRDefault="00607330" w:rsidP="00607330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</w:p>
    <w:p w14:paraId="19C87DC7" w14:textId="136975A7" w:rsidR="00607330" w:rsidRDefault="005A32AE" w:rsidP="00FE7F68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b/>
          <w:bCs/>
          <w:noProof/>
          <w:sz w:val="24"/>
        </w:rPr>
        <w:drawing>
          <wp:anchor distT="0" distB="0" distL="114300" distR="114300" simplePos="0" relativeHeight="251658240" behindDoc="0" locked="0" layoutInCell="1" allowOverlap="1" wp14:anchorId="68055F68" wp14:editId="43A058B3">
            <wp:simplePos x="0" y="0"/>
            <wp:positionH relativeFrom="margin">
              <wp:align>center</wp:align>
            </wp:positionH>
            <wp:positionV relativeFrom="paragraph">
              <wp:posOffset>290830</wp:posOffset>
            </wp:positionV>
            <wp:extent cx="3573780" cy="3585210"/>
            <wp:effectExtent l="0" t="0" r="7620" b="0"/>
            <wp:wrapTopAndBottom/>
            <wp:docPr id="8371200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20095" name="图片 8371200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869CC" w14:textId="6D8180B3" w:rsidR="00262E48" w:rsidRDefault="00262E48" w:rsidP="00FE7F68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</w:p>
    <w:p w14:paraId="0747C1AE" w14:textId="77777777" w:rsidR="00E0387A" w:rsidRDefault="00E0387A" w:rsidP="00FE7F68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</w:p>
    <w:p w14:paraId="7303CF5E" w14:textId="06C323F9" w:rsidR="00262E48" w:rsidRDefault="00000000" w:rsidP="00FE7F68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hint="eastAsia"/>
          <w:noProof/>
        </w:rPr>
        <w:pict w14:anchorId="5E244E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s2050" type="#_x0000_t75" style="position:absolute;margin-left:50.55pt;margin-top:22.4pt;width:329.3pt;height:51.05pt;z-index:251660288;mso-position-horizontal-relative:text;mso-position-vertical-relative:text;mso-width-relative:page;mso-height-relative:page">
            <v:imagedata r:id="rId8" o:title="~J8SABDP(%$D[VNSSE{_@GA" gain="2.5" blacklevel="1966f" grayscale="t" bilevel="t"/>
            <w10:wrap type="topAndBottom"/>
          </v:shape>
        </w:pict>
      </w:r>
    </w:p>
    <w:p w14:paraId="417DEA11" w14:textId="77777777" w:rsidR="006C49C8" w:rsidRDefault="006C49C8" w:rsidP="006C49C8">
      <w:pPr>
        <w:spacing w:after="0" w:line="360" w:lineRule="auto"/>
        <w:ind w:firstLineChars="800" w:firstLine="1928"/>
        <w:rPr>
          <w:rFonts w:ascii="宋体" w:eastAsia="宋体" w:hAnsi="宋体" w:hint="eastAsia"/>
          <w:b/>
          <w:bCs/>
          <w:sz w:val="24"/>
        </w:rPr>
      </w:pPr>
    </w:p>
    <w:p w14:paraId="31DB0271" w14:textId="77777777" w:rsidR="006C49C8" w:rsidRDefault="006C49C8" w:rsidP="006C49C8">
      <w:pPr>
        <w:spacing w:after="0" w:line="360" w:lineRule="auto"/>
        <w:ind w:firstLineChars="800" w:firstLine="1928"/>
        <w:rPr>
          <w:rFonts w:ascii="宋体" w:eastAsia="宋体" w:hAnsi="宋体" w:hint="eastAsia"/>
          <w:b/>
          <w:bCs/>
          <w:sz w:val="24"/>
        </w:rPr>
      </w:pPr>
    </w:p>
    <w:p w14:paraId="7FE4C76A" w14:textId="77777777" w:rsidR="00E0387A" w:rsidRDefault="00E0387A" w:rsidP="006C49C8">
      <w:pPr>
        <w:spacing w:after="0" w:line="360" w:lineRule="auto"/>
        <w:ind w:firstLineChars="800" w:firstLine="1928"/>
        <w:rPr>
          <w:rFonts w:ascii="宋体" w:eastAsia="宋体" w:hAnsi="宋体" w:hint="eastAsia"/>
          <w:b/>
          <w:bCs/>
          <w:sz w:val="24"/>
        </w:rPr>
      </w:pPr>
    </w:p>
    <w:p w14:paraId="3286D570" w14:textId="4E9C2D9E" w:rsidR="006C49C8" w:rsidRPr="006C49C8" w:rsidRDefault="006C49C8" w:rsidP="00837CAC">
      <w:pPr>
        <w:spacing w:after="0" w:line="360" w:lineRule="auto"/>
        <w:ind w:firstLineChars="400" w:firstLine="1124"/>
        <w:rPr>
          <w:rFonts w:ascii="黑体" w:eastAsia="黑体" w:hAnsi="黑体" w:hint="eastAsia"/>
          <w:b/>
          <w:bCs/>
          <w:sz w:val="28"/>
          <w:szCs w:val="28"/>
        </w:rPr>
      </w:pPr>
      <w:r w:rsidRPr="006C49C8">
        <w:rPr>
          <w:rFonts w:ascii="黑体" w:eastAsia="黑体" w:hAnsi="黑体" w:hint="eastAsia"/>
          <w:b/>
          <w:bCs/>
          <w:sz w:val="28"/>
          <w:szCs w:val="28"/>
        </w:rPr>
        <w:t>课程名称：</w:t>
      </w:r>
      <w:r w:rsidR="00F04A8E">
        <w:rPr>
          <w:rFonts w:ascii="黑体" w:eastAsia="黑体" w:hAnsi="黑体"/>
          <w:b/>
          <w:bCs/>
          <w:sz w:val="28"/>
          <w:szCs w:val="28"/>
        </w:rPr>
        <w:tab/>
      </w:r>
      <w:r w:rsidR="00F04A8E">
        <w:rPr>
          <w:rFonts w:ascii="黑体" w:eastAsia="黑体" w:hAnsi="黑体"/>
          <w:b/>
          <w:bCs/>
          <w:sz w:val="28"/>
          <w:szCs w:val="28"/>
        </w:rPr>
        <w:tab/>
      </w:r>
      <w:r w:rsidR="00F04A8E">
        <w:rPr>
          <w:rFonts w:ascii="黑体" w:eastAsia="黑体" w:hAnsi="黑体" w:hint="eastAsia"/>
          <w:b/>
          <w:bCs/>
          <w:sz w:val="28"/>
          <w:szCs w:val="28"/>
        </w:rPr>
        <w:t>Python与金融数据分析</w:t>
      </w:r>
      <w:r w:rsidR="00733284">
        <w:rPr>
          <w:rFonts w:ascii="黑体" w:eastAsia="黑体" w:hAnsi="黑体" w:hint="eastAsia"/>
          <w:b/>
          <w:bCs/>
          <w:sz w:val="28"/>
          <w:szCs w:val="28"/>
        </w:rPr>
        <w:t xml:space="preserve">                                </w:t>
      </w:r>
    </w:p>
    <w:p w14:paraId="5F943DA9" w14:textId="01A47C50" w:rsidR="006C49C8" w:rsidRPr="006C49C8" w:rsidRDefault="00F04A8E" w:rsidP="00863980">
      <w:pPr>
        <w:spacing w:after="0" w:line="360" w:lineRule="auto"/>
        <w:ind w:firstLineChars="400" w:firstLine="1124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姓</w:t>
      </w:r>
      <w:r w:rsidR="00863980">
        <w:rPr>
          <w:rFonts w:ascii="黑体" w:eastAsia="黑体" w:hAnsi="黑体" w:hint="eastAsia"/>
          <w:b/>
          <w:bCs/>
          <w:sz w:val="28"/>
          <w:szCs w:val="28"/>
        </w:rPr>
        <w:t xml:space="preserve">    </w:t>
      </w:r>
      <w:r>
        <w:rPr>
          <w:rFonts w:ascii="黑体" w:eastAsia="黑体" w:hAnsi="黑体" w:hint="eastAsia"/>
          <w:b/>
          <w:bCs/>
          <w:sz w:val="28"/>
          <w:szCs w:val="28"/>
        </w:rPr>
        <w:t>名</w:t>
      </w:r>
      <w:r w:rsidR="006C49C8" w:rsidRPr="006C49C8">
        <w:rPr>
          <w:rFonts w:ascii="黑体" w:eastAsia="黑体" w:hAnsi="黑体" w:hint="eastAsia"/>
          <w:b/>
          <w:bCs/>
          <w:sz w:val="28"/>
          <w:szCs w:val="28"/>
        </w:rPr>
        <w:t>：</w:t>
      </w:r>
      <w:r w:rsidR="00733284">
        <w:rPr>
          <w:rFonts w:ascii="黑体" w:eastAsia="黑体" w:hAnsi="黑体" w:hint="eastAsia"/>
          <w:b/>
          <w:bCs/>
          <w:sz w:val="28"/>
          <w:szCs w:val="28"/>
        </w:rPr>
        <w:t xml:space="preserve">      </w:t>
      </w:r>
      <w:r w:rsidR="00863980" w:rsidRPr="00863980">
        <w:rPr>
          <w:rFonts w:ascii="黑体" w:eastAsia="黑体" w:hAnsi="黑体" w:hint="eastAsia"/>
          <w:sz w:val="28"/>
          <w:szCs w:val="28"/>
        </w:rPr>
        <w:t>马天玮</w:t>
      </w:r>
      <w:r w:rsidR="00733284">
        <w:rPr>
          <w:rFonts w:ascii="黑体" w:eastAsia="黑体" w:hAnsi="黑体" w:hint="eastAsia"/>
          <w:b/>
          <w:bCs/>
          <w:sz w:val="28"/>
          <w:szCs w:val="28"/>
        </w:rPr>
        <w:t xml:space="preserve">                                                          </w:t>
      </w:r>
    </w:p>
    <w:p w14:paraId="60890FF1" w14:textId="7373EED8" w:rsidR="00262E48" w:rsidRDefault="00F04A8E" w:rsidP="00F04A8E">
      <w:pPr>
        <w:spacing w:after="0" w:line="360" w:lineRule="auto"/>
        <w:ind w:left="704" w:firstLine="420"/>
        <w:rPr>
          <w:rFonts w:ascii="宋体" w:eastAsia="宋体" w:hAnsi="宋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学    号：</w:t>
      </w:r>
      <w:r>
        <w:rPr>
          <w:rFonts w:ascii="黑体" w:eastAsia="黑体" w:hAnsi="黑体"/>
          <w:b/>
          <w:bCs/>
          <w:sz w:val="28"/>
          <w:szCs w:val="28"/>
        </w:rPr>
        <w:tab/>
      </w:r>
      <w:r>
        <w:rPr>
          <w:rFonts w:ascii="黑体" w:eastAsia="黑体" w:hAnsi="黑体"/>
          <w:b/>
          <w:bCs/>
          <w:sz w:val="28"/>
          <w:szCs w:val="28"/>
        </w:rPr>
        <w:tab/>
      </w:r>
      <w:r>
        <w:rPr>
          <w:rFonts w:ascii="黑体" w:eastAsia="黑体" w:hAnsi="黑体" w:hint="eastAsia"/>
          <w:b/>
          <w:bCs/>
          <w:sz w:val="28"/>
          <w:szCs w:val="28"/>
        </w:rPr>
        <w:t>25304161</w:t>
      </w:r>
    </w:p>
    <w:p w14:paraId="72585549" w14:textId="77777777" w:rsidR="00262E48" w:rsidRDefault="00262E48" w:rsidP="00FE7F68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</w:p>
    <w:p w14:paraId="226E3231" w14:textId="7AD2AC12" w:rsidR="00E77786" w:rsidRPr="0062554C" w:rsidRDefault="0093758C" w:rsidP="0062554C">
      <w:pPr>
        <w:widowControl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br w:type="page"/>
      </w:r>
    </w:p>
    <w:p w14:paraId="4BB1DC33" w14:textId="4FD291F0" w:rsidR="002326BF" w:rsidRDefault="002326BF" w:rsidP="00E47E82">
      <w:pPr>
        <w:spacing w:after="0" w:line="360" w:lineRule="auto"/>
        <w:ind w:firstLineChars="200" w:firstLine="64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Python总结报告</w:t>
      </w:r>
    </w:p>
    <w:p w14:paraId="3F084C2E" w14:textId="671009F8" w:rsidR="002326BF" w:rsidRDefault="002326BF" w:rsidP="002326BF">
      <w:pPr>
        <w:spacing w:after="0" w:line="360" w:lineRule="auto"/>
        <w:ind w:firstLineChars="200" w:firstLine="64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选题：</w:t>
      </w:r>
      <w:r w:rsidRPr="002326BF">
        <w:rPr>
          <w:rFonts w:ascii="黑体" w:eastAsia="黑体" w:hAnsi="黑体" w:hint="eastAsia"/>
          <w:sz w:val="32"/>
          <w:szCs w:val="32"/>
        </w:rPr>
        <w:t>技术因子构建</w:t>
      </w:r>
    </w:p>
    <w:p w14:paraId="570B84CE" w14:textId="0FC4519B" w:rsidR="002326BF" w:rsidRPr="002326BF" w:rsidRDefault="002326BF" w:rsidP="002326BF">
      <w:pPr>
        <w:spacing w:after="0" w:line="360" w:lineRule="auto"/>
        <w:ind w:firstLineChars="200" w:firstLine="640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32"/>
          <w:szCs w:val="32"/>
        </w:rPr>
        <w:t>参考文献：</w:t>
      </w:r>
      <w:r w:rsidRPr="002326BF">
        <w:rPr>
          <w:rFonts w:ascii="黑体" w:eastAsia="黑体" w:hAnsi="黑体" w:hint="eastAsia"/>
          <w:sz w:val="24"/>
        </w:rPr>
        <w:t>研究报告《形态识别：均线的收敛与发散》——开源证券202</w:t>
      </w:r>
      <w:r w:rsidRPr="002326BF">
        <w:rPr>
          <w:rFonts w:ascii="黑体" w:eastAsia="黑体" w:hAnsi="黑体"/>
          <w:sz w:val="24"/>
        </w:rPr>
        <w:t>4</w:t>
      </w:r>
      <w:r w:rsidRPr="002326BF">
        <w:rPr>
          <w:rFonts w:ascii="黑体" w:eastAsia="黑体" w:hAnsi="黑体" w:hint="eastAsia"/>
          <w:sz w:val="24"/>
        </w:rPr>
        <w:t>年</w:t>
      </w:r>
      <w:r w:rsidRPr="002326BF">
        <w:rPr>
          <w:rFonts w:ascii="黑体" w:eastAsia="黑体" w:hAnsi="黑体"/>
          <w:sz w:val="24"/>
        </w:rPr>
        <w:t>4</w:t>
      </w:r>
      <w:r w:rsidRPr="002326BF">
        <w:rPr>
          <w:rFonts w:ascii="黑体" w:eastAsia="黑体" w:hAnsi="黑体" w:hint="eastAsia"/>
          <w:sz w:val="24"/>
        </w:rPr>
        <w:t>月</w:t>
      </w:r>
      <w:r w:rsidRPr="002326BF">
        <w:rPr>
          <w:rFonts w:ascii="黑体" w:eastAsia="黑体" w:hAnsi="黑体"/>
          <w:sz w:val="24"/>
        </w:rPr>
        <w:t>14</w:t>
      </w:r>
      <w:r w:rsidRPr="002326BF">
        <w:rPr>
          <w:rFonts w:ascii="黑体" w:eastAsia="黑体" w:hAnsi="黑体" w:hint="eastAsia"/>
          <w:sz w:val="24"/>
        </w:rPr>
        <w:t>日</w:t>
      </w:r>
    </w:p>
    <w:p w14:paraId="445BAA29" w14:textId="78A404BC" w:rsidR="00E47E82" w:rsidRDefault="002326BF" w:rsidP="00E47E82">
      <w:pPr>
        <w:pStyle w:val="a"/>
        <w:rPr>
          <w:rFonts w:hint="eastAsia"/>
        </w:rPr>
      </w:pPr>
      <w:r>
        <w:rPr>
          <w:rFonts w:hint="eastAsia"/>
        </w:rPr>
        <w:t>主要结论</w:t>
      </w:r>
    </w:p>
    <w:p w14:paraId="009E5FA9" w14:textId="0EA81D3A" w:rsidR="004B424C" w:rsidRPr="00447BCB" w:rsidRDefault="004B424C" w:rsidP="00447BCB">
      <w:pPr>
        <w:spacing w:after="0" w:line="360" w:lineRule="auto"/>
        <w:ind w:firstLineChars="200" w:firstLine="480"/>
        <w:rPr>
          <w:rFonts w:ascii="Calibri" w:eastAsia="宋体" w:hAnsi="Calibri" w:cs="Calibri"/>
          <w:sz w:val="24"/>
        </w:rPr>
      </w:pPr>
      <w:r w:rsidRPr="00447BCB">
        <w:rPr>
          <w:rFonts w:ascii="Calibri" w:eastAsia="宋体" w:hAnsi="Calibri" w:cs="Calibri"/>
          <w:sz w:val="24"/>
        </w:rPr>
        <w:t>得出以下一系列相关结论：</w:t>
      </w:r>
    </w:p>
    <w:p w14:paraId="7AE6B9F7" w14:textId="48DDBE62" w:rsidR="004B424C" w:rsidRDefault="004B424C" w:rsidP="00447BCB">
      <w:pPr>
        <w:spacing w:after="0" w:line="360" w:lineRule="auto"/>
        <w:ind w:firstLineChars="200" w:firstLine="480"/>
        <w:rPr>
          <w:rFonts w:ascii="Calibri" w:eastAsia="宋体" w:hAnsi="Calibri" w:cs="Calibri"/>
          <w:sz w:val="24"/>
        </w:rPr>
      </w:pPr>
      <w:r w:rsidRPr="00447BCB">
        <w:rPr>
          <w:rFonts w:ascii="Calibri" w:eastAsia="宋体" w:hAnsi="Calibri" w:cs="Calibri"/>
          <w:sz w:val="24"/>
        </w:rPr>
        <w:t>1</w:t>
      </w:r>
      <w:r w:rsidRPr="00447BCB">
        <w:rPr>
          <w:rFonts w:ascii="Calibri" w:eastAsia="宋体" w:hAnsi="Calibri" w:cs="Calibri"/>
          <w:sz w:val="24"/>
        </w:rPr>
        <w:t>、</w:t>
      </w:r>
      <w:r w:rsidR="001F747D" w:rsidRPr="001F747D">
        <w:rPr>
          <w:rFonts w:ascii="Calibri" w:eastAsia="宋体" w:hAnsi="Calibri" w:cs="Calibri"/>
          <w:sz w:val="24"/>
        </w:rPr>
        <w:t>价格收敛因子</w:t>
      </w:r>
      <w:r w:rsidRPr="00447BCB">
        <w:rPr>
          <w:rFonts w:ascii="Calibri" w:eastAsia="宋体" w:hAnsi="Calibri" w:cs="Calibri"/>
          <w:sz w:val="24"/>
        </w:rPr>
        <w:t>（</w:t>
      </w:r>
      <w:r w:rsidRPr="00447BCB">
        <w:rPr>
          <w:rFonts w:ascii="Calibri" w:eastAsia="宋体" w:hAnsi="Calibri" w:cs="Calibri"/>
          <w:sz w:val="24"/>
        </w:rPr>
        <w:t>PCF</w:t>
      </w:r>
      <w:r w:rsidRPr="00447BCB">
        <w:rPr>
          <w:rFonts w:ascii="Calibri" w:eastAsia="宋体" w:hAnsi="Calibri" w:cs="Calibri"/>
          <w:sz w:val="24"/>
        </w:rPr>
        <w:t>）预测能力较为微弱，</w:t>
      </w:r>
      <w:proofErr w:type="spellStart"/>
      <w:r w:rsidR="001F747D" w:rsidRPr="001F747D">
        <w:rPr>
          <w:rFonts w:ascii="Calibri" w:eastAsia="宋体" w:hAnsi="Calibri" w:cs="Calibri"/>
          <w:sz w:val="24"/>
        </w:rPr>
        <w:t>RankIC</w:t>
      </w:r>
      <w:proofErr w:type="spellEnd"/>
      <w:r w:rsidR="001F747D" w:rsidRPr="001F747D">
        <w:rPr>
          <w:rFonts w:ascii="Calibri" w:eastAsia="宋体" w:hAnsi="Calibri" w:cs="Calibri"/>
          <w:sz w:val="24"/>
        </w:rPr>
        <w:t>均值为</w:t>
      </w:r>
      <w:r w:rsidR="001F747D" w:rsidRPr="001F747D">
        <w:rPr>
          <w:rFonts w:ascii="Calibri" w:eastAsia="宋体" w:hAnsi="Calibri" w:cs="Calibri"/>
          <w:sz w:val="24"/>
        </w:rPr>
        <w:t>0.2151%</w:t>
      </w:r>
      <w:r w:rsidR="006836FE" w:rsidRPr="00447BCB">
        <w:rPr>
          <w:rFonts w:ascii="Calibri" w:eastAsia="宋体" w:hAnsi="Calibri" w:cs="Calibri"/>
          <w:sz w:val="24"/>
        </w:rPr>
        <w:t>，这意味着，仅依据股价短期与长期均线趋于</w:t>
      </w:r>
      <w:r w:rsidR="006836FE" w:rsidRPr="00447BCB">
        <w:rPr>
          <w:rFonts w:ascii="Calibri" w:eastAsia="宋体" w:hAnsi="Calibri" w:cs="Calibri"/>
          <w:sz w:val="24"/>
        </w:rPr>
        <w:t>“</w:t>
      </w:r>
      <w:r w:rsidR="006836FE" w:rsidRPr="00447BCB">
        <w:rPr>
          <w:rFonts w:ascii="Calibri" w:eastAsia="宋体" w:hAnsi="Calibri" w:cs="Calibri"/>
          <w:sz w:val="24"/>
        </w:rPr>
        <w:t>收敛</w:t>
      </w:r>
      <w:r w:rsidR="006836FE" w:rsidRPr="00447BCB">
        <w:rPr>
          <w:rFonts w:ascii="Calibri" w:eastAsia="宋体" w:hAnsi="Calibri" w:cs="Calibri"/>
          <w:sz w:val="24"/>
        </w:rPr>
        <w:t>”</w:t>
      </w:r>
      <w:r w:rsidR="006836FE" w:rsidRPr="00447BCB">
        <w:rPr>
          <w:rFonts w:ascii="Calibri" w:eastAsia="宋体" w:hAnsi="Calibri" w:cs="Calibri"/>
          <w:sz w:val="24"/>
        </w:rPr>
        <w:t>这一形态，在沪深</w:t>
      </w:r>
      <w:r w:rsidR="006836FE" w:rsidRPr="00447BCB">
        <w:rPr>
          <w:rFonts w:ascii="Calibri" w:eastAsia="宋体" w:hAnsi="Calibri" w:cs="Calibri"/>
          <w:sz w:val="24"/>
        </w:rPr>
        <w:t>300</w:t>
      </w:r>
      <w:r w:rsidR="006836FE" w:rsidRPr="00447BCB">
        <w:rPr>
          <w:rFonts w:ascii="Calibri" w:eastAsia="宋体" w:hAnsi="Calibri" w:cs="Calibri"/>
          <w:sz w:val="24"/>
        </w:rPr>
        <w:t>中预测下个月股价涨跌方向的准确性几乎与随机猜测无异。同时，</w:t>
      </w:r>
      <w:r w:rsidR="006836FE" w:rsidRPr="001F747D">
        <w:rPr>
          <w:rFonts w:ascii="Calibri" w:eastAsia="宋体" w:hAnsi="Calibri" w:cs="Calibri"/>
          <w:sz w:val="24"/>
        </w:rPr>
        <w:t>价格收敛因子分组收益非严格单调</w:t>
      </w:r>
      <w:r w:rsidR="006836FE" w:rsidRPr="00447BCB">
        <w:rPr>
          <w:rFonts w:ascii="Calibri" w:eastAsia="宋体" w:hAnsi="Calibri" w:cs="Calibri"/>
          <w:sz w:val="24"/>
        </w:rPr>
        <w:t>，进一步证实了其作为独立选股因子的失效。</w:t>
      </w:r>
    </w:p>
    <w:p w14:paraId="7A6F78A3" w14:textId="6B188954" w:rsidR="00FD3915" w:rsidRDefault="00FD3915" w:rsidP="00FD3915">
      <w:pPr>
        <w:spacing w:after="0" w:line="360" w:lineRule="auto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图</w:t>
      </w:r>
      <w:r>
        <w:rPr>
          <w:rFonts w:ascii="Calibri" w:eastAsia="宋体" w:hAnsi="Calibri" w:cs="Calibri" w:hint="eastAsia"/>
          <w:sz w:val="24"/>
        </w:rPr>
        <w:t>1</w:t>
      </w:r>
      <w:r>
        <w:rPr>
          <w:rFonts w:ascii="Calibri" w:eastAsia="宋体" w:hAnsi="Calibri" w:cs="Calibri" w:hint="eastAsia"/>
          <w:sz w:val="24"/>
        </w:rPr>
        <w:t>：价格收敛因子</w:t>
      </w:r>
      <w:proofErr w:type="spellStart"/>
      <w:r>
        <w:rPr>
          <w:rFonts w:ascii="Calibri" w:eastAsia="宋体" w:hAnsi="Calibri" w:cs="Calibri" w:hint="eastAsia"/>
          <w:sz w:val="24"/>
        </w:rPr>
        <w:t>RankIC</w:t>
      </w:r>
      <w:proofErr w:type="spellEnd"/>
      <w:r>
        <w:rPr>
          <w:rFonts w:ascii="Calibri" w:eastAsia="宋体" w:hAnsi="Calibri" w:cs="Calibri" w:hint="eastAsia"/>
          <w:sz w:val="24"/>
        </w:rPr>
        <w:t>均值为</w:t>
      </w:r>
      <w:r>
        <w:rPr>
          <w:rFonts w:ascii="Calibri" w:eastAsia="宋体" w:hAnsi="Calibri" w:cs="Calibri" w:hint="eastAsia"/>
          <w:sz w:val="24"/>
        </w:rPr>
        <w:t>0.2151%</w:t>
      </w:r>
    </w:p>
    <w:p w14:paraId="4EF975B7" w14:textId="77777777" w:rsidR="00FD3915" w:rsidRDefault="00FD3915" w:rsidP="00FD3915">
      <w:pPr>
        <w:spacing w:after="0" w:line="360" w:lineRule="auto"/>
        <w:ind w:firstLineChars="200" w:firstLine="440"/>
        <w:jc w:val="center"/>
        <w:rPr>
          <w:rFonts w:ascii="Calibri" w:eastAsia="宋体" w:hAnsi="Calibri" w:cs="Calibri"/>
          <w:sz w:val="24"/>
        </w:rPr>
      </w:pPr>
      <w:r>
        <w:rPr>
          <w:noProof/>
        </w:rPr>
        <w:drawing>
          <wp:inline distT="0" distB="0" distL="0" distR="0" wp14:anchorId="6A9A519C" wp14:editId="4FB16127">
            <wp:extent cx="3600000" cy="1800000"/>
            <wp:effectExtent l="0" t="0" r="635" b="0"/>
            <wp:docPr id="17731238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FDDA" w14:textId="34D04EB4" w:rsidR="00FD3915" w:rsidRDefault="00FD3915" w:rsidP="00FD3915">
      <w:pPr>
        <w:spacing w:after="0" w:line="360" w:lineRule="auto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图</w:t>
      </w:r>
      <w:r>
        <w:rPr>
          <w:rFonts w:ascii="Calibri" w:eastAsia="宋体" w:hAnsi="Calibri" w:cs="Calibri" w:hint="eastAsia"/>
          <w:sz w:val="24"/>
        </w:rPr>
        <w:t>2</w:t>
      </w:r>
      <w:r>
        <w:rPr>
          <w:rFonts w:ascii="Calibri" w:eastAsia="宋体" w:hAnsi="Calibri" w:cs="Calibri" w:hint="eastAsia"/>
          <w:sz w:val="24"/>
        </w:rPr>
        <w:t>：价格收敛因子分组收益非严格单调</w:t>
      </w:r>
    </w:p>
    <w:p w14:paraId="698C0E46" w14:textId="5325DED9" w:rsidR="00FD3915" w:rsidRDefault="00FD3915" w:rsidP="00FD3915">
      <w:pPr>
        <w:spacing w:after="0" w:line="360" w:lineRule="auto"/>
        <w:ind w:firstLineChars="200" w:firstLine="440"/>
        <w:jc w:val="center"/>
        <w:rPr>
          <w:rFonts w:ascii="Calibri" w:eastAsia="宋体" w:hAnsi="Calibri" w:cs="Calibri"/>
          <w:sz w:val="24"/>
        </w:rPr>
      </w:pPr>
      <w:r>
        <w:rPr>
          <w:noProof/>
        </w:rPr>
        <w:drawing>
          <wp:inline distT="0" distB="0" distL="0" distR="0" wp14:anchorId="3D39BE4A" wp14:editId="6A62144B">
            <wp:extent cx="3600000" cy="1800000"/>
            <wp:effectExtent l="0" t="0" r="635" b="0"/>
            <wp:docPr id="195875589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78FC9" w14:textId="0872F5EA" w:rsidR="006836FE" w:rsidRDefault="006836FE" w:rsidP="00447BCB">
      <w:pPr>
        <w:spacing w:after="0" w:line="360" w:lineRule="auto"/>
        <w:ind w:firstLineChars="200" w:firstLine="480"/>
        <w:rPr>
          <w:rFonts w:ascii="Calibri" w:eastAsia="宋体" w:hAnsi="Calibri" w:cs="Calibri"/>
          <w:sz w:val="24"/>
        </w:rPr>
      </w:pPr>
      <w:r w:rsidRPr="00447BCB">
        <w:rPr>
          <w:rFonts w:ascii="Calibri" w:eastAsia="宋体" w:hAnsi="Calibri" w:cs="Calibri"/>
          <w:sz w:val="24"/>
        </w:rPr>
        <w:t>2</w:t>
      </w:r>
      <w:r w:rsidRPr="00447BCB">
        <w:rPr>
          <w:rFonts w:ascii="Calibri" w:eastAsia="宋体" w:hAnsi="Calibri" w:cs="Calibri"/>
          <w:sz w:val="24"/>
        </w:rPr>
        <w:t>、成交量收敛因子（</w:t>
      </w:r>
      <w:r w:rsidRPr="00447BCB">
        <w:rPr>
          <w:rFonts w:ascii="Calibri" w:eastAsia="宋体" w:hAnsi="Calibri" w:cs="Calibri"/>
          <w:sz w:val="24"/>
        </w:rPr>
        <w:t>VCF</w:t>
      </w:r>
      <w:r w:rsidRPr="00447BCB">
        <w:rPr>
          <w:rFonts w:ascii="Calibri" w:eastAsia="宋体" w:hAnsi="Calibri" w:cs="Calibri"/>
          <w:sz w:val="24"/>
        </w:rPr>
        <w:t>）效果有限但不稳定：其</w:t>
      </w:r>
      <w:proofErr w:type="spellStart"/>
      <w:r w:rsidRPr="00447BCB">
        <w:rPr>
          <w:rFonts w:ascii="Calibri" w:eastAsia="宋体" w:hAnsi="Calibri" w:cs="Calibri"/>
          <w:sz w:val="24"/>
        </w:rPr>
        <w:t>RankIC</w:t>
      </w:r>
      <w:proofErr w:type="spellEnd"/>
      <w:r w:rsidRPr="00447BCB">
        <w:rPr>
          <w:rFonts w:ascii="Calibri" w:eastAsia="宋体" w:hAnsi="Calibri" w:cs="Calibri"/>
          <w:sz w:val="24"/>
        </w:rPr>
        <w:t>均值为</w:t>
      </w:r>
      <w:r w:rsidRPr="00447BCB">
        <w:rPr>
          <w:rFonts w:ascii="Calibri" w:eastAsia="宋体" w:hAnsi="Calibri" w:cs="Calibri"/>
          <w:sz w:val="24"/>
        </w:rPr>
        <w:t>1.9147%</w:t>
      </w:r>
      <w:r w:rsidRPr="00447BCB">
        <w:rPr>
          <w:rFonts w:ascii="Calibri" w:eastAsia="宋体" w:hAnsi="Calibri" w:cs="Calibri"/>
          <w:sz w:val="24"/>
        </w:rPr>
        <w:t>，虽然显著高于</w:t>
      </w:r>
      <w:r w:rsidRPr="00447BCB">
        <w:rPr>
          <w:rFonts w:ascii="Calibri" w:eastAsia="宋体" w:hAnsi="Calibri" w:cs="Calibri"/>
          <w:sz w:val="24"/>
        </w:rPr>
        <w:t>PCF</w:t>
      </w:r>
      <w:r w:rsidRPr="00447BCB">
        <w:rPr>
          <w:rFonts w:ascii="Calibri" w:eastAsia="宋体" w:hAnsi="Calibri" w:cs="Calibri"/>
          <w:sz w:val="24"/>
        </w:rPr>
        <w:t>，显示出一定的预测信息，与文章整体趋势相似。但其构建的</w:t>
      </w:r>
      <w:r w:rsidRPr="00447BCB">
        <w:rPr>
          <w:rFonts w:ascii="Calibri" w:eastAsia="宋体" w:hAnsi="Calibri" w:cs="Calibri"/>
          <w:sz w:val="24"/>
        </w:rPr>
        <w:t>“</w:t>
      </w:r>
      <w:r w:rsidRPr="00447BCB">
        <w:rPr>
          <w:rFonts w:ascii="Calibri" w:eastAsia="宋体" w:hAnsi="Calibri" w:cs="Calibri"/>
          <w:sz w:val="24"/>
        </w:rPr>
        <w:t>多空对冲</w:t>
      </w:r>
      <w:r w:rsidRPr="00447BCB">
        <w:rPr>
          <w:rFonts w:ascii="Calibri" w:eastAsia="宋体" w:hAnsi="Calibri" w:cs="Calibri"/>
          <w:sz w:val="24"/>
        </w:rPr>
        <w:t>”</w:t>
      </w:r>
      <w:r w:rsidRPr="00447BCB">
        <w:rPr>
          <w:rFonts w:ascii="Calibri" w:eastAsia="宋体" w:hAnsi="Calibri" w:cs="Calibri"/>
          <w:sz w:val="24"/>
        </w:rPr>
        <w:t>组合，收益表现不佳，意味着该信号虽有一定方向性，</w:t>
      </w:r>
      <w:r w:rsidRPr="00447BCB">
        <w:rPr>
          <w:rFonts w:ascii="Calibri" w:eastAsia="宋体" w:hAnsi="Calibri" w:cs="Calibri"/>
          <w:sz w:val="24"/>
        </w:rPr>
        <w:lastRenderedPageBreak/>
        <w:t>但强度不足以产生稳定、可捕捉的绝对收益。</w:t>
      </w:r>
    </w:p>
    <w:p w14:paraId="66D6058A" w14:textId="2D1673A1" w:rsidR="00FD3915" w:rsidRDefault="00FD3915" w:rsidP="00FD3915">
      <w:pPr>
        <w:spacing w:after="0" w:line="360" w:lineRule="auto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图</w:t>
      </w:r>
      <w:r>
        <w:rPr>
          <w:rFonts w:ascii="Calibri" w:eastAsia="宋体" w:hAnsi="Calibri" w:cs="Calibri" w:hint="eastAsia"/>
          <w:sz w:val="24"/>
        </w:rPr>
        <w:t>3</w:t>
      </w:r>
      <w:r>
        <w:rPr>
          <w:rFonts w:ascii="Calibri" w:eastAsia="宋体" w:hAnsi="Calibri" w:cs="Calibri" w:hint="eastAsia"/>
          <w:sz w:val="24"/>
        </w:rPr>
        <w:t>：成交量收敛因子</w:t>
      </w:r>
      <w:proofErr w:type="spellStart"/>
      <w:r>
        <w:rPr>
          <w:rFonts w:ascii="Calibri" w:eastAsia="宋体" w:hAnsi="Calibri" w:cs="Calibri" w:hint="eastAsia"/>
          <w:sz w:val="24"/>
        </w:rPr>
        <w:t>RankIC</w:t>
      </w:r>
      <w:proofErr w:type="spellEnd"/>
      <w:r>
        <w:rPr>
          <w:rFonts w:ascii="Calibri" w:eastAsia="宋体" w:hAnsi="Calibri" w:cs="Calibri" w:hint="eastAsia"/>
          <w:sz w:val="24"/>
        </w:rPr>
        <w:t>均值为</w:t>
      </w:r>
      <w:r>
        <w:rPr>
          <w:rFonts w:ascii="Calibri" w:eastAsia="宋体" w:hAnsi="Calibri" w:cs="Calibri" w:hint="eastAsia"/>
          <w:sz w:val="24"/>
        </w:rPr>
        <w:t>0.2151%</w:t>
      </w:r>
    </w:p>
    <w:p w14:paraId="3B9F74D9" w14:textId="3A2939B5" w:rsidR="00FD3915" w:rsidRDefault="00FD3915" w:rsidP="00FD3915">
      <w:pPr>
        <w:spacing w:after="0" w:line="360" w:lineRule="auto"/>
        <w:ind w:firstLineChars="200" w:firstLine="440"/>
        <w:jc w:val="center"/>
        <w:rPr>
          <w:rFonts w:ascii="Calibri" w:eastAsia="宋体" w:hAnsi="Calibri" w:cs="Calibri"/>
          <w:sz w:val="24"/>
        </w:rPr>
      </w:pPr>
      <w:r>
        <w:rPr>
          <w:noProof/>
        </w:rPr>
        <w:drawing>
          <wp:inline distT="0" distB="0" distL="0" distR="0" wp14:anchorId="5A97AFCA" wp14:editId="151BE663">
            <wp:extent cx="3600000" cy="1800000"/>
            <wp:effectExtent l="0" t="0" r="635" b="0"/>
            <wp:docPr id="1182638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A1CB4" w14:textId="6FD72B31" w:rsidR="00FD3915" w:rsidRDefault="00FD3915" w:rsidP="00FD3915">
      <w:pPr>
        <w:spacing w:after="0" w:line="360" w:lineRule="auto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图</w:t>
      </w:r>
      <w:r>
        <w:rPr>
          <w:rFonts w:ascii="Calibri" w:eastAsia="宋体" w:hAnsi="Calibri" w:cs="Calibri" w:hint="eastAsia"/>
          <w:sz w:val="24"/>
        </w:rPr>
        <w:t>4</w:t>
      </w:r>
      <w:r>
        <w:rPr>
          <w:rFonts w:ascii="Calibri" w:eastAsia="宋体" w:hAnsi="Calibri" w:cs="Calibri" w:hint="eastAsia"/>
          <w:sz w:val="24"/>
        </w:rPr>
        <w:t>：成交量收敛因子多空表现不佳</w:t>
      </w:r>
    </w:p>
    <w:p w14:paraId="6F0D2875" w14:textId="11F45C09" w:rsidR="00FD3915" w:rsidRDefault="00FD3915" w:rsidP="00FD3915">
      <w:pPr>
        <w:spacing w:after="0" w:line="360" w:lineRule="auto"/>
        <w:ind w:firstLineChars="200" w:firstLine="440"/>
        <w:jc w:val="center"/>
        <w:rPr>
          <w:rFonts w:ascii="Calibri" w:eastAsia="宋体" w:hAnsi="Calibri" w:cs="Calibri"/>
          <w:sz w:val="24"/>
        </w:rPr>
      </w:pPr>
      <w:r>
        <w:rPr>
          <w:noProof/>
        </w:rPr>
        <w:drawing>
          <wp:inline distT="0" distB="0" distL="0" distR="0" wp14:anchorId="7A3FFB84" wp14:editId="19600E93">
            <wp:extent cx="3600000" cy="1800000"/>
            <wp:effectExtent l="0" t="0" r="635" b="0"/>
            <wp:docPr id="8339428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B7AAE" w14:textId="16D0007F" w:rsidR="006836FE" w:rsidRDefault="006836FE" w:rsidP="003D44BC">
      <w:pPr>
        <w:spacing w:after="0" w:line="360" w:lineRule="auto"/>
        <w:ind w:firstLineChars="200" w:firstLine="480"/>
        <w:jc w:val="both"/>
        <w:rPr>
          <w:rFonts w:ascii="Calibri" w:eastAsia="宋体" w:hAnsi="Calibri" w:cs="Calibri"/>
          <w:sz w:val="24"/>
        </w:rPr>
      </w:pPr>
      <w:r w:rsidRPr="00447BCB">
        <w:rPr>
          <w:rFonts w:ascii="Calibri" w:eastAsia="宋体" w:hAnsi="Calibri" w:cs="Calibri"/>
          <w:sz w:val="24"/>
        </w:rPr>
        <w:t>3</w:t>
      </w:r>
      <w:r w:rsidRPr="00447BCB">
        <w:rPr>
          <w:rFonts w:ascii="Calibri" w:eastAsia="宋体" w:hAnsi="Calibri" w:cs="Calibri"/>
          <w:sz w:val="24"/>
        </w:rPr>
        <w:t>、</w:t>
      </w:r>
      <w:r w:rsidR="001F747D" w:rsidRPr="001F747D">
        <w:rPr>
          <w:rFonts w:ascii="Calibri" w:eastAsia="宋体" w:hAnsi="Calibri" w:cs="Calibri"/>
          <w:sz w:val="24"/>
        </w:rPr>
        <w:t>价格收敛因子</w:t>
      </w:r>
      <w:r w:rsidR="001F747D" w:rsidRPr="00447BCB">
        <w:rPr>
          <w:rFonts w:ascii="Calibri" w:eastAsia="宋体" w:hAnsi="Calibri" w:cs="Calibri"/>
          <w:sz w:val="24"/>
        </w:rPr>
        <w:t>与成交量收敛因子保持负相关性</w:t>
      </w:r>
      <w:r w:rsidR="003D44BC">
        <w:rPr>
          <w:rFonts w:ascii="Calibri" w:eastAsia="宋体" w:hAnsi="Calibri" w:cs="Calibri" w:hint="eastAsia"/>
          <w:sz w:val="24"/>
        </w:rPr>
        <w:t>。其中，相关性系数均值为</w:t>
      </w:r>
      <w:r w:rsidR="003D44BC">
        <w:rPr>
          <w:rFonts w:ascii="Calibri" w:eastAsia="宋体" w:hAnsi="Calibri" w:cs="Calibri" w:hint="eastAsia"/>
          <w:sz w:val="24"/>
        </w:rPr>
        <w:t>-24.8101%</w:t>
      </w:r>
      <w:r w:rsidR="003D44BC">
        <w:rPr>
          <w:rFonts w:ascii="Calibri" w:eastAsia="宋体" w:hAnsi="Calibri" w:cs="Calibri" w:hint="eastAsia"/>
          <w:sz w:val="24"/>
        </w:rPr>
        <w:t>，</w:t>
      </w:r>
      <w:r w:rsidRPr="00447BCB">
        <w:rPr>
          <w:rFonts w:ascii="Calibri" w:eastAsia="宋体" w:hAnsi="Calibri" w:cs="Calibri"/>
          <w:sz w:val="24"/>
        </w:rPr>
        <w:t>证实二者捕捉了市场不同维度的信息，然而，</w:t>
      </w:r>
      <w:r w:rsidR="001F747D" w:rsidRPr="00447BCB">
        <w:rPr>
          <w:rFonts w:ascii="Calibri" w:eastAsia="宋体" w:hAnsi="Calibri" w:cs="Calibri"/>
          <w:sz w:val="24"/>
        </w:rPr>
        <w:t>价量双收敛因子</w:t>
      </w:r>
      <w:r w:rsidRPr="00447BCB">
        <w:rPr>
          <w:rFonts w:ascii="Calibri" w:eastAsia="宋体" w:hAnsi="Calibri" w:cs="Calibri"/>
          <w:sz w:val="24"/>
        </w:rPr>
        <w:t>（</w:t>
      </w:r>
      <w:r w:rsidRPr="00447BCB">
        <w:rPr>
          <w:rFonts w:ascii="Calibri" w:eastAsia="宋体" w:hAnsi="Calibri" w:cs="Calibri"/>
          <w:sz w:val="24"/>
        </w:rPr>
        <w:t>PVCF</w:t>
      </w:r>
      <w:r w:rsidRPr="00447BCB">
        <w:rPr>
          <w:rFonts w:ascii="Calibri" w:eastAsia="宋体" w:hAnsi="Calibri" w:cs="Calibri"/>
          <w:sz w:val="24"/>
        </w:rPr>
        <w:t>）的</w:t>
      </w:r>
      <w:proofErr w:type="spellStart"/>
      <w:r w:rsidR="001F747D" w:rsidRPr="00447BCB">
        <w:rPr>
          <w:rFonts w:ascii="Calibri" w:eastAsia="宋体" w:hAnsi="Calibri" w:cs="Calibri"/>
          <w:sz w:val="24"/>
        </w:rPr>
        <w:t>RankIC</w:t>
      </w:r>
      <w:proofErr w:type="spellEnd"/>
      <w:r w:rsidR="001F747D" w:rsidRPr="00447BCB">
        <w:rPr>
          <w:rFonts w:ascii="Calibri" w:eastAsia="宋体" w:hAnsi="Calibri" w:cs="Calibri"/>
          <w:sz w:val="24"/>
        </w:rPr>
        <w:t>均值为</w:t>
      </w:r>
      <w:r w:rsidR="001F747D" w:rsidRPr="00447BCB">
        <w:rPr>
          <w:rFonts w:ascii="Calibri" w:eastAsia="宋体" w:hAnsi="Calibri" w:cs="Calibri"/>
          <w:sz w:val="24"/>
        </w:rPr>
        <w:t>1.6358%</w:t>
      </w:r>
      <w:r w:rsidRPr="00447BCB">
        <w:rPr>
          <w:rFonts w:ascii="Calibri" w:eastAsia="宋体" w:hAnsi="Calibri" w:cs="Calibri"/>
          <w:sz w:val="24"/>
        </w:rPr>
        <w:t>，反而略低于单独的</w:t>
      </w:r>
      <w:r w:rsidRPr="00447BCB">
        <w:rPr>
          <w:rFonts w:ascii="Calibri" w:eastAsia="宋体" w:hAnsi="Calibri" w:cs="Calibri"/>
          <w:sz w:val="24"/>
        </w:rPr>
        <w:t>VCF</w:t>
      </w:r>
      <w:r w:rsidRPr="00447BCB">
        <w:rPr>
          <w:rFonts w:ascii="Calibri" w:eastAsia="宋体" w:hAnsi="Calibri" w:cs="Calibri"/>
          <w:sz w:val="24"/>
        </w:rPr>
        <w:t>，且分组收益单调性弱。这表明，在沪深</w:t>
      </w:r>
      <w:r w:rsidRPr="00447BCB">
        <w:rPr>
          <w:rFonts w:ascii="Calibri" w:eastAsia="宋体" w:hAnsi="Calibri" w:cs="Calibri"/>
          <w:sz w:val="24"/>
        </w:rPr>
        <w:t>300</w:t>
      </w:r>
      <w:r w:rsidRPr="00447BCB">
        <w:rPr>
          <w:rFonts w:ascii="Calibri" w:eastAsia="宋体" w:hAnsi="Calibri" w:cs="Calibri"/>
          <w:sz w:val="24"/>
        </w:rPr>
        <w:t>中，</w:t>
      </w:r>
      <w:r w:rsidRPr="00447BCB">
        <w:rPr>
          <w:rFonts w:ascii="Calibri" w:eastAsia="宋体" w:hAnsi="Calibri" w:cs="Calibri"/>
          <w:sz w:val="24"/>
        </w:rPr>
        <w:t>PCF</w:t>
      </w:r>
      <w:r w:rsidRPr="00447BCB">
        <w:rPr>
          <w:rFonts w:ascii="Calibri" w:eastAsia="宋体" w:hAnsi="Calibri" w:cs="Calibri"/>
          <w:sz w:val="24"/>
        </w:rPr>
        <w:t>的微弱噪音干扰了</w:t>
      </w:r>
      <w:r w:rsidRPr="00447BCB">
        <w:rPr>
          <w:rFonts w:ascii="Calibri" w:eastAsia="宋体" w:hAnsi="Calibri" w:cs="Calibri"/>
          <w:sz w:val="24"/>
        </w:rPr>
        <w:t>VCF</w:t>
      </w:r>
      <w:r w:rsidRPr="00447BCB">
        <w:rPr>
          <w:rFonts w:ascii="Calibri" w:eastAsia="宋体" w:hAnsi="Calibri" w:cs="Calibri"/>
          <w:sz w:val="24"/>
        </w:rPr>
        <w:t>本就不强的信号。</w:t>
      </w:r>
    </w:p>
    <w:p w14:paraId="37864FF4" w14:textId="65450D83" w:rsidR="00FD3915" w:rsidRDefault="00FD3915" w:rsidP="00FD3915">
      <w:pPr>
        <w:spacing w:after="0" w:line="360" w:lineRule="auto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图</w:t>
      </w:r>
      <w:r>
        <w:rPr>
          <w:rFonts w:ascii="Calibri" w:eastAsia="宋体" w:hAnsi="Calibri" w:cs="Calibri" w:hint="eastAsia"/>
          <w:sz w:val="24"/>
        </w:rPr>
        <w:t>5</w:t>
      </w:r>
      <w:r>
        <w:rPr>
          <w:rFonts w:ascii="Calibri" w:eastAsia="宋体" w:hAnsi="Calibri" w:cs="Calibri" w:hint="eastAsia"/>
          <w:sz w:val="24"/>
        </w:rPr>
        <w:t>：</w:t>
      </w:r>
      <w:r w:rsidRPr="00FD3915">
        <w:rPr>
          <w:rFonts w:ascii="Calibri" w:eastAsia="宋体" w:hAnsi="Calibri" w:cs="Calibri"/>
          <w:sz w:val="24"/>
        </w:rPr>
        <w:t>价格收敛因子与成交量收敛因子保持负相关性</w:t>
      </w:r>
    </w:p>
    <w:p w14:paraId="5DE4CA5E" w14:textId="581E49D5" w:rsidR="00FD3915" w:rsidRDefault="00FD3915" w:rsidP="00FD3915">
      <w:pPr>
        <w:spacing w:after="0" w:line="360" w:lineRule="auto"/>
        <w:ind w:firstLineChars="200" w:firstLine="440"/>
        <w:jc w:val="center"/>
        <w:rPr>
          <w:rFonts w:ascii="Calibri" w:eastAsia="宋体" w:hAnsi="Calibri" w:cs="Calibri"/>
          <w:sz w:val="24"/>
        </w:rPr>
      </w:pPr>
      <w:r>
        <w:rPr>
          <w:noProof/>
        </w:rPr>
        <w:drawing>
          <wp:inline distT="0" distB="0" distL="0" distR="0" wp14:anchorId="1D036053" wp14:editId="18C2FC11">
            <wp:extent cx="3600000" cy="1542981"/>
            <wp:effectExtent l="0" t="0" r="635" b="635"/>
            <wp:docPr id="112594278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A4DC7" w14:textId="4DF63543" w:rsidR="00FD3915" w:rsidRDefault="00FD3915" w:rsidP="00FD3915">
      <w:pPr>
        <w:spacing w:after="0" w:line="360" w:lineRule="auto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图</w:t>
      </w:r>
      <w:r>
        <w:rPr>
          <w:rFonts w:ascii="Calibri" w:eastAsia="宋体" w:hAnsi="Calibri" w:cs="Calibri" w:hint="eastAsia"/>
          <w:sz w:val="24"/>
        </w:rPr>
        <w:t>6</w:t>
      </w:r>
      <w:r>
        <w:rPr>
          <w:rFonts w:ascii="Calibri" w:eastAsia="宋体" w:hAnsi="Calibri" w:cs="Calibri" w:hint="eastAsia"/>
          <w:sz w:val="24"/>
        </w:rPr>
        <w:t>：</w:t>
      </w:r>
      <w:r w:rsidRPr="00FD3915">
        <w:rPr>
          <w:rFonts w:ascii="Calibri" w:eastAsia="宋体" w:hAnsi="Calibri" w:cs="Calibri"/>
          <w:sz w:val="24"/>
        </w:rPr>
        <w:t>价量双收敛因子</w:t>
      </w:r>
      <w:proofErr w:type="spellStart"/>
      <w:r w:rsidRPr="00FD3915">
        <w:rPr>
          <w:rFonts w:ascii="Calibri" w:eastAsia="宋体" w:hAnsi="Calibri" w:cs="Calibri"/>
          <w:sz w:val="24"/>
        </w:rPr>
        <w:t>RankIC</w:t>
      </w:r>
      <w:proofErr w:type="spellEnd"/>
      <w:r w:rsidRPr="00FD3915">
        <w:rPr>
          <w:rFonts w:ascii="Calibri" w:eastAsia="宋体" w:hAnsi="Calibri" w:cs="Calibri"/>
          <w:sz w:val="24"/>
        </w:rPr>
        <w:t>均值为</w:t>
      </w:r>
      <w:r w:rsidRPr="00FD3915">
        <w:rPr>
          <w:rFonts w:ascii="Calibri" w:eastAsia="宋体" w:hAnsi="Calibri" w:cs="Calibri"/>
          <w:sz w:val="24"/>
        </w:rPr>
        <w:t>1.6358%</w:t>
      </w:r>
    </w:p>
    <w:p w14:paraId="26566C43" w14:textId="39541462" w:rsidR="00FD3915" w:rsidRDefault="00FD3915" w:rsidP="00FD3915">
      <w:pPr>
        <w:spacing w:after="0" w:line="360" w:lineRule="auto"/>
        <w:ind w:firstLineChars="200" w:firstLine="440"/>
        <w:jc w:val="center"/>
        <w:rPr>
          <w:rFonts w:ascii="Calibri" w:eastAsia="宋体" w:hAnsi="Calibri" w:cs="Calibri"/>
          <w:sz w:val="24"/>
        </w:rPr>
      </w:pPr>
      <w:r>
        <w:rPr>
          <w:noProof/>
        </w:rPr>
        <w:lastRenderedPageBreak/>
        <w:drawing>
          <wp:inline distT="0" distB="0" distL="0" distR="0" wp14:anchorId="699ECBDD" wp14:editId="2E76A347">
            <wp:extent cx="3600000" cy="1800000"/>
            <wp:effectExtent l="0" t="0" r="635" b="0"/>
            <wp:docPr id="168945206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6931" w14:textId="000CC807" w:rsidR="00FD3915" w:rsidRDefault="00FD3915" w:rsidP="00FD3915">
      <w:pPr>
        <w:spacing w:after="0" w:line="360" w:lineRule="auto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图</w:t>
      </w:r>
      <w:r>
        <w:rPr>
          <w:rFonts w:ascii="Calibri" w:eastAsia="宋体" w:hAnsi="Calibri" w:cs="Calibri" w:hint="eastAsia"/>
          <w:sz w:val="24"/>
        </w:rPr>
        <w:t>7</w:t>
      </w:r>
      <w:r>
        <w:rPr>
          <w:rFonts w:ascii="Calibri" w:eastAsia="宋体" w:hAnsi="Calibri" w:cs="Calibri" w:hint="eastAsia"/>
          <w:sz w:val="24"/>
        </w:rPr>
        <w:t>：</w:t>
      </w:r>
      <w:r w:rsidRPr="00FD3915">
        <w:rPr>
          <w:rFonts w:ascii="Calibri" w:eastAsia="宋体" w:hAnsi="Calibri" w:cs="Calibri"/>
          <w:sz w:val="24"/>
        </w:rPr>
        <w:t>价量双收敛因子分组收益单调性弱</w:t>
      </w:r>
    </w:p>
    <w:p w14:paraId="5D9AE8E4" w14:textId="2D82F056" w:rsidR="00FD3915" w:rsidRPr="00447BCB" w:rsidRDefault="00FD3915" w:rsidP="00FD3915">
      <w:pPr>
        <w:spacing w:after="0" w:line="360" w:lineRule="auto"/>
        <w:ind w:firstLineChars="200" w:firstLine="440"/>
        <w:jc w:val="center"/>
        <w:rPr>
          <w:rFonts w:ascii="Calibri" w:eastAsia="宋体" w:hAnsi="Calibri" w:cs="Calibri"/>
          <w:sz w:val="24"/>
        </w:rPr>
      </w:pPr>
      <w:r>
        <w:rPr>
          <w:noProof/>
        </w:rPr>
        <w:drawing>
          <wp:inline distT="0" distB="0" distL="0" distR="0" wp14:anchorId="42C3CD80" wp14:editId="1307D4AD">
            <wp:extent cx="3600000" cy="1800000"/>
            <wp:effectExtent l="0" t="0" r="635" b="0"/>
            <wp:docPr id="10322661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28003" w14:textId="3DED632B" w:rsidR="00FD3915" w:rsidRDefault="006836FE" w:rsidP="00FD3915">
      <w:pPr>
        <w:spacing w:after="0" w:line="360" w:lineRule="auto"/>
        <w:ind w:firstLineChars="200" w:firstLine="480"/>
        <w:rPr>
          <w:rFonts w:ascii="Calibri" w:eastAsia="宋体" w:hAnsi="Calibri" w:cs="Calibri"/>
          <w:sz w:val="24"/>
        </w:rPr>
      </w:pPr>
      <w:r w:rsidRPr="00447BCB">
        <w:rPr>
          <w:rFonts w:ascii="Calibri" w:eastAsia="宋体" w:hAnsi="Calibri" w:cs="Calibri"/>
          <w:sz w:val="24"/>
        </w:rPr>
        <w:t>4</w:t>
      </w:r>
      <w:r w:rsidRPr="00447BCB">
        <w:rPr>
          <w:rFonts w:ascii="Calibri" w:eastAsia="宋体" w:hAnsi="Calibri" w:cs="Calibri"/>
          <w:sz w:val="24"/>
        </w:rPr>
        <w:t>、成交额收敛因子（</w:t>
      </w:r>
      <w:r w:rsidRPr="00447BCB">
        <w:rPr>
          <w:rFonts w:ascii="Calibri" w:eastAsia="宋体" w:hAnsi="Calibri" w:cs="Calibri"/>
          <w:sz w:val="24"/>
        </w:rPr>
        <w:t>ACF</w:t>
      </w:r>
      <w:r w:rsidRPr="00447BCB">
        <w:rPr>
          <w:rFonts w:ascii="Calibri" w:eastAsia="宋体" w:hAnsi="Calibri" w:cs="Calibri"/>
          <w:sz w:val="24"/>
        </w:rPr>
        <w:t>）的换手率收敛因子（</w:t>
      </w:r>
      <w:r w:rsidRPr="00447BCB">
        <w:rPr>
          <w:rFonts w:ascii="Calibri" w:eastAsia="宋体" w:hAnsi="Calibri" w:cs="Calibri"/>
          <w:sz w:val="24"/>
        </w:rPr>
        <w:t>TRCF</w:t>
      </w:r>
      <w:r w:rsidRPr="00447BCB">
        <w:rPr>
          <w:rFonts w:ascii="Calibri" w:eastAsia="宋体" w:hAnsi="Calibri" w:cs="Calibri"/>
          <w:sz w:val="24"/>
        </w:rPr>
        <w:t>），</w:t>
      </w:r>
      <w:proofErr w:type="spellStart"/>
      <w:r w:rsidRPr="00447BCB">
        <w:rPr>
          <w:rFonts w:ascii="Calibri" w:eastAsia="宋体" w:hAnsi="Calibri" w:cs="Calibri"/>
          <w:sz w:val="24"/>
        </w:rPr>
        <w:t>RankIC</w:t>
      </w:r>
      <w:proofErr w:type="spellEnd"/>
      <w:r w:rsidRPr="00447BCB">
        <w:rPr>
          <w:rFonts w:ascii="Calibri" w:eastAsia="宋体" w:hAnsi="Calibri" w:cs="Calibri"/>
          <w:sz w:val="24"/>
        </w:rPr>
        <w:t>均值分别为</w:t>
      </w:r>
      <w:r w:rsidRPr="00447BCB">
        <w:rPr>
          <w:rFonts w:ascii="Calibri" w:eastAsia="宋体" w:hAnsi="Calibri" w:cs="Calibri"/>
          <w:sz w:val="24"/>
        </w:rPr>
        <w:t>2.2087%</w:t>
      </w:r>
      <w:r w:rsidRPr="00447BCB">
        <w:rPr>
          <w:rFonts w:ascii="Calibri" w:eastAsia="宋体" w:hAnsi="Calibri" w:cs="Calibri"/>
          <w:sz w:val="24"/>
        </w:rPr>
        <w:t>和</w:t>
      </w:r>
      <w:r w:rsidRPr="00447BCB">
        <w:rPr>
          <w:rFonts w:ascii="Calibri" w:eastAsia="宋体" w:hAnsi="Calibri" w:cs="Calibri"/>
          <w:sz w:val="24"/>
        </w:rPr>
        <w:t>2.3924%</w:t>
      </w:r>
      <w:r w:rsidRPr="00447BCB">
        <w:rPr>
          <w:rFonts w:ascii="Calibri" w:eastAsia="宋体" w:hAnsi="Calibri" w:cs="Calibri"/>
          <w:sz w:val="24"/>
        </w:rPr>
        <w:t>，在本次测试的因子中居前。这一排序与原报告一致，印证了其逻辑</w:t>
      </w:r>
      <w:r w:rsidR="00447BCB" w:rsidRPr="00447BCB">
        <w:rPr>
          <w:rFonts w:ascii="Calibri" w:eastAsia="宋体" w:hAnsi="Calibri" w:cs="Calibri"/>
          <w:sz w:val="24"/>
        </w:rPr>
        <w:t>。并且，效仿文章，使用表现最佳的</w:t>
      </w:r>
      <w:r w:rsidR="00447BCB" w:rsidRPr="00447BCB">
        <w:rPr>
          <w:rFonts w:ascii="Calibri" w:eastAsia="宋体" w:hAnsi="Calibri" w:cs="Calibri"/>
          <w:sz w:val="24"/>
        </w:rPr>
        <w:t>TRCF</w:t>
      </w:r>
      <w:r w:rsidR="00447BCB" w:rsidRPr="00447BCB">
        <w:rPr>
          <w:rFonts w:ascii="Calibri" w:eastAsia="宋体" w:hAnsi="Calibri" w:cs="Calibri"/>
          <w:sz w:val="24"/>
        </w:rPr>
        <w:t>因子构建了针对沪深</w:t>
      </w:r>
      <w:r w:rsidR="00447BCB" w:rsidRPr="00447BCB">
        <w:rPr>
          <w:rFonts w:ascii="Calibri" w:eastAsia="宋体" w:hAnsi="Calibri" w:cs="Calibri"/>
          <w:sz w:val="24"/>
        </w:rPr>
        <w:t>300</w:t>
      </w:r>
      <w:r w:rsidR="00447BCB" w:rsidRPr="00447BCB">
        <w:rPr>
          <w:rFonts w:ascii="Calibri" w:eastAsia="宋体" w:hAnsi="Calibri" w:cs="Calibri"/>
          <w:sz w:val="24"/>
        </w:rPr>
        <w:t>的指数增强策略。结果显示，该策略的收益预测表现不佳，且会出现失效风险。</w:t>
      </w:r>
    </w:p>
    <w:p w14:paraId="7F2DB1FA" w14:textId="3F48D7C2" w:rsidR="00FD3915" w:rsidRDefault="00464AB9" w:rsidP="00FD3915">
      <w:pPr>
        <w:spacing w:after="0" w:line="360" w:lineRule="auto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图</w:t>
      </w:r>
      <w:r>
        <w:rPr>
          <w:rFonts w:ascii="Calibri" w:eastAsia="宋体" w:hAnsi="Calibri" w:cs="Calibri" w:hint="eastAsia"/>
          <w:sz w:val="24"/>
        </w:rPr>
        <w:t>8</w:t>
      </w:r>
      <w:r>
        <w:rPr>
          <w:rFonts w:ascii="Calibri" w:eastAsia="宋体" w:hAnsi="Calibri" w:cs="Calibri" w:hint="eastAsia"/>
          <w:sz w:val="24"/>
        </w:rPr>
        <w:t>：</w:t>
      </w:r>
      <w:r w:rsidRPr="00464AB9">
        <w:rPr>
          <w:rFonts w:ascii="Calibri" w:eastAsia="宋体" w:hAnsi="Calibri" w:cs="Calibri"/>
          <w:sz w:val="24"/>
        </w:rPr>
        <w:t>成交额收敛因子</w:t>
      </w:r>
      <w:proofErr w:type="spellStart"/>
      <w:r w:rsidRPr="00464AB9">
        <w:rPr>
          <w:rFonts w:ascii="Calibri" w:eastAsia="宋体" w:hAnsi="Calibri" w:cs="Calibri"/>
          <w:sz w:val="24"/>
        </w:rPr>
        <w:t>RankIC</w:t>
      </w:r>
      <w:proofErr w:type="spellEnd"/>
      <w:r w:rsidRPr="00464AB9">
        <w:rPr>
          <w:rFonts w:ascii="Calibri" w:eastAsia="宋体" w:hAnsi="Calibri" w:cs="Calibri"/>
          <w:sz w:val="24"/>
        </w:rPr>
        <w:t>均值为</w:t>
      </w:r>
      <w:r w:rsidRPr="00464AB9">
        <w:rPr>
          <w:rFonts w:ascii="Calibri" w:eastAsia="宋体" w:hAnsi="Calibri" w:cs="Calibri"/>
          <w:sz w:val="24"/>
        </w:rPr>
        <w:t>2.2087%</w:t>
      </w:r>
    </w:p>
    <w:p w14:paraId="15881A85" w14:textId="77777777" w:rsidR="00464AB9" w:rsidRDefault="00FD3915" w:rsidP="00464AB9">
      <w:pPr>
        <w:spacing w:after="0" w:line="360" w:lineRule="auto"/>
        <w:jc w:val="center"/>
        <w:rPr>
          <w:rFonts w:ascii="Calibri" w:eastAsia="宋体" w:hAnsi="Calibri" w:cs="Calibri"/>
          <w:sz w:val="24"/>
        </w:rPr>
      </w:pPr>
      <w:r>
        <w:rPr>
          <w:noProof/>
        </w:rPr>
        <w:drawing>
          <wp:inline distT="0" distB="0" distL="0" distR="0" wp14:anchorId="170F1B96" wp14:editId="5FFCD432">
            <wp:extent cx="3600000" cy="1800000"/>
            <wp:effectExtent l="0" t="0" r="635" b="0"/>
            <wp:docPr id="173254195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CE5F" w14:textId="4E496335" w:rsidR="00464AB9" w:rsidRDefault="00464AB9" w:rsidP="00464AB9">
      <w:pPr>
        <w:spacing w:after="0" w:line="360" w:lineRule="auto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图</w:t>
      </w:r>
      <w:r>
        <w:rPr>
          <w:rFonts w:ascii="Calibri" w:eastAsia="宋体" w:hAnsi="Calibri" w:cs="Calibri" w:hint="eastAsia"/>
          <w:sz w:val="24"/>
        </w:rPr>
        <w:t>9</w:t>
      </w:r>
      <w:r>
        <w:rPr>
          <w:rFonts w:ascii="Calibri" w:eastAsia="宋体" w:hAnsi="Calibri" w:cs="Calibri" w:hint="eastAsia"/>
          <w:sz w:val="24"/>
        </w:rPr>
        <w:t>：</w:t>
      </w:r>
      <w:r w:rsidRPr="00464AB9">
        <w:rPr>
          <w:rFonts w:ascii="Calibri" w:eastAsia="宋体" w:hAnsi="Calibri" w:cs="Calibri"/>
          <w:sz w:val="24"/>
        </w:rPr>
        <w:t>成交额收敛因子分组收益</w:t>
      </w:r>
    </w:p>
    <w:p w14:paraId="0639E305" w14:textId="00C38A99" w:rsidR="00FD3915" w:rsidRDefault="00FD3915" w:rsidP="00464AB9">
      <w:pPr>
        <w:spacing w:after="0" w:line="360" w:lineRule="auto"/>
        <w:jc w:val="center"/>
        <w:rPr>
          <w:rFonts w:ascii="Calibri" w:eastAsia="宋体" w:hAnsi="Calibri" w:cs="Calibri"/>
          <w:sz w:val="24"/>
        </w:rPr>
      </w:pPr>
      <w:r>
        <w:rPr>
          <w:noProof/>
        </w:rPr>
        <w:lastRenderedPageBreak/>
        <w:drawing>
          <wp:inline distT="0" distB="0" distL="0" distR="0" wp14:anchorId="39A2073C" wp14:editId="3109CCA6">
            <wp:extent cx="3600000" cy="1800000"/>
            <wp:effectExtent l="0" t="0" r="635" b="0"/>
            <wp:docPr id="6894274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8329" w14:textId="5EBF3871" w:rsidR="00464AB9" w:rsidRDefault="00464AB9" w:rsidP="00464AB9">
      <w:pPr>
        <w:spacing w:after="0" w:line="360" w:lineRule="auto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图</w:t>
      </w:r>
      <w:r>
        <w:rPr>
          <w:rFonts w:ascii="Calibri" w:eastAsia="宋体" w:hAnsi="Calibri" w:cs="Calibri" w:hint="eastAsia"/>
          <w:sz w:val="24"/>
        </w:rPr>
        <w:t>11</w:t>
      </w:r>
      <w:r>
        <w:rPr>
          <w:rFonts w:ascii="Calibri" w:eastAsia="宋体" w:hAnsi="Calibri" w:cs="Calibri" w:hint="eastAsia"/>
          <w:sz w:val="24"/>
        </w:rPr>
        <w:t>：</w:t>
      </w:r>
      <w:r w:rsidRPr="00464AB9">
        <w:rPr>
          <w:rFonts w:ascii="Calibri" w:eastAsia="宋体" w:hAnsi="Calibri" w:cs="Calibri"/>
          <w:sz w:val="24"/>
        </w:rPr>
        <w:t>换手率收敛因子</w:t>
      </w:r>
      <w:proofErr w:type="spellStart"/>
      <w:r w:rsidRPr="00464AB9">
        <w:rPr>
          <w:rFonts w:ascii="Calibri" w:eastAsia="宋体" w:hAnsi="Calibri" w:cs="Calibri"/>
          <w:sz w:val="24"/>
        </w:rPr>
        <w:t>RankIC</w:t>
      </w:r>
      <w:proofErr w:type="spellEnd"/>
      <w:r w:rsidRPr="00464AB9">
        <w:rPr>
          <w:rFonts w:ascii="Calibri" w:eastAsia="宋体" w:hAnsi="Calibri" w:cs="Calibri"/>
          <w:sz w:val="24"/>
        </w:rPr>
        <w:t>均值为</w:t>
      </w:r>
      <w:r w:rsidRPr="00464AB9">
        <w:rPr>
          <w:rFonts w:ascii="Calibri" w:eastAsia="宋体" w:hAnsi="Calibri" w:cs="Calibri"/>
          <w:sz w:val="24"/>
        </w:rPr>
        <w:t>2.3924%</w:t>
      </w:r>
    </w:p>
    <w:p w14:paraId="4CA55BAA" w14:textId="77777777" w:rsidR="00464AB9" w:rsidRDefault="00464AB9" w:rsidP="00464AB9">
      <w:pPr>
        <w:spacing w:after="0" w:line="360" w:lineRule="auto"/>
        <w:jc w:val="center"/>
        <w:rPr>
          <w:rFonts w:ascii="Calibri" w:eastAsia="宋体" w:hAnsi="Calibri" w:cs="Calibri"/>
          <w:sz w:val="24"/>
        </w:rPr>
      </w:pPr>
      <w:r>
        <w:rPr>
          <w:noProof/>
        </w:rPr>
        <w:drawing>
          <wp:inline distT="0" distB="0" distL="0" distR="0" wp14:anchorId="247929A6" wp14:editId="3E93394B">
            <wp:extent cx="3600000" cy="1800000"/>
            <wp:effectExtent l="0" t="0" r="635" b="0"/>
            <wp:docPr id="65745041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5211" w14:textId="49A3E720" w:rsidR="00464AB9" w:rsidRDefault="00464AB9" w:rsidP="00464AB9">
      <w:pPr>
        <w:spacing w:after="0" w:line="360" w:lineRule="auto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图</w:t>
      </w:r>
      <w:r>
        <w:rPr>
          <w:rFonts w:ascii="Calibri" w:eastAsia="宋体" w:hAnsi="Calibri" w:cs="Calibri" w:hint="eastAsia"/>
          <w:sz w:val="24"/>
        </w:rPr>
        <w:t>12</w:t>
      </w:r>
      <w:r>
        <w:rPr>
          <w:rFonts w:ascii="Calibri" w:eastAsia="宋体" w:hAnsi="Calibri" w:cs="Calibri" w:hint="eastAsia"/>
          <w:sz w:val="24"/>
        </w:rPr>
        <w:t>：</w:t>
      </w:r>
      <w:r w:rsidRPr="00464AB9">
        <w:rPr>
          <w:rFonts w:ascii="Calibri" w:eastAsia="宋体" w:hAnsi="Calibri" w:cs="Calibri"/>
          <w:sz w:val="24"/>
        </w:rPr>
        <w:t>换手率收敛因子分组收益</w:t>
      </w:r>
    </w:p>
    <w:p w14:paraId="08EEF5FC" w14:textId="7EBA794C" w:rsidR="00464AB9" w:rsidRDefault="00464AB9" w:rsidP="00464AB9">
      <w:pPr>
        <w:spacing w:after="0" w:line="360" w:lineRule="auto"/>
        <w:jc w:val="center"/>
        <w:rPr>
          <w:rFonts w:ascii="Calibri" w:eastAsia="宋体" w:hAnsi="Calibri" w:cs="Calibri"/>
          <w:sz w:val="24"/>
        </w:rPr>
      </w:pPr>
      <w:r>
        <w:rPr>
          <w:noProof/>
        </w:rPr>
        <w:drawing>
          <wp:inline distT="0" distB="0" distL="0" distR="0" wp14:anchorId="573F8152" wp14:editId="460413E7">
            <wp:extent cx="3600000" cy="1800000"/>
            <wp:effectExtent l="0" t="0" r="635" b="0"/>
            <wp:docPr id="95285094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54C7" w14:textId="0B77BEC6" w:rsidR="00FD3915" w:rsidRDefault="00464AB9" w:rsidP="00464AB9">
      <w:pPr>
        <w:spacing w:after="0" w:line="360" w:lineRule="auto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图</w:t>
      </w:r>
      <w:r>
        <w:rPr>
          <w:rFonts w:ascii="Calibri" w:eastAsia="宋体" w:hAnsi="Calibri" w:cs="Calibri" w:hint="eastAsia"/>
          <w:sz w:val="24"/>
        </w:rPr>
        <w:t>17</w:t>
      </w:r>
      <w:r>
        <w:rPr>
          <w:rFonts w:ascii="Calibri" w:eastAsia="宋体" w:hAnsi="Calibri" w:cs="Calibri" w:hint="eastAsia"/>
          <w:sz w:val="24"/>
        </w:rPr>
        <w:t>：</w:t>
      </w:r>
      <w:r>
        <w:rPr>
          <w:rFonts w:ascii="Calibri" w:eastAsia="宋体" w:hAnsi="Calibri" w:cs="Calibri" w:hint="eastAsia"/>
          <w:sz w:val="24"/>
        </w:rPr>
        <w:t>TRCF</w:t>
      </w:r>
      <w:r>
        <w:rPr>
          <w:rFonts w:ascii="Calibri" w:eastAsia="宋体" w:hAnsi="Calibri" w:cs="Calibri" w:hint="eastAsia"/>
          <w:sz w:val="24"/>
        </w:rPr>
        <w:t>在沪深</w:t>
      </w:r>
      <w:r>
        <w:rPr>
          <w:rFonts w:ascii="Calibri" w:eastAsia="宋体" w:hAnsi="Calibri" w:cs="Calibri" w:hint="eastAsia"/>
          <w:sz w:val="24"/>
        </w:rPr>
        <w:t>300</w:t>
      </w:r>
      <w:r>
        <w:rPr>
          <w:rFonts w:ascii="Calibri" w:eastAsia="宋体" w:hAnsi="Calibri" w:cs="Calibri" w:hint="eastAsia"/>
          <w:sz w:val="24"/>
        </w:rPr>
        <w:t>中的预测能力</w:t>
      </w:r>
    </w:p>
    <w:p w14:paraId="6F15CABE" w14:textId="77777777" w:rsidR="00464AB9" w:rsidRDefault="00464AB9" w:rsidP="00464AB9">
      <w:pPr>
        <w:spacing w:after="0" w:line="360" w:lineRule="auto"/>
        <w:ind w:firstLineChars="200" w:firstLine="440"/>
        <w:jc w:val="center"/>
        <w:rPr>
          <w:rFonts w:ascii="Calibri" w:eastAsia="宋体" w:hAnsi="Calibri" w:cs="Calibri"/>
          <w:sz w:val="24"/>
        </w:rPr>
      </w:pPr>
      <w:r>
        <w:rPr>
          <w:noProof/>
        </w:rPr>
        <w:drawing>
          <wp:inline distT="0" distB="0" distL="0" distR="0" wp14:anchorId="026AD5D1" wp14:editId="34216E20">
            <wp:extent cx="3600000" cy="1773561"/>
            <wp:effectExtent l="0" t="0" r="635" b="0"/>
            <wp:docPr id="8765324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3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AC34" w14:textId="7AE0111B" w:rsidR="00464AB9" w:rsidRDefault="00464AB9" w:rsidP="00464AB9">
      <w:pPr>
        <w:spacing w:after="0" w:line="360" w:lineRule="auto"/>
        <w:ind w:firstLineChars="200" w:firstLine="480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lastRenderedPageBreak/>
        <w:t>图</w:t>
      </w:r>
      <w:r>
        <w:rPr>
          <w:rFonts w:ascii="Calibri" w:eastAsia="宋体" w:hAnsi="Calibri" w:cs="Calibri" w:hint="eastAsia"/>
          <w:sz w:val="24"/>
        </w:rPr>
        <w:t>18</w:t>
      </w:r>
      <w:r>
        <w:rPr>
          <w:rFonts w:ascii="Calibri" w:eastAsia="宋体" w:hAnsi="Calibri" w:cs="Calibri" w:hint="eastAsia"/>
          <w:sz w:val="24"/>
        </w:rPr>
        <w:t>：</w:t>
      </w:r>
      <w:r>
        <w:rPr>
          <w:rFonts w:ascii="Calibri" w:eastAsia="宋体" w:hAnsi="Calibri" w:cs="Calibri" w:hint="eastAsia"/>
          <w:sz w:val="24"/>
        </w:rPr>
        <w:t>TRCF</w:t>
      </w:r>
      <w:r>
        <w:rPr>
          <w:rFonts w:ascii="Calibri" w:eastAsia="宋体" w:hAnsi="Calibri" w:cs="Calibri" w:hint="eastAsia"/>
          <w:sz w:val="24"/>
        </w:rPr>
        <w:t>在沪深</w:t>
      </w:r>
      <w:r>
        <w:rPr>
          <w:rFonts w:ascii="Calibri" w:eastAsia="宋体" w:hAnsi="Calibri" w:cs="Calibri" w:hint="eastAsia"/>
          <w:sz w:val="24"/>
        </w:rPr>
        <w:t>300</w:t>
      </w:r>
      <w:r>
        <w:rPr>
          <w:rFonts w:ascii="Calibri" w:eastAsia="宋体" w:hAnsi="Calibri" w:cs="Calibri" w:hint="eastAsia"/>
          <w:sz w:val="24"/>
        </w:rPr>
        <w:t>指数中的增强表现</w:t>
      </w:r>
    </w:p>
    <w:p w14:paraId="712F4F1A" w14:textId="77777777" w:rsidR="00746A24" w:rsidRDefault="00464AB9" w:rsidP="00746A24">
      <w:pPr>
        <w:spacing w:after="0" w:line="360" w:lineRule="auto"/>
        <w:ind w:firstLineChars="200" w:firstLine="440"/>
        <w:jc w:val="center"/>
        <w:rPr>
          <w:rFonts w:ascii="Calibri" w:eastAsia="宋体" w:hAnsi="Calibri" w:cs="Calibri"/>
          <w:sz w:val="24"/>
        </w:rPr>
      </w:pPr>
      <w:r>
        <w:rPr>
          <w:noProof/>
        </w:rPr>
        <w:drawing>
          <wp:inline distT="0" distB="0" distL="0" distR="0" wp14:anchorId="5799528B" wp14:editId="0B8CD058">
            <wp:extent cx="3600000" cy="1800000"/>
            <wp:effectExtent l="0" t="0" r="635" b="0"/>
            <wp:docPr id="126991964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7A17" w14:textId="0BE1D183" w:rsidR="00746A24" w:rsidRDefault="00B7136C" w:rsidP="00746A24">
      <w:pPr>
        <w:spacing w:after="0" w:line="360" w:lineRule="auto"/>
        <w:ind w:firstLineChars="200" w:firstLine="480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5</w:t>
      </w:r>
      <w:r>
        <w:rPr>
          <w:rFonts w:ascii="Calibri" w:eastAsia="宋体" w:hAnsi="Calibri" w:cs="Calibri" w:hint="eastAsia"/>
          <w:sz w:val="24"/>
        </w:rPr>
        <w:t>、</w:t>
      </w:r>
      <w:r w:rsidR="00746A24">
        <w:rPr>
          <w:rFonts w:ascii="Calibri" w:eastAsia="宋体" w:hAnsi="Calibri" w:cs="Calibri" w:hint="eastAsia"/>
          <w:sz w:val="24"/>
        </w:rPr>
        <w:t>在完成上述实验后，针对周频</w:t>
      </w:r>
      <w:r w:rsidR="00746A24">
        <w:rPr>
          <w:rFonts w:ascii="Calibri" w:eastAsia="宋体" w:hAnsi="Calibri" w:cs="Calibri" w:hint="eastAsia"/>
          <w:sz w:val="24"/>
        </w:rPr>
        <w:t>TRCF</w:t>
      </w:r>
      <w:r w:rsidR="00746A24">
        <w:rPr>
          <w:rFonts w:ascii="Calibri" w:eastAsia="宋体" w:hAnsi="Calibri" w:cs="Calibri" w:hint="eastAsia"/>
          <w:sz w:val="24"/>
        </w:rPr>
        <w:t>实验进行了复现，发现在</w:t>
      </w:r>
      <w:r w:rsidR="00746A24" w:rsidRPr="00746A24">
        <w:rPr>
          <w:rFonts w:ascii="Calibri" w:eastAsia="宋体" w:hAnsi="Calibri" w:cs="Calibri"/>
          <w:sz w:val="24"/>
        </w:rPr>
        <w:t>周频</w:t>
      </w:r>
      <w:proofErr w:type="gramStart"/>
      <w:r w:rsidR="00746A24" w:rsidRPr="00746A24">
        <w:rPr>
          <w:rFonts w:ascii="Calibri" w:eastAsia="宋体" w:hAnsi="Calibri" w:cs="Calibri"/>
          <w:sz w:val="24"/>
        </w:rPr>
        <w:t>调仓下</w:t>
      </w:r>
      <w:proofErr w:type="gramEnd"/>
      <w:r w:rsidR="00746A24" w:rsidRPr="00746A24">
        <w:rPr>
          <w:rFonts w:ascii="Calibri" w:eastAsia="宋体" w:hAnsi="Calibri" w:cs="Calibri" w:hint="eastAsia"/>
          <w:sz w:val="24"/>
        </w:rPr>
        <w:t>，</w:t>
      </w:r>
      <w:r w:rsidR="00746A24" w:rsidRPr="00746A24">
        <w:rPr>
          <w:rFonts w:ascii="Calibri" w:eastAsia="宋体" w:hAnsi="Calibri" w:cs="Calibri"/>
          <w:sz w:val="24"/>
        </w:rPr>
        <w:t>换手率收敛因子</w:t>
      </w:r>
      <w:proofErr w:type="spellStart"/>
      <w:r w:rsidR="00746A24" w:rsidRPr="00746A24">
        <w:rPr>
          <w:rFonts w:ascii="Calibri" w:eastAsia="宋体" w:hAnsi="Calibri" w:cs="Calibri"/>
          <w:sz w:val="24"/>
        </w:rPr>
        <w:t>RankIC</w:t>
      </w:r>
      <w:proofErr w:type="spellEnd"/>
      <w:r w:rsidR="00746A24" w:rsidRPr="00746A24">
        <w:rPr>
          <w:rFonts w:ascii="Calibri" w:eastAsia="宋体" w:hAnsi="Calibri" w:cs="Calibri"/>
          <w:sz w:val="24"/>
        </w:rPr>
        <w:t>均值为</w:t>
      </w:r>
      <w:r w:rsidR="00746A24" w:rsidRPr="00746A24">
        <w:rPr>
          <w:rFonts w:ascii="Calibri" w:eastAsia="宋体" w:hAnsi="Calibri" w:cs="Calibri"/>
          <w:sz w:val="24"/>
        </w:rPr>
        <w:t>1.2372%</w:t>
      </w:r>
      <w:r w:rsidR="00746A24">
        <w:rPr>
          <w:rFonts w:ascii="Calibri" w:eastAsia="宋体" w:hAnsi="Calibri" w:cs="Calibri" w:hint="eastAsia"/>
          <w:sz w:val="24"/>
        </w:rPr>
        <w:t>，显著低于原先的</w:t>
      </w:r>
      <w:r w:rsidR="00746A24">
        <w:rPr>
          <w:rFonts w:ascii="Calibri" w:eastAsia="宋体" w:hAnsi="Calibri" w:cs="Calibri" w:hint="eastAsia"/>
          <w:sz w:val="24"/>
        </w:rPr>
        <w:t>2.3924%</w:t>
      </w:r>
      <w:r w:rsidR="00746A24">
        <w:rPr>
          <w:rFonts w:ascii="Calibri" w:eastAsia="宋体" w:hAnsi="Calibri" w:cs="Calibri" w:hint="eastAsia"/>
          <w:sz w:val="24"/>
        </w:rPr>
        <w:t>。虽然</w:t>
      </w:r>
      <w:r w:rsidR="00746A24" w:rsidRPr="00746A24">
        <w:rPr>
          <w:rFonts w:ascii="Calibri" w:eastAsia="宋体" w:hAnsi="Calibri" w:cs="Calibri"/>
          <w:sz w:val="24"/>
        </w:rPr>
        <w:t>远低于原文报告在全市场中的周频结果（</w:t>
      </w:r>
      <w:r w:rsidR="00746A24" w:rsidRPr="00746A24">
        <w:rPr>
          <w:rFonts w:ascii="Calibri" w:eastAsia="宋体" w:hAnsi="Calibri" w:cs="Calibri"/>
          <w:sz w:val="24"/>
        </w:rPr>
        <w:t>7.87%</w:t>
      </w:r>
      <w:r w:rsidR="00746A24" w:rsidRPr="00746A24">
        <w:rPr>
          <w:rFonts w:ascii="Calibri" w:eastAsia="宋体" w:hAnsi="Calibri" w:cs="Calibri"/>
          <w:sz w:val="24"/>
        </w:rPr>
        <w:t>）</w:t>
      </w:r>
      <w:r w:rsidR="00746A24">
        <w:rPr>
          <w:rFonts w:ascii="Calibri" w:eastAsia="宋体" w:hAnsi="Calibri" w:cs="Calibri" w:hint="eastAsia"/>
          <w:sz w:val="24"/>
        </w:rPr>
        <w:t>，但</w:t>
      </w:r>
      <w:r w:rsidR="00746A24" w:rsidRPr="00746A24">
        <w:rPr>
          <w:rFonts w:ascii="Calibri" w:eastAsia="宋体" w:hAnsi="Calibri" w:cs="Calibri"/>
          <w:sz w:val="24"/>
        </w:rPr>
        <w:t>与原文揭示的规律方向一致。</w:t>
      </w:r>
    </w:p>
    <w:p w14:paraId="5FB432F6" w14:textId="7C216D49" w:rsidR="00746A24" w:rsidRDefault="00746A24" w:rsidP="00746A24">
      <w:pPr>
        <w:spacing w:after="0" w:line="360" w:lineRule="auto"/>
        <w:ind w:firstLineChars="200" w:firstLine="480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而针对图</w:t>
      </w:r>
      <w:r>
        <w:rPr>
          <w:rFonts w:ascii="Calibri" w:eastAsia="宋体" w:hAnsi="Calibri" w:cs="Calibri" w:hint="eastAsia"/>
          <w:sz w:val="24"/>
        </w:rPr>
        <w:t>23</w:t>
      </w:r>
      <w:r>
        <w:rPr>
          <w:rFonts w:ascii="Calibri" w:eastAsia="宋体" w:hAnsi="Calibri" w:cs="Calibri" w:hint="eastAsia"/>
          <w:sz w:val="24"/>
        </w:rPr>
        <w:t>的复现依旧效果不佳，说明</w:t>
      </w:r>
      <w:r w:rsidRPr="00746A24">
        <w:rPr>
          <w:rFonts w:ascii="Calibri" w:eastAsia="宋体" w:hAnsi="Calibri" w:cs="Calibri"/>
          <w:sz w:val="24"/>
        </w:rPr>
        <w:t>提高调仓频率并未能</w:t>
      </w:r>
      <w:r>
        <w:rPr>
          <w:rFonts w:ascii="Calibri" w:eastAsia="宋体" w:hAnsi="Calibri" w:cs="Calibri" w:hint="eastAsia"/>
          <w:sz w:val="24"/>
        </w:rPr>
        <w:t>在沪深</w:t>
      </w:r>
      <w:r>
        <w:rPr>
          <w:rFonts w:ascii="Calibri" w:eastAsia="宋体" w:hAnsi="Calibri" w:cs="Calibri" w:hint="eastAsia"/>
          <w:sz w:val="24"/>
        </w:rPr>
        <w:t>300</w:t>
      </w:r>
      <w:r>
        <w:rPr>
          <w:rFonts w:ascii="Calibri" w:eastAsia="宋体" w:hAnsi="Calibri" w:cs="Calibri" w:hint="eastAsia"/>
          <w:sz w:val="24"/>
        </w:rPr>
        <w:t>的样本</w:t>
      </w:r>
      <w:r w:rsidRPr="00746A24">
        <w:rPr>
          <w:rFonts w:ascii="Calibri" w:eastAsia="宋体" w:hAnsi="Calibri" w:cs="Calibri"/>
          <w:sz w:val="24"/>
        </w:rPr>
        <w:t>中有效提升因子的选股区分能力</w:t>
      </w:r>
      <w:r>
        <w:rPr>
          <w:rFonts w:ascii="Calibri" w:eastAsia="宋体" w:hAnsi="Calibri" w:cs="Calibri" w:hint="eastAsia"/>
          <w:sz w:val="24"/>
        </w:rPr>
        <w:t>。</w:t>
      </w:r>
    </w:p>
    <w:p w14:paraId="774F0EA8" w14:textId="7264F45C" w:rsidR="00746A24" w:rsidRPr="00746A24" w:rsidRDefault="00746A24" w:rsidP="00746A24">
      <w:pPr>
        <w:spacing w:after="0" w:line="360" w:lineRule="auto"/>
        <w:ind w:firstLineChars="200" w:firstLine="480"/>
        <w:rPr>
          <w:rFonts w:ascii="Calibri" w:eastAsia="宋体" w:hAnsi="Calibri" w:cs="Calibri" w:hint="eastAsia"/>
          <w:sz w:val="24"/>
        </w:rPr>
      </w:pPr>
      <w:r>
        <w:rPr>
          <w:rFonts w:ascii="Calibri" w:eastAsia="宋体" w:hAnsi="Calibri" w:cs="Calibri" w:hint="eastAsia"/>
          <w:sz w:val="24"/>
        </w:rPr>
        <w:t>因此，我认为，在沪深</w:t>
      </w:r>
      <w:r>
        <w:rPr>
          <w:rFonts w:ascii="Calibri" w:eastAsia="宋体" w:hAnsi="Calibri" w:cs="Calibri" w:hint="eastAsia"/>
          <w:sz w:val="24"/>
        </w:rPr>
        <w:t>300</w:t>
      </w:r>
      <w:r>
        <w:rPr>
          <w:rFonts w:ascii="Calibri" w:eastAsia="宋体" w:hAnsi="Calibri" w:cs="Calibri" w:hint="eastAsia"/>
          <w:sz w:val="24"/>
        </w:rPr>
        <w:t>本身市场的特征影响下，因子的预测能力会受到极大程度的影响。也就是说</w:t>
      </w:r>
      <w:r w:rsidRPr="00746A24">
        <w:rPr>
          <w:rFonts w:ascii="Calibri" w:eastAsia="宋体" w:hAnsi="Calibri" w:cs="Calibri"/>
          <w:sz w:val="24"/>
        </w:rPr>
        <w:t>当因子在某一市场环境中本身失效时，任何后续的战术性优化都将失去意义</w:t>
      </w:r>
      <w:r>
        <w:rPr>
          <w:rFonts w:ascii="Calibri" w:eastAsia="宋体" w:hAnsi="Calibri" w:cs="Calibri" w:hint="eastAsia"/>
          <w:sz w:val="24"/>
        </w:rPr>
        <w:t>。</w:t>
      </w:r>
    </w:p>
    <w:p w14:paraId="02062E98" w14:textId="4CF349B3" w:rsidR="00746A24" w:rsidRDefault="00746A24" w:rsidP="00B7136C">
      <w:pPr>
        <w:spacing w:after="0" w:line="360" w:lineRule="auto"/>
        <w:rPr>
          <w:rFonts w:ascii="Calibri" w:eastAsia="宋体" w:hAnsi="Calibri" w:cs="Calibri" w:hint="eastAsia"/>
          <w:sz w:val="24"/>
        </w:rPr>
      </w:pPr>
      <w:r>
        <w:rPr>
          <w:rFonts w:ascii="Calibri" w:eastAsia="宋体" w:hAnsi="Calibri" w:cs="Calibri" w:hint="eastAsia"/>
          <w:sz w:val="24"/>
        </w:rPr>
        <w:t>图</w:t>
      </w:r>
      <w:r>
        <w:rPr>
          <w:rFonts w:ascii="Calibri" w:eastAsia="宋体" w:hAnsi="Calibri" w:cs="Calibri" w:hint="eastAsia"/>
          <w:sz w:val="24"/>
        </w:rPr>
        <w:t>22</w:t>
      </w:r>
      <w:r>
        <w:rPr>
          <w:rFonts w:ascii="Calibri" w:eastAsia="宋体" w:hAnsi="Calibri" w:cs="Calibri" w:hint="eastAsia"/>
          <w:sz w:val="24"/>
        </w:rPr>
        <w:t>：</w:t>
      </w:r>
      <w:r w:rsidRPr="00746A24">
        <w:rPr>
          <w:rFonts w:ascii="Calibri" w:eastAsia="宋体" w:hAnsi="Calibri" w:cs="Calibri"/>
          <w:sz w:val="24"/>
        </w:rPr>
        <w:t>周频</w:t>
      </w:r>
      <w:proofErr w:type="gramStart"/>
      <w:r w:rsidRPr="00746A24">
        <w:rPr>
          <w:rFonts w:ascii="Calibri" w:eastAsia="宋体" w:hAnsi="Calibri" w:cs="Calibri"/>
          <w:sz w:val="24"/>
        </w:rPr>
        <w:t>调仓下</w:t>
      </w:r>
      <w:proofErr w:type="gramEnd"/>
      <w:r w:rsidRPr="00746A24">
        <w:rPr>
          <w:rFonts w:ascii="Calibri" w:eastAsia="宋体" w:hAnsi="Calibri" w:cs="Calibri"/>
          <w:sz w:val="24"/>
        </w:rPr>
        <w:t>换手率收敛因子</w:t>
      </w:r>
      <w:proofErr w:type="spellStart"/>
      <w:r w:rsidRPr="00746A24">
        <w:rPr>
          <w:rFonts w:ascii="Calibri" w:eastAsia="宋体" w:hAnsi="Calibri" w:cs="Calibri"/>
          <w:sz w:val="24"/>
        </w:rPr>
        <w:t>RankIC</w:t>
      </w:r>
      <w:proofErr w:type="spellEnd"/>
      <w:r w:rsidRPr="00746A24">
        <w:rPr>
          <w:rFonts w:ascii="Calibri" w:eastAsia="宋体" w:hAnsi="Calibri" w:cs="Calibri"/>
          <w:sz w:val="24"/>
        </w:rPr>
        <w:t>均值为</w:t>
      </w:r>
      <w:r w:rsidRPr="00746A24">
        <w:rPr>
          <w:rFonts w:ascii="Calibri" w:eastAsia="宋体" w:hAnsi="Calibri" w:cs="Calibri"/>
          <w:sz w:val="24"/>
        </w:rPr>
        <w:t>1.2372%</w:t>
      </w:r>
    </w:p>
    <w:p w14:paraId="5B25A207" w14:textId="77777777" w:rsidR="00746A24" w:rsidRDefault="00746A24" w:rsidP="00746A24">
      <w:pPr>
        <w:spacing w:after="0" w:line="360" w:lineRule="auto"/>
        <w:jc w:val="center"/>
        <w:rPr>
          <w:rFonts w:ascii="Calibri" w:eastAsia="宋体" w:hAnsi="Calibri" w:cs="Calibri"/>
          <w:sz w:val="24"/>
        </w:rPr>
      </w:pPr>
      <w:r>
        <w:rPr>
          <w:noProof/>
        </w:rPr>
        <w:drawing>
          <wp:inline distT="0" distB="0" distL="0" distR="0" wp14:anchorId="7D66B8B4" wp14:editId="33DB1F68">
            <wp:extent cx="3600000" cy="1800000"/>
            <wp:effectExtent l="0" t="0" r="635" b="0"/>
            <wp:docPr id="2535954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3C6F7" w14:textId="35AC3A8F" w:rsidR="00746A24" w:rsidRDefault="00746A24" w:rsidP="00746A24">
      <w:pPr>
        <w:spacing w:after="0" w:line="360" w:lineRule="auto"/>
        <w:rPr>
          <w:rFonts w:ascii="Calibri" w:eastAsia="宋体" w:hAnsi="Calibri" w:cs="Calibri" w:hint="eastAsia"/>
          <w:sz w:val="24"/>
        </w:rPr>
      </w:pPr>
      <w:r>
        <w:rPr>
          <w:rFonts w:ascii="Calibri" w:eastAsia="宋体" w:hAnsi="Calibri" w:cs="Calibri" w:hint="eastAsia"/>
          <w:sz w:val="24"/>
        </w:rPr>
        <w:t>图</w:t>
      </w:r>
      <w:r>
        <w:rPr>
          <w:rFonts w:ascii="Calibri" w:eastAsia="宋体" w:hAnsi="Calibri" w:cs="Calibri" w:hint="eastAsia"/>
          <w:sz w:val="24"/>
        </w:rPr>
        <w:t>23</w:t>
      </w:r>
      <w:r>
        <w:rPr>
          <w:rFonts w:ascii="Calibri" w:eastAsia="宋体" w:hAnsi="Calibri" w:cs="Calibri" w:hint="eastAsia"/>
          <w:sz w:val="24"/>
        </w:rPr>
        <w:t>：周频</w:t>
      </w:r>
      <w:proofErr w:type="gramStart"/>
      <w:r>
        <w:rPr>
          <w:rFonts w:ascii="Calibri" w:eastAsia="宋体" w:hAnsi="Calibri" w:cs="Calibri" w:hint="eastAsia"/>
          <w:sz w:val="24"/>
        </w:rPr>
        <w:t>调仓下</w:t>
      </w:r>
      <w:proofErr w:type="gramEnd"/>
      <w:r>
        <w:rPr>
          <w:rFonts w:ascii="Calibri" w:eastAsia="宋体" w:hAnsi="Calibri" w:cs="Calibri" w:hint="eastAsia"/>
          <w:sz w:val="24"/>
        </w:rPr>
        <w:t>换手率收敛因子分组收益</w:t>
      </w:r>
    </w:p>
    <w:p w14:paraId="338F72FF" w14:textId="4DC5BD16" w:rsidR="00746A24" w:rsidRDefault="00746A24" w:rsidP="00746A24">
      <w:pPr>
        <w:spacing w:after="0" w:line="360" w:lineRule="auto"/>
        <w:jc w:val="center"/>
        <w:rPr>
          <w:rFonts w:ascii="Calibri" w:eastAsia="宋体" w:hAnsi="Calibri" w:cs="Calibri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68C8BD83" wp14:editId="01083B64">
            <wp:extent cx="3600000" cy="1800000"/>
            <wp:effectExtent l="0" t="0" r="635" b="0"/>
            <wp:docPr id="138736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266BB" w14:textId="788E5121" w:rsidR="002326BF" w:rsidRDefault="002326BF" w:rsidP="002326BF">
      <w:pPr>
        <w:pStyle w:val="a"/>
        <w:rPr>
          <w:rFonts w:hint="eastAsia"/>
        </w:rPr>
      </w:pPr>
      <w:r>
        <w:rPr>
          <w:rFonts w:hint="eastAsia"/>
        </w:rPr>
        <w:t>与原报告出入</w:t>
      </w:r>
    </w:p>
    <w:p w14:paraId="41915DD3" w14:textId="411102A9" w:rsidR="002326BF" w:rsidRPr="007E110D" w:rsidRDefault="00447BCB" w:rsidP="007E110D">
      <w:pPr>
        <w:spacing w:after="0" w:line="360" w:lineRule="auto"/>
        <w:ind w:firstLineChars="200" w:firstLine="480"/>
        <w:rPr>
          <w:rFonts w:ascii="Calibri" w:eastAsia="宋体" w:hAnsi="Calibri" w:cs="Calibri"/>
          <w:sz w:val="24"/>
        </w:rPr>
      </w:pPr>
      <w:r w:rsidRPr="007E110D">
        <w:rPr>
          <w:rFonts w:ascii="Calibri" w:eastAsia="宋体" w:hAnsi="Calibri" w:cs="Calibri"/>
          <w:sz w:val="24"/>
        </w:rPr>
        <w:t>本次复现结论与原报告呈现</w:t>
      </w:r>
      <w:r w:rsidRPr="007E110D">
        <w:rPr>
          <w:rFonts w:ascii="Calibri" w:eastAsia="宋体" w:hAnsi="Calibri" w:cs="Calibri" w:hint="eastAsia"/>
          <w:sz w:val="24"/>
        </w:rPr>
        <w:t>出较为显著的</w:t>
      </w:r>
      <w:r w:rsidRPr="007E110D">
        <w:rPr>
          <w:rFonts w:ascii="Calibri" w:eastAsia="宋体" w:hAnsi="Calibri" w:cs="Calibri"/>
          <w:sz w:val="24"/>
        </w:rPr>
        <w:t>差异</w:t>
      </w:r>
      <w:r w:rsidRPr="007E110D">
        <w:rPr>
          <w:rFonts w:ascii="Calibri" w:eastAsia="宋体" w:hAnsi="Calibri" w:cs="Calibri" w:hint="eastAsia"/>
          <w:sz w:val="24"/>
        </w:rPr>
        <w:t>，我认为原因可能出现在样本空间的选择上。</w:t>
      </w:r>
    </w:p>
    <w:p w14:paraId="458519D2" w14:textId="3BDCFAD5" w:rsidR="00447BCB" w:rsidRPr="007E110D" w:rsidRDefault="00447BCB" w:rsidP="007E110D">
      <w:pPr>
        <w:spacing w:after="0" w:line="360" w:lineRule="auto"/>
        <w:ind w:firstLineChars="200" w:firstLine="480"/>
        <w:rPr>
          <w:rFonts w:ascii="Calibri" w:eastAsia="宋体" w:hAnsi="Calibri" w:cs="Calibri"/>
          <w:sz w:val="24"/>
        </w:rPr>
      </w:pPr>
      <w:r w:rsidRPr="007E110D">
        <w:rPr>
          <w:rFonts w:ascii="Calibri" w:eastAsia="宋体" w:hAnsi="Calibri" w:cs="Calibri" w:hint="eastAsia"/>
          <w:sz w:val="24"/>
        </w:rPr>
        <w:t>首先，原报告的结论建立在全市场</w:t>
      </w:r>
      <w:r w:rsidRPr="007E110D">
        <w:rPr>
          <w:rFonts w:ascii="Calibri" w:eastAsia="宋体" w:hAnsi="Calibri" w:cs="Calibri" w:hint="eastAsia"/>
          <w:sz w:val="24"/>
        </w:rPr>
        <w:t>4000-5000</w:t>
      </w:r>
      <w:r w:rsidRPr="007E110D">
        <w:rPr>
          <w:rFonts w:ascii="Calibri" w:eastAsia="宋体" w:hAnsi="Calibri" w:cs="Calibri" w:hint="eastAsia"/>
          <w:sz w:val="24"/>
        </w:rPr>
        <w:t>只股票的样本中，且时间跨度长，</w:t>
      </w:r>
      <w:proofErr w:type="gramStart"/>
      <w:r w:rsidRPr="007E110D">
        <w:rPr>
          <w:rFonts w:ascii="Calibri" w:eastAsia="宋体" w:hAnsi="Calibri" w:cs="Calibri" w:hint="eastAsia"/>
          <w:sz w:val="24"/>
        </w:rPr>
        <w:t>能很大</w:t>
      </w:r>
      <w:proofErr w:type="gramEnd"/>
      <w:r w:rsidRPr="007E110D">
        <w:rPr>
          <w:rFonts w:ascii="Calibri" w:eastAsia="宋体" w:hAnsi="Calibri" w:cs="Calibri" w:hint="eastAsia"/>
          <w:sz w:val="24"/>
        </w:rPr>
        <w:t>程度上的剔除特殊个体带来的影响，</w:t>
      </w:r>
      <w:r w:rsidR="007E110D" w:rsidRPr="007E110D">
        <w:rPr>
          <w:rFonts w:ascii="Calibri" w:eastAsia="宋体" w:hAnsi="Calibri" w:cs="Calibri"/>
          <w:sz w:val="24"/>
        </w:rPr>
        <w:t>包含了大量中小市值</w:t>
      </w:r>
      <w:r w:rsidR="007E110D" w:rsidRPr="007E110D">
        <w:rPr>
          <w:rFonts w:ascii="Calibri" w:eastAsia="宋体" w:hAnsi="Calibri" w:cs="Calibri" w:hint="eastAsia"/>
          <w:sz w:val="24"/>
        </w:rPr>
        <w:t>的上市公司，因此可以得出价量因子的逻辑，反映了市场非理性情绪、信息不对称或流动性冲击，从而创造了可预测的错误定价机会。</w:t>
      </w:r>
    </w:p>
    <w:p w14:paraId="7D2B6323" w14:textId="77777777" w:rsidR="007E110D" w:rsidRPr="00D22A14" w:rsidRDefault="007E110D" w:rsidP="007E110D">
      <w:pPr>
        <w:spacing w:after="0" w:line="360" w:lineRule="auto"/>
        <w:ind w:firstLineChars="200" w:firstLine="480"/>
        <w:rPr>
          <w:rFonts w:ascii="Calibri" w:eastAsia="宋体" w:hAnsi="Calibri" w:cs="Calibri"/>
          <w:sz w:val="24"/>
        </w:rPr>
      </w:pPr>
      <w:r w:rsidRPr="007E110D">
        <w:rPr>
          <w:rFonts w:ascii="Calibri" w:eastAsia="宋体" w:hAnsi="Calibri" w:cs="Calibri" w:hint="eastAsia"/>
          <w:sz w:val="24"/>
        </w:rPr>
        <w:t>而本</w:t>
      </w:r>
      <w:r w:rsidRPr="00D22A14">
        <w:rPr>
          <w:rFonts w:ascii="Calibri" w:eastAsia="宋体" w:hAnsi="Calibri" w:cs="Calibri" w:hint="eastAsia"/>
          <w:sz w:val="24"/>
        </w:rPr>
        <w:t>次实验复现的数据首先选择了沪深</w:t>
      </w:r>
      <w:r w:rsidRPr="00D22A14">
        <w:rPr>
          <w:rFonts w:ascii="Calibri" w:eastAsia="宋体" w:hAnsi="Calibri" w:cs="Calibri" w:hint="eastAsia"/>
          <w:sz w:val="24"/>
        </w:rPr>
        <w:t>300</w:t>
      </w:r>
      <w:r w:rsidRPr="00D22A14">
        <w:rPr>
          <w:rFonts w:ascii="Calibri" w:eastAsia="宋体" w:hAnsi="Calibri" w:cs="Calibri" w:hint="eastAsia"/>
          <w:sz w:val="24"/>
        </w:rPr>
        <w:t>指数，它</w:t>
      </w:r>
      <w:r w:rsidRPr="00D22A14">
        <w:rPr>
          <w:rFonts w:ascii="Calibri" w:eastAsia="宋体" w:hAnsi="Calibri" w:cs="Calibri"/>
          <w:sz w:val="24"/>
        </w:rPr>
        <w:t>代表了中国</w:t>
      </w:r>
      <w:r w:rsidRPr="00D22A14">
        <w:rPr>
          <w:rFonts w:ascii="Calibri" w:eastAsia="宋体" w:hAnsi="Calibri" w:cs="Calibri"/>
          <w:sz w:val="24"/>
        </w:rPr>
        <w:t>A</w:t>
      </w:r>
      <w:r w:rsidRPr="00D22A14">
        <w:rPr>
          <w:rFonts w:ascii="Calibri" w:eastAsia="宋体" w:hAnsi="Calibri" w:cs="Calibri"/>
          <w:sz w:val="24"/>
        </w:rPr>
        <w:t>股市场中最大、最成熟、最受关注的</w:t>
      </w:r>
      <w:r w:rsidRPr="00D22A14">
        <w:rPr>
          <w:rFonts w:ascii="Calibri" w:eastAsia="宋体" w:hAnsi="Calibri" w:cs="Calibri"/>
          <w:sz w:val="24"/>
        </w:rPr>
        <w:t>300</w:t>
      </w:r>
      <w:r w:rsidRPr="00D22A14">
        <w:rPr>
          <w:rFonts w:ascii="Calibri" w:eastAsia="宋体" w:hAnsi="Calibri" w:cs="Calibri"/>
          <w:sz w:val="24"/>
        </w:rPr>
        <w:t>家上市公司</w:t>
      </w:r>
      <w:r w:rsidRPr="00D22A14">
        <w:rPr>
          <w:rFonts w:ascii="Calibri" w:eastAsia="宋体" w:hAnsi="Calibri" w:cs="Calibri" w:hint="eastAsia"/>
          <w:sz w:val="24"/>
        </w:rPr>
        <w:t>。其本身</w:t>
      </w:r>
      <w:r w:rsidRPr="00D22A14">
        <w:rPr>
          <w:rFonts w:ascii="Calibri" w:eastAsia="宋体" w:hAnsi="Calibri" w:cs="Calibri"/>
          <w:sz w:val="24"/>
        </w:rPr>
        <w:t>机构投资者主导、信息披露充分、流动性充裕</w:t>
      </w:r>
      <w:r w:rsidRPr="00D22A14">
        <w:rPr>
          <w:rFonts w:ascii="Calibri" w:eastAsia="宋体" w:hAnsi="Calibri" w:cs="Calibri" w:hint="eastAsia"/>
          <w:sz w:val="24"/>
        </w:rPr>
        <w:t>的特点注定了，其市场环境的高效，因此错误定价的机会自然被大幅压缩。与此同时，原文中也提到，</w:t>
      </w:r>
      <w:r w:rsidRPr="00D22A14">
        <w:rPr>
          <w:rFonts w:ascii="Calibri" w:eastAsia="宋体" w:hAnsi="Calibri" w:cs="Calibri"/>
          <w:sz w:val="24"/>
        </w:rPr>
        <w:t>：</w:t>
      </w:r>
      <w:r w:rsidRPr="00D22A14">
        <w:rPr>
          <w:rFonts w:ascii="Calibri" w:eastAsia="宋体" w:hAnsi="Calibri" w:cs="Calibri"/>
          <w:sz w:val="24"/>
        </w:rPr>
        <w:t>TRCF</w:t>
      </w:r>
      <w:r w:rsidRPr="00D22A14">
        <w:rPr>
          <w:rFonts w:ascii="Calibri" w:eastAsia="宋体" w:hAnsi="Calibri" w:cs="Calibri"/>
          <w:sz w:val="24"/>
        </w:rPr>
        <w:t>在沪深</w:t>
      </w:r>
      <w:r w:rsidRPr="00D22A14">
        <w:rPr>
          <w:rFonts w:ascii="Calibri" w:eastAsia="宋体" w:hAnsi="Calibri" w:cs="Calibri"/>
          <w:sz w:val="24"/>
        </w:rPr>
        <w:t>300</w:t>
      </w:r>
      <w:r w:rsidRPr="00D22A14">
        <w:rPr>
          <w:rFonts w:ascii="Calibri" w:eastAsia="宋体" w:hAnsi="Calibri" w:cs="Calibri"/>
          <w:sz w:val="24"/>
        </w:rPr>
        <w:t>中偶尔出现失效风险</w:t>
      </w:r>
      <w:r w:rsidRPr="00D22A14">
        <w:rPr>
          <w:rFonts w:ascii="Calibri" w:eastAsia="宋体" w:hAnsi="Calibri" w:cs="Calibri" w:hint="eastAsia"/>
          <w:sz w:val="24"/>
        </w:rPr>
        <w:t>，可见报告对</w:t>
      </w:r>
      <w:r w:rsidRPr="00D22A14">
        <w:rPr>
          <w:rFonts w:ascii="Calibri" w:eastAsia="宋体" w:hAnsi="Calibri" w:cs="Calibri" w:hint="eastAsia"/>
          <w:sz w:val="24"/>
        </w:rPr>
        <w:t>TRCF</w:t>
      </w:r>
      <w:r w:rsidRPr="00D22A14">
        <w:rPr>
          <w:rFonts w:ascii="Calibri" w:eastAsia="宋体" w:hAnsi="Calibri" w:cs="Calibri" w:hint="eastAsia"/>
          <w:sz w:val="24"/>
        </w:rPr>
        <w:t>在沪深</w:t>
      </w:r>
      <w:r w:rsidRPr="00D22A14">
        <w:rPr>
          <w:rFonts w:ascii="Calibri" w:eastAsia="宋体" w:hAnsi="Calibri" w:cs="Calibri" w:hint="eastAsia"/>
          <w:sz w:val="24"/>
        </w:rPr>
        <w:t>300</w:t>
      </w:r>
      <w:r w:rsidRPr="00D22A14">
        <w:rPr>
          <w:rFonts w:ascii="Calibri" w:eastAsia="宋体" w:hAnsi="Calibri" w:cs="Calibri" w:hint="eastAsia"/>
          <w:sz w:val="24"/>
        </w:rPr>
        <w:t>指数中的效果也呈现出不乐观的态度。</w:t>
      </w:r>
    </w:p>
    <w:p w14:paraId="4F015434" w14:textId="2999A347" w:rsidR="00746A24" w:rsidRPr="00D22A14" w:rsidRDefault="007E110D" w:rsidP="00521F5B">
      <w:pPr>
        <w:spacing w:after="0" w:line="360" w:lineRule="auto"/>
        <w:ind w:firstLineChars="200" w:firstLine="480"/>
        <w:rPr>
          <w:rFonts w:ascii="Calibri" w:eastAsia="宋体" w:hAnsi="Calibri" w:cs="Calibri" w:hint="eastAsia"/>
          <w:sz w:val="24"/>
        </w:rPr>
      </w:pPr>
      <w:r w:rsidRPr="00D22A14">
        <w:rPr>
          <w:rFonts w:ascii="Calibri" w:eastAsia="宋体" w:hAnsi="Calibri" w:cs="Calibri" w:hint="eastAsia"/>
          <w:sz w:val="24"/>
        </w:rPr>
        <w:t>本次复现得出的总体结果与文章中提出的规律“</w:t>
      </w:r>
      <w:r w:rsidRPr="00D22A14">
        <w:rPr>
          <w:rFonts w:ascii="Calibri" w:eastAsia="宋体" w:hAnsi="Calibri" w:cs="Calibri" w:hint="eastAsia"/>
          <w:sz w:val="24"/>
        </w:rPr>
        <w:t>TRCF</w:t>
      </w:r>
      <w:r w:rsidRPr="00D22A14">
        <w:rPr>
          <w:rFonts w:ascii="Calibri" w:eastAsia="宋体" w:hAnsi="Calibri" w:cs="Calibri"/>
          <w:sz w:val="24"/>
        </w:rPr>
        <w:t>因子在大盘股中效果显著衰退</w:t>
      </w:r>
      <w:r w:rsidRPr="00D22A14">
        <w:rPr>
          <w:rFonts w:ascii="Calibri" w:eastAsia="宋体" w:hAnsi="Calibri" w:cs="Calibri" w:hint="eastAsia"/>
          <w:sz w:val="24"/>
        </w:rPr>
        <w:t>”相吻合。其核心原因在于，</w:t>
      </w:r>
      <w:r w:rsidRPr="00D22A14">
        <w:rPr>
          <w:rFonts w:ascii="Calibri" w:eastAsia="宋体" w:hAnsi="Calibri" w:cs="Calibri"/>
          <w:sz w:val="24"/>
        </w:rPr>
        <w:t>超额收益的源头</w:t>
      </w:r>
      <w:r w:rsidRPr="00D22A14">
        <w:rPr>
          <w:rFonts w:ascii="Calibri" w:eastAsia="宋体" w:hAnsi="Calibri" w:cs="Calibri" w:hint="eastAsia"/>
          <w:sz w:val="24"/>
        </w:rPr>
        <w:t>是从</w:t>
      </w:r>
      <w:r w:rsidRPr="00D22A14">
        <w:rPr>
          <w:rFonts w:ascii="Calibri" w:eastAsia="宋体" w:hAnsi="Calibri" w:cs="Calibri"/>
          <w:sz w:val="24"/>
        </w:rPr>
        <w:t>从小市值、</w:t>
      </w:r>
      <w:proofErr w:type="gramStart"/>
      <w:r w:rsidRPr="00D22A14">
        <w:rPr>
          <w:rFonts w:ascii="Calibri" w:eastAsia="宋体" w:hAnsi="Calibri" w:cs="Calibri"/>
          <w:sz w:val="24"/>
        </w:rPr>
        <w:t>低关注度股票</w:t>
      </w:r>
      <w:proofErr w:type="gramEnd"/>
      <w:r w:rsidRPr="00D22A14">
        <w:rPr>
          <w:rFonts w:ascii="Calibri" w:eastAsia="宋体" w:hAnsi="Calibri" w:cs="Calibri"/>
          <w:sz w:val="24"/>
        </w:rPr>
        <w:t>中挖掘的非理性</w:t>
      </w:r>
      <w:r w:rsidRPr="00D22A14">
        <w:rPr>
          <w:rFonts w:ascii="Calibri" w:eastAsia="宋体" w:hAnsi="Calibri" w:cs="Calibri" w:hint="eastAsia"/>
          <w:sz w:val="24"/>
        </w:rPr>
        <w:t>的因素导致的不同，然而</w:t>
      </w:r>
      <w:r w:rsidRPr="00D22A14">
        <w:rPr>
          <w:rFonts w:ascii="Calibri" w:eastAsia="宋体" w:hAnsi="Calibri" w:cs="Calibri"/>
          <w:sz w:val="24"/>
        </w:rPr>
        <w:t>在沪深</w:t>
      </w:r>
      <w:r w:rsidRPr="00D22A14">
        <w:rPr>
          <w:rFonts w:ascii="Calibri" w:eastAsia="宋体" w:hAnsi="Calibri" w:cs="Calibri"/>
          <w:sz w:val="24"/>
        </w:rPr>
        <w:t>300</w:t>
      </w:r>
      <w:r w:rsidRPr="00D22A14">
        <w:rPr>
          <w:rFonts w:ascii="Calibri" w:eastAsia="宋体" w:hAnsi="Calibri" w:cs="Calibri" w:hint="eastAsia"/>
          <w:sz w:val="24"/>
        </w:rPr>
        <w:t>指数</w:t>
      </w:r>
      <w:r w:rsidRPr="00D22A14">
        <w:rPr>
          <w:rFonts w:ascii="Calibri" w:eastAsia="宋体" w:hAnsi="Calibri" w:cs="Calibri"/>
          <w:sz w:val="24"/>
        </w:rPr>
        <w:t>这个样本</w:t>
      </w:r>
      <w:r w:rsidRPr="00D22A14">
        <w:rPr>
          <w:rFonts w:ascii="Calibri" w:eastAsia="宋体" w:hAnsi="Calibri" w:cs="Calibri" w:hint="eastAsia"/>
          <w:sz w:val="24"/>
        </w:rPr>
        <w:t>空间</w:t>
      </w:r>
      <w:r w:rsidRPr="00D22A14">
        <w:rPr>
          <w:rFonts w:ascii="Calibri" w:eastAsia="宋体" w:hAnsi="Calibri" w:cs="Calibri"/>
          <w:sz w:val="24"/>
        </w:rPr>
        <w:t>中</w:t>
      </w:r>
      <w:r w:rsidRPr="00D22A14">
        <w:rPr>
          <w:rFonts w:ascii="Calibri" w:eastAsia="宋体" w:hAnsi="Calibri" w:cs="Calibri" w:hint="eastAsia"/>
          <w:sz w:val="24"/>
        </w:rPr>
        <w:t>，源头</w:t>
      </w:r>
      <w:r w:rsidRPr="00D22A14">
        <w:rPr>
          <w:rFonts w:ascii="Calibri" w:eastAsia="宋体" w:hAnsi="Calibri" w:cs="Calibri"/>
          <w:sz w:val="24"/>
        </w:rPr>
        <w:t>被基本排除</w:t>
      </w:r>
      <w:r w:rsidRPr="00D22A14">
        <w:rPr>
          <w:rFonts w:ascii="Calibri" w:eastAsia="宋体" w:hAnsi="Calibri" w:cs="Calibri" w:hint="eastAsia"/>
          <w:sz w:val="24"/>
        </w:rPr>
        <w:t>。</w:t>
      </w:r>
    </w:p>
    <w:p w14:paraId="2EC0EC86" w14:textId="2C037E30" w:rsidR="000B7C2A" w:rsidRDefault="002326BF" w:rsidP="000B7C2A">
      <w:pPr>
        <w:pStyle w:val="a"/>
        <w:rPr>
          <w:rFonts w:hint="eastAsia"/>
        </w:rPr>
      </w:pPr>
      <w:r>
        <w:rPr>
          <w:rFonts w:hint="eastAsia"/>
        </w:rPr>
        <w:t>心得体会</w:t>
      </w:r>
    </w:p>
    <w:p w14:paraId="3A3EA1C1" w14:textId="7E506068" w:rsidR="000B7C2A" w:rsidRDefault="004506E0" w:rsidP="004506E0">
      <w:pPr>
        <w:spacing w:after="0" w:line="360" w:lineRule="auto"/>
        <w:ind w:firstLineChars="200" w:firstLine="480"/>
        <w:rPr>
          <w:rFonts w:ascii="Calibri" w:eastAsia="宋体" w:hAnsi="Calibri" w:cs="Calibri"/>
          <w:sz w:val="24"/>
        </w:rPr>
      </w:pPr>
      <w:r w:rsidRPr="004506E0">
        <w:rPr>
          <w:rFonts w:ascii="Calibri" w:eastAsia="宋体" w:hAnsi="Calibri" w:cs="Calibri" w:hint="eastAsia"/>
          <w:sz w:val="24"/>
        </w:rPr>
        <w:t>本</w:t>
      </w:r>
      <w:r w:rsidR="000B7C2A" w:rsidRPr="004506E0">
        <w:rPr>
          <w:rFonts w:ascii="Calibri" w:eastAsia="宋体" w:hAnsi="Calibri" w:cs="Calibri" w:hint="eastAsia"/>
          <w:sz w:val="24"/>
        </w:rPr>
        <w:t>次复现在代码实现过程中，两个技术细节的重要性尤为凸显：</w:t>
      </w:r>
    </w:p>
    <w:p w14:paraId="0560E387" w14:textId="0BE7FC43" w:rsidR="004506E0" w:rsidRDefault="004506E0" w:rsidP="004506E0">
      <w:pPr>
        <w:spacing w:after="0" w:line="360" w:lineRule="auto"/>
        <w:ind w:firstLineChars="200" w:firstLine="480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首先，我再次认识到对数据预处理的重要性，</w:t>
      </w:r>
      <w:r w:rsidR="00861638">
        <w:rPr>
          <w:rFonts w:ascii="Calibri" w:eastAsia="宋体" w:hAnsi="Calibri" w:cs="Calibri" w:hint="eastAsia"/>
          <w:sz w:val="24"/>
        </w:rPr>
        <w:t>数据时间的精准对齐是前提，</w:t>
      </w:r>
      <w:r w:rsidR="00861638" w:rsidRPr="00861638">
        <w:rPr>
          <w:rFonts w:ascii="Calibri" w:eastAsia="宋体" w:hAnsi="Calibri" w:cs="Calibri"/>
          <w:sz w:val="24"/>
        </w:rPr>
        <w:t>确保因子计算日、交易信号生成日与收益计算日之间严格遵循时序逻辑</w:t>
      </w:r>
      <w:r w:rsidR="00861638">
        <w:rPr>
          <w:rFonts w:ascii="Calibri" w:eastAsia="宋体" w:hAnsi="Calibri" w:cs="Calibri" w:hint="eastAsia"/>
          <w:sz w:val="24"/>
        </w:rPr>
        <w:t>。初期遇到的许多异常结果，追溯调整后往往发现于数据格式、时间对齐的问题。</w:t>
      </w:r>
    </w:p>
    <w:p w14:paraId="770F0D2D" w14:textId="156CA7EC" w:rsidR="00861638" w:rsidRDefault="00861638" w:rsidP="004506E0">
      <w:pPr>
        <w:spacing w:after="0" w:line="360" w:lineRule="auto"/>
        <w:ind w:firstLineChars="200" w:firstLine="480"/>
        <w:rPr>
          <w:rFonts w:ascii="Calibri" w:eastAsia="宋体" w:hAnsi="Calibri" w:cs="Calibri"/>
          <w:sz w:val="24"/>
        </w:rPr>
      </w:pPr>
      <w:r>
        <w:rPr>
          <w:rFonts w:ascii="Calibri" w:eastAsia="宋体" w:hAnsi="Calibri" w:cs="Calibri" w:hint="eastAsia"/>
          <w:sz w:val="24"/>
        </w:rPr>
        <w:t>其次，</w:t>
      </w:r>
      <w:proofErr w:type="gramStart"/>
      <w:r>
        <w:rPr>
          <w:rFonts w:ascii="Calibri" w:eastAsia="宋体" w:hAnsi="Calibri" w:cs="Calibri" w:hint="eastAsia"/>
          <w:sz w:val="24"/>
        </w:rPr>
        <w:t>面对日度的</w:t>
      </w:r>
      <w:proofErr w:type="gramEnd"/>
      <w:r>
        <w:rPr>
          <w:rFonts w:ascii="Calibri" w:eastAsia="宋体" w:hAnsi="Calibri" w:cs="Calibri" w:hint="eastAsia"/>
          <w:sz w:val="24"/>
        </w:rPr>
        <w:t>数据量，尽管将指标计算、市场中性化、画图等封装为</w:t>
      </w:r>
      <w:r>
        <w:rPr>
          <w:rFonts w:ascii="Calibri" w:eastAsia="宋体" w:hAnsi="Calibri" w:cs="Calibri" w:hint="eastAsia"/>
          <w:sz w:val="24"/>
        </w:rPr>
        <w:lastRenderedPageBreak/>
        <w:t>函数依旧影响着输出速度，将关键环节，如处理完成后的因子面板持久化储存为</w:t>
      </w:r>
      <w:r>
        <w:rPr>
          <w:rFonts w:ascii="Calibri" w:eastAsia="宋体" w:hAnsi="Calibri" w:cs="Calibri" w:hint="eastAsia"/>
          <w:sz w:val="24"/>
        </w:rPr>
        <w:t>csv</w:t>
      </w:r>
      <w:r>
        <w:rPr>
          <w:rFonts w:ascii="Calibri" w:eastAsia="宋体" w:hAnsi="Calibri" w:cs="Calibri" w:hint="eastAsia"/>
          <w:sz w:val="24"/>
        </w:rPr>
        <w:t>格式，这一不仅便于调试复查，也为后续图像的综合实现提供了便利，降低了实验过程的重复性。</w:t>
      </w:r>
    </w:p>
    <w:p w14:paraId="43855471" w14:textId="017FE265" w:rsidR="00861638" w:rsidRDefault="00861638" w:rsidP="00861638">
      <w:pPr>
        <w:spacing w:after="0" w:line="360" w:lineRule="auto"/>
        <w:ind w:firstLineChars="200" w:firstLine="480"/>
        <w:rPr>
          <w:rFonts w:ascii="Calibri" w:eastAsia="宋体" w:hAnsi="Calibri" w:cs="Calibri"/>
          <w:sz w:val="24"/>
        </w:rPr>
      </w:pPr>
      <w:r w:rsidRPr="00861638">
        <w:rPr>
          <w:rFonts w:ascii="Calibri" w:eastAsia="宋体" w:hAnsi="Calibri" w:cs="Calibri"/>
          <w:sz w:val="24"/>
        </w:rPr>
        <w:t>最为核心的反思源于复现结果与原文的显著差异。当最初得到沪深</w:t>
      </w:r>
      <w:r w:rsidRPr="00861638">
        <w:rPr>
          <w:rFonts w:ascii="Calibri" w:eastAsia="宋体" w:hAnsi="Calibri" w:cs="Calibri"/>
          <w:sz w:val="24"/>
        </w:rPr>
        <w:t>300</w:t>
      </w:r>
      <w:r w:rsidRPr="00861638">
        <w:rPr>
          <w:rFonts w:ascii="Calibri" w:eastAsia="宋体" w:hAnsi="Calibri" w:cs="Calibri"/>
          <w:sz w:val="24"/>
        </w:rPr>
        <w:t>内各类收敛因子</w:t>
      </w:r>
      <w:proofErr w:type="spellStart"/>
      <w:r w:rsidRPr="00861638">
        <w:rPr>
          <w:rFonts w:ascii="Calibri" w:eastAsia="宋体" w:hAnsi="Calibri" w:cs="Calibri"/>
          <w:sz w:val="24"/>
        </w:rPr>
        <w:t>RankIC</w:t>
      </w:r>
      <w:proofErr w:type="spellEnd"/>
      <w:r w:rsidRPr="00861638">
        <w:rPr>
          <w:rFonts w:ascii="Calibri" w:eastAsia="宋体" w:hAnsi="Calibri" w:cs="Calibri"/>
          <w:sz w:val="24"/>
        </w:rPr>
        <w:t>普遍偏低、多空收益不显著的结果时，我的第一反应是对代码实现进行反复检视。</w:t>
      </w:r>
      <w:r>
        <w:rPr>
          <w:rFonts w:ascii="Calibri" w:eastAsia="宋体" w:hAnsi="Calibri" w:cs="Calibri" w:hint="eastAsia"/>
          <w:sz w:val="24"/>
        </w:rPr>
        <w:t>并且思考数据本身是否存在问题，在进行逐一排查后，确认数据源本身没有问题，以及</w:t>
      </w:r>
      <w:r w:rsidRPr="00861638">
        <w:rPr>
          <w:rFonts w:ascii="Calibri" w:eastAsia="宋体" w:hAnsi="Calibri" w:cs="Calibri"/>
          <w:sz w:val="24"/>
        </w:rPr>
        <w:t>在确认计算逻辑无误后，促使我进行更深层次的思考</w:t>
      </w:r>
      <w:r w:rsidR="003D1E5F">
        <w:rPr>
          <w:rFonts w:ascii="Calibri" w:eastAsia="宋体" w:hAnsi="Calibri" w:cs="Calibri" w:hint="eastAsia"/>
          <w:sz w:val="24"/>
        </w:rPr>
        <w:t>，是否结果本身就是这样的？</w:t>
      </w:r>
    </w:p>
    <w:p w14:paraId="2E69A3EE" w14:textId="09B76D16" w:rsidR="009B76CD" w:rsidRPr="0055386E" w:rsidRDefault="003D1E5F" w:rsidP="0055386E">
      <w:pPr>
        <w:spacing w:after="0" w:line="360" w:lineRule="auto"/>
        <w:ind w:firstLineChars="200" w:firstLine="480"/>
        <w:rPr>
          <w:rFonts w:ascii="Calibri" w:eastAsia="宋体" w:hAnsi="Calibri" w:cs="Calibri" w:hint="eastAsia"/>
          <w:sz w:val="24"/>
        </w:rPr>
      </w:pPr>
      <w:r>
        <w:rPr>
          <w:rFonts w:ascii="Calibri" w:eastAsia="宋体" w:hAnsi="Calibri" w:cs="Calibri" w:hint="eastAsia"/>
          <w:sz w:val="24"/>
        </w:rPr>
        <w:t>随后我打定主意先将代码进行完善，从整体的视角对问题进行分析，同时我也在思考，是否这一因子的有效性与选择的特定市场之间存在着强相关？</w:t>
      </w:r>
      <w:r w:rsidRPr="003D1E5F">
        <w:rPr>
          <w:rFonts w:ascii="Calibri" w:eastAsia="宋体" w:hAnsi="Calibri" w:cs="Calibri" w:hint="eastAsia"/>
          <w:sz w:val="24"/>
        </w:rPr>
        <w:t>。重读报告时，我特别注意到了原文中曾明确指出</w:t>
      </w:r>
      <w:r w:rsidRPr="003D1E5F">
        <w:rPr>
          <w:rFonts w:ascii="Calibri" w:eastAsia="宋体" w:hAnsi="Calibri" w:cs="Calibri" w:hint="eastAsia"/>
          <w:sz w:val="24"/>
        </w:rPr>
        <w:t>TRCF</w:t>
      </w:r>
      <w:r w:rsidRPr="003D1E5F">
        <w:rPr>
          <w:rFonts w:ascii="Calibri" w:eastAsia="宋体" w:hAnsi="Calibri" w:cs="Calibri" w:hint="eastAsia"/>
          <w:sz w:val="24"/>
        </w:rPr>
        <w:t>等因子在沪深</w:t>
      </w:r>
      <w:r w:rsidRPr="003D1E5F">
        <w:rPr>
          <w:rFonts w:ascii="Calibri" w:eastAsia="宋体" w:hAnsi="Calibri" w:cs="Calibri" w:hint="eastAsia"/>
          <w:sz w:val="24"/>
        </w:rPr>
        <w:t>300</w:t>
      </w:r>
      <w:r w:rsidRPr="003D1E5F">
        <w:rPr>
          <w:rFonts w:ascii="Calibri" w:eastAsia="宋体" w:hAnsi="Calibri" w:cs="Calibri" w:hint="eastAsia"/>
          <w:sz w:val="24"/>
        </w:rPr>
        <w:t>中效果衰退、而在中证</w:t>
      </w:r>
      <w:r w:rsidRPr="003D1E5F">
        <w:rPr>
          <w:rFonts w:ascii="Calibri" w:eastAsia="宋体" w:hAnsi="Calibri" w:cs="Calibri" w:hint="eastAsia"/>
          <w:sz w:val="24"/>
        </w:rPr>
        <w:t>1000</w:t>
      </w:r>
      <w:proofErr w:type="gramStart"/>
      <w:r w:rsidRPr="003D1E5F">
        <w:rPr>
          <w:rFonts w:ascii="Calibri" w:eastAsia="宋体" w:hAnsi="Calibri" w:cs="Calibri" w:hint="eastAsia"/>
          <w:sz w:val="24"/>
        </w:rPr>
        <w:t>与国证</w:t>
      </w:r>
      <w:proofErr w:type="gramEnd"/>
      <w:r w:rsidRPr="003D1E5F">
        <w:rPr>
          <w:rFonts w:ascii="Calibri" w:eastAsia="宋体" w:hAnsi="Calibri" w:cs="Calibri" w:hint="eastAsia"/>
          <w:sz w:val="24"/>
        </w:rPr>
        <w:t>2000</w:t>
      </w:r>
      <w:r w:rsidRPr="003D1E5F">
        <w:rPr>
          <w:rFonts w:ascii="Calibri" w:eastAsia="宋体" w:hAnsi="Calibri" w:cs="Calibri" w:hint="eastAsia"/>
          <w:sz w:val="24"/>
        </w:rPr>
        <w:t>中表现强劲的陈述</w:t>
      </w:r>
      <w:r w:rsidR="009B76CD">
        <w:rPr>
          <w:rFonts w:ascii="Calibri" w:eastAsia="宋体" w:hAnsi="Calibri" w:cs="Calibri" w:hint="eastAsia"/>
          <w:sz w:val="24"/>
        </w:rPr>
        <w:t>。这让我认识到，文章中使用的</w:t>
      </w:r>
      <w:r w:rsidR="009B76CD" w:rsidRPr="009B76CD">
        <w:rPr>
          <w:rFonts w:ascii="Calibri" w:eastAsia="宋体" w:hAnsi="Calibri" w:cs="Calibri"/>
          <w:sz w:val="24"/>
        </w:rPr>
        <w:t>价量因子</w:t>
      </w:r>
      <w:r w:rsidR="009B76CD">
        <w:rPr>
          <w:rFonts w:ascii="Calibri" w:eastAsia="宋体" w:hAnsi="Calibri" w:cs="Calibri" w:hint="eastAsia"/>
          <w:sz w:val="24"/>
        </w:rPr>
        <w:t>可能本身在</w:t>
      </w:r>
      <w:r w:rsidR="009B76CD" w:rsidRPr="009B76CD">
        <w:rPr>
          <w:rFonts w:ascii="Calibri" w:eastAsia="宋体" w:hAnsi="Calibri" w:cs="Calibri" w:hint="eastAsia"/>
          <w:sz w:val="24"/>
        </w:rPr>
        <w:t>投资者结构分散、定价效率相对较低的中小市值股票</w:t>
      </w:r>
      <w:r w:rsidR="009B76CD">
        <w:rPr>
          <w:rFonts w:ascii="Calibri" w:eastAsia="宋体" w:hAnsi="Calibri" w:cs="Calibri" w:hint="eastAsia"/>
          <w:sz w:val="24"/>
        </w:rPr>
        <w:t>的市场中表现更优，而信息效率偏高的沪深</w:t>
      </w:r>
      <w:r w:rsidR="009B76CD">
        <w:rPr>
          <w:rFonts w:ascii="Calibri" w:eastAsia="宋体" w:hAnsi="Calibri" w:cs="Calibri" w:hint="eastAsia"/>
          <w:sz w:val="24"/>
        </w:rPr>
        <w:t>300</w:t>
      </w:r>
      <w:r w:rsidR="009B76CD">
        <w:rPr>
          <w:rFonts w:ascii="Calibri" w:eastAsia="宋体" w:hAnsi="Calibri" w:cs="Calibri" w:hint="eastAsia"/>
          <w:sz w:val="24"/>
        </w:rPr>
        <w:t>指数也许并不能很好的复现文章的结论。这也让我认识到了</w:t>
      </w:r>
      <w:r w:rsidR="009B76CD" w:rsidRPr="009B76CD">
        <w:rPr>
          <w:rFonts w:ascii="Calibri" w:eastAsia="宋体" w:hAnsi="Calibri" w:cs="Calibri" w:hint="eastAsia"/>
          <w:sz w:val="24"/>
        </w:rPr>
        <w:t>阅读</w:t>
      </w:r>
      <w:r w:rsidR="0055386E">
        <w:rPr>
          <w:rFonts w:ascii="Calibri" w:eastAsia="宋体" w:hAnsi="Calibri" w:cs="Calibri" w:hint="eastAsia"/>
          <w:sz w:val="24"/>
        </w:rPr>
        <w:t>研究报告时，</w:t>
      </w:r>
      <w:r w:rsidR="009B76CD" w:rsidRPr="009B76CD">
        <w:rPr>
          <w:rFonts w:ascii="Calibri" w:eastAsia="宋体" w:hAnsi="Calibri" w:cs="Calibri" w:hint="eastAsia"/>
          <w:sz w:val="24"/>
        </w:rPr>
        <w:t>绝不能</w:t>
      </w:r>
      <w:proofErr w:type="gramStart"/>
      <w:r w:rsidR="009B76CD" w:rsidRPr="009B76CD">
        <w:rPr>
          <w:rFonts w:ascii="Calibri" w:eastAsia="宋体" w:hAnsi="Calibri" w:cs="Calibri" w:hint="eastAsia"/>
          <w:sz w:val="24"/>
        </w:rPr>
        <w:t>仅关注</w:t>
      </w:r>
      <w:proofErr w:type="gramEnd"/>
      <w:r w:rsidR="009B76CD" w:rsidRPr="009B76CD">
        <w:rPr>
          <w:rFonts w:ascii="Calibri" w:eastAsia="宋体" w:hAnsi="Calibri" w:cs="Calibri" w:hint="eastAsia"/>
          <w:sz w:val="24"/>
        </w:rPr>
        <w:t>其核心结论，必须高度重视其对适用场景与局限性的论述。</w:t>
      </w:r>
    </w:p>
    <w:sectPr w:rsidR="009B76CD" w:rsidRPr="005538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3C02C" w14:textId="77777777" w:rsidR="00FD6956" w:rsidRDefault="00FD6956" w:rsidP="00837C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C97A89" w14:textId="77777777" w:rsidR="00FD6956" w:rsidRDefault="00FD6956" w:rsidP="00837C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CF227" w14:textId="77777777" w:rsidR="00FD6956" w:rsidRDefault="00FD6956" w:rsidP="00837C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439AC1" w14:textId="77777777" w:rsidR="00FD6956" w:rsidRDefault="00FD6956" w:rsidP="00837C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0364"/>
    <w:multiLevelType w:val="multilevel"/>
    <w:tmpl w:val="8EB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6292C"/>
    <w:multiLevelType w:val="multilevel"/>
    <w:tmpl w:val="6ED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A197C"/>
    <w:multiLevelType w:val="multilevel"/>
    <w:tmpl w:val="CCF8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B6962"/>
    <w:multiLevelType w:val="multilevel"/>
    <w:tmpl w:val="32E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17684"/>
    <w:multiLevelType w:val="multilevel"/>
    <w:tmpl w:val="DF88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C09F0"/>
    <w:multiLevelType w:val="multilevel"/>
    <w:tmpl w:val="DE66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A2776"/>
    <w:multiLevelType w:val="multilevel"/>
    <w:tmpl w:val="34E0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D12A2"/>
    <w:multiLevelType w:val="multilevel"/>
    <w:tmpl w:val="24A0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16211"/>
    <w:multiLevelType w:val="hybridMultilevel"/>
    <w:tmpl w:val="73F29008"/>
    <w:lvl w:ilvl="0" w:tplc="AB7E8C30">
      <w:start w:val="1"/>
      <w:numFmt w:val="japaneseCounting"/>
      <w:lvlText w:val="%1、"/>
      <w:lvlJc w:val="left"/>
      <w:pPr>
        <w:ind w:left="552" w:hanging="55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7B77A03"/>
    <w:multiLevelType w:val="multilevel"/>
    <w:tmpl w:val="37A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F32FB"/>
    <w:multiLevelType w:val="hybridMultilevel"/>
    <w:tmpl w:val="852670C2"/>
    <w:lvl w:ilvl="0" w:tplc="67048282">
      <w:start w:val="1"/>
      <w:numFmt w:val="decimal"/>
      <w:pStyle w:val="1"/>
      <w:lvlText w:val="%1."/>
      <w:lvlJc w:val="left"/>
      <w:pPr>
        <w:ind w:left="440" w:hanging="440"/>
      </w:pPr>
      <w:rPr>
        <w:rFonts w:ascii="宋体" w:eastAsia="宋体" w:hint="eastAsia"/>
        <w:b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1C05CA7"/>
    <w:multiLevelType w:val="multilevel"/>
    <w:tmpl w:val="58E6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D4488"/>
    <w:multiLevelType w:val="hybridMultilevel"/>
    <w:tmpl w:val="C6E49664"/>
    <w:lvl w:ilvl="0" w:tplc="B1DA8402">
      <w:start w:val="1"/>
      <w:numFmt w:val="chineseCountingThousand"/>
      <w:pStyle w:val="a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980154E"/>
    <w:multiLevelType w:val="multilevel"/>
    <w:tmpl w:val="FA2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21E77"/>
    <w:multiLevelType w:val="hybridMultilevel"/>
    <w:tmpl w:val="E504552E"/>
    <w:lvl w:ilvl="0" w:tplc="34A27970">
      <w:start w:val="1"/>
      <w:numFmt w:val="chineseCountingThousand"/>
      <w:pStyle w:val="a0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3165F91"/>
    <w:multiLevelType w:val="multilevel"/>
    <w:tmpl w:val="0DEA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237479">
    <w:abstractNumId w:val="7"/>
  </w:num>
  <w:num w:numId="2" w16cid:durableId="1048333114">
    <w:abstractNumId w:val="3"/>
  </w:num>
  <w:num w:numId="3" w16cid:durableId="316541397">
    <w:abstractNumId w:val="6"/>
  </w:num>
  <w:num w:numId="4" w16cid:durableId="473177962">
    <w:abstractNumId w:val="15"/>
  </w:num>
  <w:num w:numId="5" w16cid:durableId="1876192651">
    <w:abstractNumId w:val="9"/>
  </w:num>
  <w:num w:numId="6" w16cid:durableId="1216086823">
    <w:abstractNumId w:val="5"/>
  </w:num>
  <w:num w:numId="7" w16cid:durableId="1647588143">
    <w:abstractNumId w:val="2"/>
  </w:num>
  <w:num w:numId="8" w16cid:durableId="1110318582">
    <w:abstractNumId w:val="11"/>
  </w:num>
  <w:num w:numId="9" w16cid:durableId="2140686081">
    <w:abstractNumId w:val="1"/>
  </w:num>
  <w:num w:numId="10" w16cid:durableId="1680690700">
    <w:abstractNumId w:val="4"/>
  </w:num>
  <w:num w:numId="11" w16cid:durableId="1955820191">
    <w:abstractNumId w:val="13"/>
  </w:num>
  <w:num w:numId="12" w16cid:durableId="599023134">
    <w:abstractNumId w:val="0"/>
  </w:num>
  <w:num w:numId="13" w16cid:durableId="735593668">
    <w:abstractNumId w:val="8"/>
  </w:num>
  <w:num w:numId="14" w16cid:durableId="1599024500">
    <w:abstractNumId w:val="12"/>
  </w:num>
  <w:num w:numId="15" w16cid:durableId="230848455">
    <w:abstractNumId w:val="14"/>
  </w:num>
  <w:num w:numId="16" w16cid:durableId="14893984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D2"/>
    <w:rsid w:val="00001F75"/>
    <w:rsid w:val="00002362"/>
    <w:rsid w:val="00007AD2"/>
    <w:rsid w:val="00033C6E"/>
    <w:rsid w:val="00042BAE"/>
    <w:rsid w:val="00062138"/>
    <w:rsid w:val="00094B49"/>
    <w:rsid w:val="000B7C2A"/>
    <w:rsid w:val="000C4AAB"/>
    <w:rsid w:val="0010551D"/>
    <w:rsid w:val="00151BD3"/>
    <w:rsid w:val="001D1210"/>
    <w:rsid w:val="001F747D"/>
    <w:rsid w:val="00216AF6"/>
    <w:rsid w:val="002326BF"/>
    <w:rsid w:val="00262E48"/>
    <w:rsid w:val="002756E2"/>
    <w:rsid w:val="00277F64"/>
    <w:rsid w:val="002C0E53"/>
    <w:rsid w:val="00304964"/>
    <w:rsid w:val="0030514E"/>
    <w:rsid w:val="00364A04"/>
    <w:rsid w:val="003A7DB3"/>
    <w:rsid w:val="003B585B"/>
    <w:rsid w:val="003D1E5F"/>
    <w:rsid w:val="003D44BC"/>
    <w:rsid w:val="003D5DFD"/>
    <w:rsid w:val="003E232F"/>
    <w:rsid w:val="003F67DD"/>
    <w:rsid w:val="00411984"/>
    <w:rsid w:val="0043266F"/>
    <w:rsid w:val="00447BCB"/>
    <w:rsid w:val="004506E0"/>
    <w:rsid w:val="00450E54"/>
    <w:rsid w:val="00454EE8"/>
    <w:rsid w:val="00464AB9"/>
    <w:rsid w:val="00481CB0"/>
    <w:rsid w:val="004A2A51"/>
    <w:rsid w:val="004B424C"/>
    <w:rsid w:val="004B4CBE"/>
    <w:rsid w:val="004D22DB"/>
    <w:rsid w:val="004D41BB"/>
    <w:rsid w:val="00515631"/>
    <w:rsid w:val="00517E7F"/>
    <w:rsid w:val="00521F5B"/>
    <w:rsid w:val="00526EB7"/>
    <w:rsid w:val="0053273B"/>
    <w:rsid w:val="005353E7"/>
    <w:rsid w:val="0055386E"/>
    <w:rsid w:val="005572ED"/>
    <w:rsid w:val="00582E04"/>
    <w:rsid w:val="005A32AE"/>
    <w:rsid w:val="005C2E0F"/>
    <w:rsid w:val="005D690E"/>
    <w:rsid w:val="005E372A"/>
    <w:rsid w:val="0060482C"/>
    <w:rsid w:val="00607330"/>
    <w:rsid w:val="006210A8"/>
    <w:rsid w:val="0062554C"/>
    <w:rsid w:val="00661F15"/>
    <w:rsid w:val="006626B3"/>
    <w:rsid w:val="00666719"/>
    <w:rsid w:val="00671661"/>
    <w:rsid w:val="006836FE"/>
    <w:rsid w:val="00685D66"/>
    <w:rsid w:val="0069116A"/>
    <w:rsid w:val="006C49C8"/>
    <w:rsid w:val="006E1781"/>
    <w:rsid w:val="006E4F13"/>
    <w:rsid w:val="006F7358"/>
    <w:rsid w:val="00703BD2"/>
    <w:rsid w:val="00722136"/>
    <w:rsid w:val="007227C1"/>
    <w:rsid w:val="00733284"/>
    <w:rsid w:val="00746A24"/>
    <w:rsid w:val="007537D8"/>
    <w:rsid w:val="0077282A"/>
    <w:rsid w:val="00783FCD"/>
    <w:rsid w:val="007E110D"/>
    <w:rsid w:val="0082183F"/>
    <w:rsid w:val="00837CAC"/>
    <w:rsid w:val="00854680"/>
    <w:rsid w:val="008615D2"/>
    <w:rsid w:val="00861638"/>
    <w:rsid w:val="00863980"/>
    <w:rsid w:val="00867AF2"/>
    <w:rsid w:val="00870846"/>
    <w:rsid w:val="00882AFF"/>
    <w:rsid w:val="00897538"/>
    <w:rsid w:val="008C50E5"/>
    <w:rsid w:val="00922D49"/>
    <w:rsid w:val="0093758C"/>
    <w:rsid w:val="00946123"/>
    <w:rsid w:val="0094697F"/>
    <w:rsid w:val="009515F8"/>
    <w:rsid w:val="009928F4"/>
    <w:rsid w:val="00997184"/>
    <w:rsid w:val="009A1954"/>
    <w:rsid w:val="009B76CD"/>
    <w:rsid w:val="009C4BB1"/>
    <w:rsid w:val="009E4F2B"/>
    <w:rsid w:val="00A90558"/>
    <w:rsid w:val="00A93027"/>
    <w:rsid w:val="00AC6E6D"/>
    <w:rsid w:val="00AD1CA4"/>
    <w:rsid w:val="00AF0F54"/>
    <w:rsid w:val="00B37A4F"/>
    <w:rsid w:val="00B4781C"/>
    <w:rsid w:val="00B7136C"/>
    <w:rsid w:val="00BA2910"/>
    <w:rsid w:val="00BA2B73"/>
    <w:rsid w:val="00BB3976"/>
    <w:rsid w:val="00BB4C0F"/>
    <w:rsid w:val="00BC1724"/>
    <w:rsid w:val="00BD75D0"/>
    <w:rsid w:val="00C34737"/>
    <w:rsid w:val="00C7036B"/>
    <w:rsid w:val="00C714CA"/>
    <w:rsid w:val="00C85035"/>
    <w:rsid w:val="00CD1CBE"/>
    <w:rsid w:val="00CE2E05"/>
    <w:rsid w:val="00D0629A"/>
    <w:rsid w:val="00D22A14"/>
    <w:rsid w:val="00D30C99"/>
    <w:rsid w:val="00D34D58"/>
    <w:rsid w:val="00D7521B"/>
    <w:rsid w:val="00D912FD"/>
    <w:rsid w:val="00DA636E"/>
    <w:rsid w:val="00DC1F03"/>
    <w:rsid w:val="00DE075C"/>
    <w:rsid w:val="00DE423C"/>
    <w:rsid w:val="00DF706D"/>
    <w:rsid w:val="00E0387A"/>
    <w:rsid w:val="00E0749D"/>
    <w:rsid w:val="00E1362C"/>
    <w:rsid w:val="00E47E82"/>
    <w:rsid w:val="00E52D6A"/>
    <w:rsid w:val="00E54B15"/>
    <w:rsid w:val="00E62079"/>
    <w:rsid w:val="00E77786"/>
    <w:rsid w:val="00E83C92"/>
    <w:rsid w:val="00E870CD"/>
    <w:rsid w:val="00EB185C"/>
    <w:rsid w:val="00EB5419"/>
    <w:rsid w:val="00EC623C"/>
    <w:rsid w:val="00ED44D1"/>
    <w:rsid w:val="00F039C7"/>
    <w:rsid w:val="00F04A8E"/>
    <w:rsid w:val="00F33B43"/>
    <w:rsid w:val="00F33BA0"/>
    <w:rsid w:val="00F47B85"/>
    <w:rsid w:val="00F6276A"/>
    <w:rsid w:val="00F72E8C"/>
    <w:rsid w:val="00FB248F"/>
    <w:rsid w:val="00FD121A"/>
    <w:rsid w:val="00FD3915"/>
    <w:rsid w:val="00FD6956"/>
    <w:rsid w:val="00FE5FAD"/>
    <w:rsid w:val="00FE6F72"/>
    <w:rsid w:val="00FE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31F685EB"/>
  <w15:chartTrackingRefBased/>
  <w15:docId w15:val="{FCA35E30-9B69-4530-9C43-AD12EA0AA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D3915"/>
    <w:pPr>
      <w:widowControl w:val="0"/>
    </w:pPr>
  </w:style>
  <w:style w:type="paragraph" w:styleId="10">
    <w:name w:val="heading 1"/>
    <w:basedOn w:val="a1"/>
    <w:next w:val="a1"/>
    <w:link w:val="11"/>
    <w:uiPriority w:val="9"/>
    <w:qFormat/>
    <w:rsid w:val="00703B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70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03B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03B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03B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03B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03B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03B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03B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标题 1 字符"/>
    <w:basedOn w:val="a2"/>
    <w:link w:val="10"/>
    <w:uiPriority w:val="9"/>
    <w:rsid w:val="00703B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2"/>
    <w:link w:val="2"/>
    <w:uiPriority w:val="9"/>
    <w:semiHidden/>
    <w:rsid w:val="00703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2"/>
    <w:link w:val="3"/>
    <w:uiPriority w:val="9"/>
    <w:semiHidden/>
    <w:rsid w:val="00703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703B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703B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703B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703B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703BD2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703BD2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703B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70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703B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2"/>
    <w:link w:val="a7"/>
    <w:uiPriority w:val="11"/>
    <w:rsid w:val="00703B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703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703BD2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03BD2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03BD2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03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2"/>
    <w:link w:val="ad"/>
    <w:uiPriority w:val="30"/>
    <w:rsid w:val="00703BD2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703BD2"/>
    <w:rPr>
      <w:b/>
      <w:bCs/>
      <w:smallCaps/>
      <w:color w:val="0F4761" w:themeColor="accent1" w:themeShade="BF"/>
      <w:spacing w:val="5"/>
    </w:rPr>
  </w:style>
  <w:style w:type="character" w:styleId="af0">
    <w:name w:val="Hyperlink"/>
    <w:basedOn w:val="a2"/>
    <w:uiPriority w:val="99"/>
    <w:unhideWhenUsed/>
    <w:rsid w:val="00607330"/>
    <w:rPr>
      <w:color w:val="467886" w:themeColor="hyperlink"/>
      <w:u w:val="single"/>
    </w:rPr>
  </w:style>
  <w:style w:type="character" w:styleId="af1">
    <w:name w:val="Unresolved Mention"/>
    <w:basedOn w:val="a2"/>
    <w:uiPriority w:val="99"/>
    <w:semiHidden/>
    <w:unhideWhenUsed/>
    <w:rsid w:val="00607330"/>
    <w:rPr>
      <w:color w:val="605E5C"/>
      <w:shd w:val="clear" w:color="auto" w:fill="E1DFDD"/>
    </w:rPr>
  </w:style>
  <w:style w:type="paragraph" w:styleId="af2">
    <w:name w:val="header"/>
    <w:basedOn w:val="a1"/>
    <w:link w:val="af3"/>
    <w:uiPriority w:val="99"/>
    <w:unhideWhenUsed/>
    <w:rsid w:val="00837CA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2"/>
    <w:link w:val="af2"/>
    <w:uiPriority w:val="99"/>
    <w:rsid w:val="00837CAC"/>
    <w:rPr>
      <w:sz w:val="18"/>
      <w:szCs w:val="18"/>
    </w:rPr>
  </w:style>
  <w:style w:type="paragraph" w:styleId="af4">
    <w:name w:val="footer"/>
    <w:basedOn w:val="a1"/>
    <w:link w:val="af5"/>
    <w:uiPriority w:val="99"/>
    <w:unhideWhenUsed/>
    <w:rsid w:val="00837C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2"/>
    <w:link w:val="af4"/>
    <w:uiPriority w:val="99"/>
    <w:rsid w:val="00837CAC"/>
    <w:rPr>
      <w:sz w:val="18"/>
      <w:szCs w:val="18"/>
    </w:rPr>
  </w:style>
  <w:style w:type="paragraph" w:customStyle="1" w:styleId="af6">
    <w:name w:val="一级标题"/>
    <w:next w:val="a1"/>
    <w:link w:val="af7"/>
    <w:qFormat/>
    <w:rsid w:val="00E47E82"/>
    <w:rPr>
      <w:rFonts w:ascii="宋体" w:eastAsia="黑体" w:hAnsi="宋体"/>
      <w:b/>
      <w:bCs/>
      <w:sz w:val="32"/>
    </w:rPr>
  </w:style>
  <w:style w:type="character" w:customStyle="1" w:styleId="af7">
    <w:name w:val="一级标题 字符"/>
    <w:basedOn w:val="a2"/>
    <w:link w:val="af6"/>
    <w:rsid w:val="00E47E82"/>
    <w:rPr>
      <w:rFonts w:ascii="宋体" w:eastAsia="黑体" w:hAnsi="宋体"/>
      <w:b/>
      <w:bCs/>
      <w:sz w:val="32"/>
    </w:rPr>
  </w:style>
  <w:style w:type="paragraph" w:styleId="af8">
    <w:name w:val="No Spacing"/>
    <w:uiPriority w:val="1"/>
    <w:qFormat/>
    <w:rsid w:val="00E47E82"/>
    <w:pPr>
      <w:widowControl w:val="0"/>
      <w:spacing w:after="0" w:line="240" w:lineRule="auto"/>
    </w:pPr>
  </w:style>
  <w:style w:type="paragraph" w:customStyle="1" w:styleId="a">
    <w:name w:val="一标题"/>
    <w:basedOn w:val="10"/>
    <w:next w:val="a1"/>
    <w:link w:val="af9"/>
    <w:qFormat/>
    <w:rsid w:val="00E77786"/>
    <w:pPr>
      <w:numPr>
        <w:numId w:val="14"/>
      </w:numPr>
      <w:spacing w:before="0" w:after="0" w:line="400" w:lineRule="exact"/>
      <w:ind w:left="0" w:firstLine="0"/>
    </w:pPr>
    <w:rPr>
      <w:rFonts w:eastAsia="黑体"/>
      <w:b/>
      <w:color w:val="auto"/>
      <w:sz w:val="32"/>
    </w:rPr>
  </w:style>
  <w:style w:type="character" w:customStyle="1" w:styleId="af9">
    <w:name w:val="一标题 字符"/>
    <w:basedOn w:val="a2"/>
    <w:link w:val="a"/>
    <w:rsid w:val="00E77786"/>
    <w:rPr>
      <w:rFonts w:asciiTheme="majorHAnsi" w:eastAsia="黑体" w:hAnsiTheme="majorHAnsi" w:cstheme="majorBidi"/>
      <w:b/>
      <w:sz w:val="32"/>
      <w:szCs w:val="48"/>
    </w:rPr>
  </w:style>
  <w:style w:type="paragraph" w:customStyle="1" w:styleId="a0">
    <w:name w:val="（）标题"/>
    <w:next w:val="a1"/>
    <w:link w:val="afa"/>
    <w:qFormat/>
    <w:rsid w:val="00E77786"/>
    <w:pPr>
      <w:numPr>
        <w:numId w:val="15"/>
      </w:numPr>
      <w:ind w:left="0" w:firstLine="0"/>
    </w:pPr>
    <w:rPr>
      <w:rFonts w:asciiTheme="majorHAnsi" w:eastAsia="黑体" w:hAnsiTheme="majorHAnsi" w:cstheme="majorBidi"/>
      <w:sz w:val="30"/>
      <w:szCs w:val="48"/>
    </w:rPr>
  </w:style>
  <w:style w:type="character" w:customStyle="1" w:styleId="afa">
    <w:name w:val="（）标题 字符"/>
    <w:basedOn w:val="a2"/>
    <w:link w:val="a0"/>
    <w:rsid w:val="00E77786"/>
    <w:rPr>
      <w:rFonts w:asciiTheme="majorHAnsi" w:eastAsia="黑体" w:hAnsiTheme="majorHAnsi" w:cstheme="majorBidi"/>
      <w:sz w:val="30"/>
      <w:szCs w:val="48"/>
    </w:rPr>
  </w:style>
  <w:style w:type="paragraph" w:customStyle="1" w:styleId="12">
    <w:name w:val="样式1"/>
    <w:basedOn w:val="a1"/>
    <w:link w:val="13"/>
    <w:rsid w:val="009A1954"/>
    <w:pPr>
      <w:spacing w:after="0" w:line="360" w:lineRule="auto"/>
      <w:ind w:firstLineChars="200" w:firstLine="480"/>
    </w:pPr>
    <w:rPr>
      <w:rFonts w:ascii="宋体" w:eastAsia="宋体" w:hAnsi="宋体"/>
      <w:sz w:val="24"/>
    </w:rPr>
  </w:style>
  <w:style w:type="character" w:customStyle="1" w:styleId="13">
    <w:name w:val="样式1 字符"/>
    <w:basedOn w:val="a2"/>
    <w:link w:val="12"/>
    <w:rsid w:val="009A1954"/>
    <w:rPr>
      <w:rFonts w:ascii="宋体" w:eastAsia="宋体" w:hAnsi="宋体"/>
      <w:sz w:val="24"/>
    </w:rPr>
  </w:style>
  <w:style w:type="paragraph" w:customStyle="1" w:styleId="1">
    <w:name w:val="1标题"/>
    <w:next w:val="a1"/>
    <w:link w:val="14"/>
    <w:qFormat/>
    <w:rsid w:val="009A1954"/>
    <w:pPr>
      <w:numPr>
        <w:numId w:val="16"/>
      </w:numPr>
      <w:spacing w:after="0"/>
    </w:pPr>
    <w:rPr>
      <w:rFonts w:ascii="宋体" w:eastAsia="宋体" w:hAnsi="宋体"/>
      <w:b/>
      <w:bCs/>
      <w:sz w:val="24"/>
    </w:rPr>
  </w:style>
  <w:style w:type="character" w:customStyle="1" w:styleId="14">
    <w:name w:val="1标题 字符"/>
    <w:basedOn w:val="13"/>
    <w:link w:val="1"/>
    <w:rsid w:val="009A1954"/>
    <w:rPr>
      <w:rFonts w:ascii="宋体" w:eastAsia="宋体" w:hAnsi="宋体"/>
      <w:b/>
      <w:bCs/>
      <w:sz w:val="24"/>
    </w:rPr>
  </w:style>
  <w:style w:type="paragraph" w:styleId="HTML">
    <w:name w:val="HTML Preformatted"/>
    <w:basedOn w:val="a1"/>
    <w:link w:val="HTML0"/>
    <w:uiPriority w:val="99"/>
    <w:semiHidden/>
    <w:unhideWhenUsed/>
    <w:rsid w:val="001F747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1F747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8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MA</dc:creator>
  <cp:keywords/>
  <dc:description/>
  <cp:lastModifiedBy>Phoenix MA</cp:lastModifiedBy>
  <cp:revision>20</cp:revision>
  <dcterms:created xsi:type="dcterms:W3CDTF">2025-12-24T06:58:00Z</dcterms:created>
  <dcterms:modified xsi:type="dcterms:W3CDTF">2026-01-07T13:56:00Z</dcterms:modified>
</cp:coreProperties>
</file>