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A4E7" w14:textId="7F9AC915" w:rsidR="00AC7E9F" w:rsidRPr="00AC7E9F" w:rsidRDefault="00AC7E9F" w:rsidP="00AC7E9F">
      <w:pPr>
        <w:pStyle w:val="Heading1"/>
        <w:spacing w:before="0" w:after="240"/>
        <w:rPr>
          <w:b/>
        </w:rPr>
      </w:pPr>
      <w:r w:rsidRPr="00AC7E9F">
        <w:rPr>
          <w:b/>
        </w:rPr>
        <w:t>FANG companies and the S&amp;P 500</w:t>
      </w:r>
    </w:p>
    <w:p w14:paraId="6462B8E4" w14:textId="53115B99" w:rsidR="00AC7E9F" w:rsidRPr="00AC7E9F" w:rsidRDefault="00AC7E9F" w:rsidP="00AC7E9F">
      <w:pPr>
        <w:pStyle w:val="Heading2"/>
        <w:spacing w:before="0" w:after="120"/>
      </w:pPr>
      <w:r w:rsidRPr="00AC7E9F">
        <w:t>Do FANG stocks consistently outperform the S&amp;P 50</w:t>
      </w:r>
      <w:r w:rsidR="00C064E7">
        <w:t>0</w:t>
      </w:r>
      <w:r w:rsidR="00C82039">
        <w:t xml:space="preserve"> in the short term</w:t>
      </w:r>
      <w:r w:rsidRPr="00AC7E9F">
        <w:t>?</w:t>
      </w:r>
    </w:p>
    <w:p w14:paraId="2CC65F24" w14:textId="7E874E17" w:rsidR="00F006B9" w:rsidRDefault="00F006B9" w:rsidP="00F006B9">
      <w:pPr>
        <w:spacing w:before="120" w:after="120"/>
      </w:pPr>
      <w:r>
        <w:t xml:space="preserve">FANG is an acronym for four of the most popular stocks in the technology sector of the stock market, Facebook, Amazon, Netflix, and Google (Alphabet Inc). It’s </w:t>
      </w:r>
      <w:r w:rsidR="00ED6346">
        <w:t>a common notion</w:t>
      </w:r>
      <w:r>
        <w:t xml:space="preserve"> that </w:t>
      </w:r>
      <w:r w:rsidR="004175FF">
        <w:t xml:space="preserve">together </w:t>
      </w:r>
      <w:r>
        <w:t>these four assets outperform the stock market and their peers. But</w:t>
      </w:r>
      <w:r w:rsidR="00177A32">
        <w:t xml:space="preserve"> what </w:t>
      </w:r>
      <w:r w:rsidR="00E736ED">
        <w:t>does this mean for day traders</w:t>
      </w:r>
      <w:r w:rsidR="00177A32">
        <w:t>?</w:t>
      </w:r>
      <w:r>
        <w:t xml:space="preserve"> </w:t>
      </w:r>
      <w:r w:rsidR="00177A32">
        <w:t>I</w:t>
      </w:r>
      <w:r>
        <w:t xml:space="preserve">s there statistical support to the idea that these assets </w:t>
      </w:r>
      <w:r w:rsidR="00A126AC">
        <w:t xml:space="preserve">significantly </w:t>
      </w:r>
      <w:r>
        <w:t xml:space="preserve">outperform </w:t>
      </w:r>
      <w:r w:rsidR="00710C4E">
        <w:t>the market</w:t>
      </w:r>
      <w:r w:rsidR="00465F29">
        <w:t xml:space="preserve"> in the short</w:t>
      </w:r>
      <w:r w:rsidR="009603CC">
        <w:t>-</w:t>
      </w:r>
      <w:r w:rsidR="00465F29">
        <w:t>term</w:t>
      </w:r>
      <w:r w:rsidR="00745673">
        <w:t>?</w:t>
      </w:r>
      <w:r>
        <w:t xml:space="preserve"> Can </w:t>
      </w:r>
      <w:r w:rsidR="00742784">
        <w:t>day</w:t>
      </w:r>
      <w:r>
        <w:t xml:space="preserve"> </w:t>
      </w:r>
      <w:r w:rsidR="00247D9B">
        <w:t xml:space="preserve">traders </w:t>
      </w:r>
      <w:r w:rsidR="00742784">
        <w:t>blindly</w:t>
      </w:r>
      <w:r>
        <w:t xml:space="preserve"> rely on FANG stocks to have higher than average returns?</w:t>
      </w:r>
      <w:r w:rsidR="00B44916">
        <w:t xml:space="preserve"> According to the </w:t>
      </w:r>
      <w:r w:rsidR="004D6E07">
        <w:t>institutional investor</w:t>
      </w:r>
      <w:r w:rsidR="00E87C01">
        <w:t>s</w:t>
      </w:r>
      <w:r w:rsidR="009869FC">
        <w:t>,</w:t>
      </w:r>
      <w:r w:rsidR="00680BAC">
        <w:t xml:space="preserve"> FANG is all the rage,</w:t>
      </w:r>
      <w:r w:rsidR="002D4CA6">
        <w:t xml:space="preserve"> but</w:t>
      </w:r>
      <w:r w:rsidR="00E60731">
        <w:t xml:space="preserve"> </w:t>
      </w:r>
      <w:r w:rsidR="004D6E07">
        <w:t xml:space="preserve">does it work the same way for </w:t>
      </w:r>
      <w:r w:rsidR="00C17CCD">
        <w:t>short term speculators</w:t>
      </w:r>
      <w:r w:rsidR="00E87C01">
        <w:t xml:space="preserve">? </w:t>
      </w:r>
      <w:r w:rsidR="00E60731">
        <w:t>I had to know for myself.</w:t>
      </w:r>
    </w:p>
    <w:p w14:paraId="784C41E6" w14:textId="3DBC7148" w:rsidR="00DE4614" w:rsidRDefault="00F24964" w:rsidP="007363CF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4AD9196" wp14:editId="5640D6BB">
            <wp:simplePos x="0" y="0"/>
            <wp:positionH relativeFrom="column">
              <wp:posOffset>15240</wp:posOffset>
            </wp:positionH>
            <wp:positionV relativeFrom="paragraph">
              <wp:posOffset>9525</wp:posOffset>
            </wp:positionV>
            <wp:extent cx="3688080" cy="2270760"/>
            <wp:effectExtent l="0" t="0" r="7620" b="0"/>
            <wp:wrapSquare wrapText="bothSides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das Imp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14">
        <w:t>Data Wrangling</w:t>
      </w:r>
    </w:p>
    <w:p w14:paraId="4D63A7C2" w14:textId="750B5090" w:rsidR="00AC7E9F" w:rsidRDefault="00AC7E9F" w:rsidP="00F006B9">
      <w:pPr>
        <w:spacing w:before="120" w:after="120"/>
        <w:ind w:firstLine="720"/>
      </w:pPr>
      <w:bookmarkStart w:id="0" w:name="_GoBack"/>
      <w:r>
        <w:t>In this research report</w:t>
      </w:r>
      <w:r w:rsidR="005C2BFE">
        <w:t>,</w:t>
      </w:r>
      <w:r>
        <w:t xml:space="preserve"> I tested whether the</w:t>
      </w:r>
      <w:r w:rsidR="007B7F96">
        <w:t xml:space="preserve"> average</w:t>
      </w:r>
      <w:r w:rsidR="002D4CA6">
        <w:t xml:space="preserve"> daily</w:t>
      </w:r>
      <w:r w:rsidR="007B7F96">
        <w:t xml:space="preserve"> (geometric mean)</w:t>
      </w:r>
      <w:r w:rsidR="004E7119">
        <w:t xml:space="preserve"> </w:t>
      </w:r>
      <w:r w:rsidR="00F006B9">
        <w:t>returns</w:t>
      </w:r>
      <w:r>
        <w:t xml:space="preserve"> of FANG</w:t>
      </w:r>
      <w:r w:rsidR="00F006B9">
        <w:t xml:space="preserve"> </w:t>
      </w:r>
      <w:r w:rsidR="007F69A6">
        <w:t>(</w:t>
      </w:r>
      <w:r>
        <w:t>Facebook, Amazon, Netflix, and Google</w:t>
      </w:r>
      <w:r w:rsidR="00F006B9">
        <w:t xml:space="preserve"> </w:t>
      </w:r>
      <w:r w:rsidR="007F69A6">
        <w:t>[</w:t>
      </w:r>
      <w:r w:rsidR="00F006B9">
        <w:t>Alphabet Inc</w:t>
      </w:r>
      <w:r w:rsidR="007F69A6">
        <w:t>])</w:t>
      </w:r>
      <w:r w:rsidR="00F006B9">
        <w:t xml:space="preserve"> </w:t>
      </w:r>
      <w:r w:rsidR="007B7F96">
        <w:t>were</w:t>
      </w:r>
      <w:r>
        <w:t xml:space="preserve"> </w:t>
      </w:r>
      <w:r w:rsidR="00BD0A33">
        <w:t>significantly</w:t>
      </w:r>
      <w:r>
        <w:t xml:space="preserve"> </w:t>
      </w:r>
      <w:r w:rsidR="00E364FD">
        <w:t>different</w:t>
      </w:r>
      <w:r>
        <w:t xml:space="preserve"> than the </w:t>
      </w:r>
      <w:r w:rsidR="00953801">
        <w:t>average</w:t>
      </w:r>
      <w:r w:rsidR="00F006B9">
        <w:t xml:space="preserve"> </w:t>
      </w:r>
      <w:r w:rsidR="002D4CA6">
        <w:t xml:space="preserve">daily </w:t>
      </w:r>
      <w:r w:rsidR="00F006B9">
        <w:t xml:space="preserve">returns of the </w:t>
      </w:r>
      <w:r>
        <w:t>S&amp;P 500</w:t>
      </w:r>
      <w:r w:rsidR="005C2BFE">
        <w:t xml:space="preserve"> </w:t>
      </w:r>
      <w:r w:rsidR="00890D99">
        <w:t xml:space="preserve"> ETF (SPY) </w:t>
      </w:r>
      <w:r w:rsidR="00953801">
        <w:t>over</w:t>
      </w:r>
      <w:r w:rsidR="00AC3D58">
        <w:t xml:space="preserve"> the past 3 years, January 2016 –</w:t>
      </w:r>
      <w:r w:rsidR="005C2BFE">
        <w:t xml:space="preserve"> </w:t>
      </w:r>
      <w:r w:rsidR="00AC3D58">
        <w:t xml:space="preserve">December </w:t>
      </w:r>
      <w:r w:rsidR="005C2BFE">
        <w:t>201</w:t>
      </w:r>
      <w:r w:rsidR="00AC3D58">
        <w:t>9</w:t>
      </w:r>
      <w:r>
        <w:t>.</w:t>
      </w:r>
    </w:p>
    <w:p w14:paraId="1F51C962" w14:textId="0078403A" w:rsidR="00F24964" w:rsidRDefault="00057ADC" w:rsidP="00F24964">
      <w:pPr>
        <w:spacing w:before="120" w:after="120"/>
        <w:ind w:firstLine="720"/>
        <w:jc w:val="center"/>
      </w:pPr>
      <w:r>
        <w:t xml:space="preserve">I started the </w:t>
      </w:r>
      <w:r w:rsidR="002049AE">
        <w:t xml:space="preserve">data wrangling </w:t>
      </w:r>
      <w:r>
        <w:t xml:space="preserve">process by gathering </w:t>
      </w:r>
      <w:r w:rsidR="00953801">
        <w:t xml:space="preserve">daily </w:t>
      </w:r>
      <w:r w:rsidR="007B7F96">
        <w:t xml:space="preserve">ticker </w:t>
      </w:r>
      <w:r>
        <w:t xml:space="preserve">data from </w:t>
      </w:r>
      <w:r w:rsidR="002934C6">
        <w:t>P</w:t>
      </w:r>
      <w:r>
        <w:t>an</w:t>
      </w:r>
      <w:r w:rsidR="002934C6">
        <w:t>das</w:t>
      </w:r>
      <w:r>
        <w:t xml:space="preserve"> </w:t>
      </w:r>
      <w:r w:rsidR="007738C3">
        <w:t>financial API module</w:t>
      </w:r>
      <w:r w:rsidR="003F0DAB">
        <w:t xml:space="preserve"> pandas_datareader</w:t>
      </w:r>
      <w:r w:rsidR="002814B2">
        <w:t xml:space="preserve">. Afterward, I </w:t>
      </w:r>
      <w:r w:rsidR="00C43AFB">
        <w:t xml:space="preserve">saved the data for each stock ticker and combined them into </w:t>
      </w:r>
      <w:r w:rsidR="0031607D">
        <w:t xml:space="preserve">a </w:t>
      </w:r>
      <w:r w:rsidR="007363CF">
        <w:t>data frame</w:t>
      </w:r>
      <w:r w:rsidR="00C43AFB">
        <w:t xml:space="preserve"> to be analyzed using pandas.</w:t>
      </w:r>
    </w:p>
    <w:p w14:paraId="1B136325" w14:textId="4F1F102D" w:rsidR="002B0EBC" w:rsidRDefault="004A4950" w:rsidP="00F24964">
      <w:pPr>
        <w:spacing w:before="120" w:after="120"/>
        <w:ind w:firstLine="720"/>
        <w:jc w:val="center"/>
      </w:pPr>
      <w:r>
        <w:t xml:space="preserve">Next, </w:t>
      </w:r>
      <w:r w:rsidR="0091721A">
        <w:t>I calculated the p</w:t>
      </w:r>
      <w:r>
        <w:t>er</w:t>
      </w:r>
      <w:r w:rsidR="0091721A">
        <w:t>cent change for SPY</w:t>
      </w:r>
      <w:r>
        <w:t>.</w:t>
      </w:r>
      <w:r w:rsidR="001D204B">
        <w:t xml:space="preserve"> However,</w:t>
      </w:r>
      <w:r>
        <w:t xml:space="preserve"> </w:t>
      </w:r>
      <w:r w:rsidR="001D204B">
        <w:t>i</w:t>
      </w:r>
      <w:r w:rsidR="00C100EB">
        <w:t>n order to calculate percent</w:t>
      </w:r>
      <w:r w:rsidR="009869FC">
        <w:t>-</w:t>
      </w:r>
      <w:r w:rsidR="00C100EB">
        <w:t>change</w:t>
      </w:r>
      <w:r w:rsidR="0091721A">
        <w:t xml:space="preserve"> for FANG</w:t>
      </w:r>
      <w:r w:rsidR="00C100EB">
        <w:t xml:space="preserve">, I needed to sum the closing price of FANG and broadcast the percent change into a new column. </w:t>
      </w:r>
      <w:r w:rsidR="00DA071E">
        <w:t xml:space="preserve">After some quick formatting, </w:t>
      </w:r>
      <w:r w:rsidR="00341A2E" w:rsidRPr="00341A2E">
        <w:t>voila</w:t>
      </w:r>
      <w:r w:rsidR="00341A2E">
        <w:t>,</w:t>
      </w:r>
      <w:r w:rsidR="00CC3E03">
        <w:t xml:space="preserve"> I have the data frame I need to complete my analysis.</w:t>
      </w:r>
    </w:p>
    <w:bookmarkEnd w:id="0"/>
    <w:p w14:paraId="48A58DFB" w14:textId="2705BE0C" w:rsidR="006C0EE0" w:rsidRDefault="00C100EB" w:rsidP="0093218A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6E0B0C8B" wp14:editId="79FAE0A5">
            <wp:extent cx="3352800" cy="1647856"/>
            <wp:effectExtent l="0" t="0" r="0" b="9525"/>
            <wp:docPr id="5" name="Picture 5" descr="Pandas DataFrame: SPY close, FB close, AMZN close, NFLX close, GOOGL close, SPY percent change, FANG percent chan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 Final Finance Data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58" cy="16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894C" w14:textId="22589592" w:rsidR="00DE4614" w:rsidRDefault="0093218A" w:rsidP="007363CF">
      <w:pPr>
        <w:pStyle w:val="Heading2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0ABA0C4" wp14:editId="5F731999">
            <wp:simplePos x="0" y="0"/>
            <wp:positionH relativeFrom="column">
              <wp:posOffset>2933700</wp:posOffset>
            </wp:positionH>
            <wp:positionV relativeFrom="paragraph">
              <wp:posOffset>186055</wp:posOffset>
            </wp:positionV>
            <wp:extent cx="3047365" cy="2865120"/>
            <wp:effectExtent l="0" t="0" r="635" b="0"/>
            <wp:wrapSquare wrapText="bothSides"/>
            <wp:docPr id="9" name="Picture 9" descr="Hypothesis Resul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ypothesis Resul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14">
        <w:t>Hypothesis Test</w:t>
      </w:r>
      <w:r w:rsidR="00CF3E10">
        <w:t xml:space="preserve">: </w:t>
      </w:r>
      <w:r w:rsidR="009A0A85">
        <w:t>T</w:t>
      </w:r>
      <w:r w:rsidR="00CF3E10">
        <w:t>-Test</w:t>
      </w:r>
    </w:p>
    <w:p w14:paraId="25692C1A" w14:textId="6A9A0F33" w:rsidR="00BE4F96" w:rsidRDefault="002B0EBC" w:rsidP="00057ADC">
      <w:pPr>
        <w:spacing w:before="120" w:after="120"/>
        <w:ind w:firstLine="720"/>
      </w:pPr>
      <w:r>
        <w:t xml:space="preserve">In order to conduct the </w:t>
      </w:r>
      <w:r w:rsidR="00DE4614">
        <w:t>hypothesis</w:t>
      </w:r>
      <w:r w:rsidR="0031607D">
        <w:t>-</w:t>
      </w:r>
      <w:r>
        <w:t>test</w:t>
      </w:r>
      <w:r w:rsidR="0031607D">
        <w:t>,</w:t>
      </w:r>
      <w:r>
        <w:t xml:space="preserve"> I c</w:t>
      </w:r>
      <w:r w:rsidR="00382817">
        <w:t>reated a function to cal</w:t>
      </w:r>
      <w:r>
        <w:t xml:space="preserve">culate the geometric mean </w:t>
      </w:r>
      <w:r w:rsidR="00A00AC2">
        <w:t xml:space="preserve">by first calculating a growth rate and </w:t>
      </w:r>
      <w:r w:rsidR="00A00894">
        <w:t>forming a new column with the respective rates. Then I</w:t>
      </w:r>
      <w:r w:rsidR="00CF3E10">
        <w:t xml:space="preserve"> </w:t>
      </w:r>
      <w:r w:rsidR="003756C4">
        <w:t>compared FANG growth rates</w:t>
      </w:r>
      <w:r w:rsidR="00CE5EE4">
        <w:t xml:space="preserve"> to the </w:t>
      </w:r>
      <w:r w:rsidR="0007384F">
        <w:t xml:space="preserve">geometric </w:t>
      </w:r>
      <w:r w:rsidR="00CE5EE4">
        <w:t>mean</w:t>
      </w:r>
      <w:r w:rsidR="0007384F">
        <w:t xml:space="preserve"> </w:t>
      </w:r>
      <w:r w:rsidR="00CF3E10">
        <w:t xml:space="preserve">percent change </w:t>
      </w:r>
      <w:r w:rsidR="00DE4614">
        <w:t>for</w:t>
      </w:r>
      <w:r w:rsidR="0007384F">
        <w:t xml:space="preserve"> the S&amp;P 500</w:t>
      </w:r>
      <w:r w:rsidR="00890D99">
        <w:t xml:space="preserve"> </w:t>
      </w:r>
      <w:r w:rsidR="00B37C09">
        <w:t>ETF</w:t>
      </w:r>
      <w:r w:rsidR="0007384F">
        <w:t>.</w:t>
      </w:r>
      <w:r w:rsidR="00C43AFB">
        <w:t xml:space="preserve"> </w:t>
      </w:r>
    </w:p>
    <w:p w14:paraId="3345FFFA" w14:textId="0B1FEB1F" w:rsidR="00574A42" w:rsidRDefault="00574A42" w:rsidP="00574A42">
      <w:pPr>
        <w:pStyle w:val="Heading1"/>
      </w:pPr>
      <w:r>
        <w:t>Results</w:t>
      </w:r>
    </w:p>
    <w:p w14:paraId="628BC047" w14:textId="079C7553" w:rsidR="00574A42" w:rsidRPr="00574A42" w:rsidRDefault="00574A42" w:rsidP="00574A42">
      <w:r>
        <w:t xml:space="preserve">In the end, I </w:t>
      </w:r>
      <w:r w:rsidR="00295161">
        <w:t>failed</w:t>
      </w:r>
      <w:r w:rsidR="001D1CC5">
        <w:t xml:space="preserve"> to reject the null hypothesis that </w:t>
      </w:r>
      <w:r w:rsidR="00295161">
        <w:t>the two means are equal. Meaning I f</w:t>
      </w:r>
      <w:r>
        <w:t xml:space="preserve">ound that the </w:t>
      </w:r>
      <w:r w:rsidR="00952F93">
        <w:t xml:space="preserve">daily </w:t>
      </w:r>
      <w:r>
        <w:t>growth rates for</w:t>
      </w:r>
      <w:r w:rsidR="00952F93">
        <w:t xml:space="preserve"> FANG do not have a </w:t>
      </w:r>
      <w:r w:rsidR="001D1CC5">
        <w:t>statistically significant</w:t>
      </w:r>
      <w:r w:rsidR="00952F93">
        <w:t xml:space="preserve"> </w:t>
      </w:r>
      <w:r w:rsidR="001D1CC5">
        <w:t>different mean than</w:t>
      </w:r>
      <w:r w:rsidR="00952F93">
        <w:t xml:space="preserve"> the S&amp;P 500</w:t>
      </w:r>
      <w:r w:rsidR="001D1CC5">
        <w:t>.</w:t>
      </w:r>
      <w:r w:rsidR="00295161">
        <w:t xml:space="preserve"> So, day traders cannot blindly </w:t>
      </w:r>
      <w:r w:rsidR="00DA621E">
        <w:t>go long or short in their investments if they wish to outperform the market.</w:t>
      </w:r>
    </w:p>
    <w:p w14:paraId="7A53B32D" w14:textId="5AA87BC0" w:rsidR="00382817" w:rsidRDefault="00382817" w:rsidP="00057ADC">
      <w:pPr>
        <w:spacing w:before="120" w:after="120"/>
        <w:ind w:firstLine="720"/>
      </w:pPr>
    </w:p>
    <w:p w14:paraId="718BB612" w14:textId="35FBC937" w:rsidR="00045810" w:rsidRDefault="00045810" w:rsidP="00057ADC">
      <w:pPr>
        <w:spacing w:before="120" w:after="120"/>
        <w:ind w:firstLine="720"/>
      </w:pPr>
    </w:p>
    <w:p w14:paraId="55D82EB4" w14:textId="1B6FC5CF" w:rsidR="00045810" w:rsidRDefault="006C0EE0" w:rsidP="00057ADC">
      <w:pPr>
        <w:spacing w:before="120" w:after="120"/>
        <w:ind w:firstLine="720"/>
      </w:pPr>
      <w:r>
        <w:rPr>
          <w:noProof/>
        </w:rPr>
        <w:drawing>
          <wp:inline distT="0" distB="0" distL="0" distR="0" wp14:anchorId="2A0444CE" wp14:editId="33A66D03">
            <wp:extent cx="3863340" cy="2174780"/>
            <wp:effectExtent l="0" t="0" r="3810" b="0"/>
            <wp:docPr id="6" name="Picture 6" descr="Hypothesis Test Results: Failed to Reject that the data is significantly differ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ypothesis Results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89" cy="21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NDcwMLQwsTQ0NDRQ0lEKTi0uzszPAykwqgUABPwKEiwAAAA="/>
  </w:docVars>
  <w:rsids>
    <w:rsidRoot w:val="00AC7E9F"/>
    <w:rsid w:val="00045810"/>
    <w:rsid w:val="00057ADC"/>
    <w:rsid w:val="00066D06"/>
    <w:rsid w:val="0007384F"/>
    <w:rsid w:val="000B7FCF"/>
    <w:rsid w:val="000C02DC"/>
    <w:rsid w:val="000E6B2F"/>
    <w:rsid w:val="00177A32"/>
    <w:rsid w:val="001D1CC5"/>
    <w:rsid w:val="001D204B"/>
    <w:rsid w:val="002049AE"/>
    <w:rsid w:val="002337DF"/>
    <w:rsid w:val="00247D9B"/>
    <w:rsid w:val="002814B2"/>
    <w:rsid w:val="002934C6"/>
    <w:rsid w:val="00295161"/>
    <w:rsid w:val="002B0EBC"/>
    <w:rsid w:val="002D4CA6"/>
    <w:rsid w:val="002F240A"/>
    <w:rsid w:val="0031607D"/>
    <w:rsid w:val="00341A2E"/>
    <w:rsid w:val="003756C4"/>
    <w:rsid w:val="00382817"/>
    <w:rsid w:val="003F0DAB"/>
    <w:rsid w:val="004175FF"/>
    <w:rsid w:val="00465F29"/>
    <w:rsid w:val="0049121B"/>
    <w:rsid w:val="004A4950"/>
    <w:rsid w:val="004D6E07"/>
    <w:rsid w:val="004E7119"/>
    <w:rsid w:val="00574A42"/>
    <w:rsid w:val="00591FA4"/>
    <w:rsid w:val="005C2BFE"/>
    <w:rsid w:val="005C7717"/>
    <w:rsid w:val="00680BAC"/>
    <w:rsid w:val="006C0EE0"/>
    <w:rsid w:val="006E139F"/>
    <w:rsid w:val="00710C4E"/>
    <w:rsid w:val="00721BE8"/>
    <w:rsid w:val="007363CF"/>
    <w:rsid w:val="00742784"/>
    <w:rsid w:val="00745673"/>
    <w:rsid w:val="007738C3"/>
    <w:rsid w:val="007B7F96"/>
    <w:rsid w:val="007F69A6"/>
    <w:rsid w:val="00831271"/>
    <w:rsid w:val="008627CC"/>
    <w:rsid w:val="00890D99"/>
    <w:rsid w:val="008F6907"/>
    <w:rsid w:val="0091721A"/>
    <w:rsid w:val="0093218A"/>
    <w:rsid w:val="00952F93"/>
    <w:rsid w:val="00953801"/>
    <w:rsid w:val="009603CC"/>
    <w:rsid w:val="009869FC"/>
    <w:rsid w:val="009A0A85"/>
    <w:rsid w:val="009B06CA"/>
    <w:rsid w:val="009E12ED"/>
    <w:rsid w:val="00A00894"/>
    <w:rsid w:val="00A00AC2"/>
    <w:rsid w:val="00A126AC"/>
    <w:rsid w:val="00AC3D58"/>
    <w:rsid w:val="00AC7E9F"/>
    <w:rsid w:val="00B06E68"/>
    <w:rsid w:val="00B37C09"/>
    <w:rsid w:val="00B44916"/>
    <w:rsid w:val="00B751C0"/>
    <w:rsid w:val="00BD0A33"/>
    <w:rsid w:val="00BE4F96"/>
    <w:rsid w:val="00C064E7"/>
    <w:rsid w:val="00C100EB"/>
    <w:rsid w:val="00C17CCD"/>
    <w:rsid w:val="00C43AFB"/>
    <w:rsid w:val="00C82039"/>
    <w:rsid w:val="00C8792E"/>
    <w:rsid w:val="00CC3E03"/>
    <w:rsid w:val="00CE5EE4"/>
    <w:rsid w:val="00CF3E10"/>
    <w:rsid w:val="00D23D7B"/>
    <w:rsid w:val="00D30A31"/>
    <w:rsid w:val="00D33B7E"/>
    <w:rsid w:val="00DA071E"/>
    <w:rsid w:val="00DA621E"/>
    <w:rsid w:val="00DD40DD"/>
    <w:rsid w:val="00DD6BED"/>
    <w:rsid w:val="00DE4614"/>
    <w:rsid w:val="00E112D5"/>
    <w:rsid w:val="00E364FD"/>
    <w:rsid w:val="00E60731"/>
    <w:rsid w:val="00E736ED"/>
    <w:rsid w:val="00E87C01"/>
    <w:rsid w:val="00ED6346"/>
    <w:rsid w:val="00F006B9"/>
    <w:rsid w:val="00F24964"/>
    <w:rsid w:val="00F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210A"/>
  <w15:chartTrackingRefBased/>
  <w15:docId w15:val="{7A7E7832-A2D5-4943-A99E-F2F3515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Semaje Kendall</dc:creator>
  <cp:keywords/>
  <dc:description/>
  <cp:lastModifiedBy>Semaje Kendall</cp:lastModifiedBy>
  <cp:revision>2</cp:revision>
  <dcterms:created xsi:type="dcterms:W3CDTF">2019-05-29T02:22:00Z</dcterms:created>
  <dcterms:modified xsi:type="dcterms:W3CDTF">2019-05-29T02:22:00Z</dcterms:modified>
</cp:coreProperties>
</file>