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FB836" w14:textId="77777777" w:rsidR="00384324" w:rsidRPr="0083491E" w:rsidRDefault="00384324" w:rsidP="0083491E">
      <w:pPr>
        <w:jc w:val="center"/>
        <w:rPr>
          <w:rFonts w:ascii="Calibri" w:hAnsi="Calibri" w:cs="Calibri"/>
          <w:b/>
          <w:bCs/>
          <w:sz w:val="28"/>
          <w:szCs w:val="28"/>
        </w:rPr>
      </w:pPr>
      <w:r w:rsidRPr="0083491E">
        <w:rPr>
          <w:rFonts w:ascii="Calibri" w:hAnsi="Calibri" w:cs="Calibri"/>
          <w:b/>
          <w:bCs/>
          <w:sz w:val="28"/>
          <w:szCs w:val="28"/>
        </w:rPr>
        <w:t>Labour Market &amp; Economic Analytics (Nova Scotia)</w:t>
      </w:r>
    </w:p>
    <w:p w14:paraId="5ABE7448" w14:textId="77777777" w:rsidR="00384324" w:rsidRPr="0083491E" w:rsidRDefault="00384324" w:rsidP="0083491E">
      <w:pPr>
        <w:jc w:val="both"/>
        <w:rPr>
          <w:rFonts w:ascii="Calibri" w:hAnsi="Calibri" w:cs="Calibri"/>
        </w:rPr>
      </w:pPr>
    </w:p>
    <w:p w14:paraId="5FC029EC" w14:textId="296F4D4C" w:rsidR="00384324" w:rsidRPr="0083491E" w:rsidRDefault="00384324" w:rsidP="0083491E">
      <w:pPr>
        <w:jc w:val="both"/>
        <w:rPr>
          <w:rFonts w:ascii="Calibri" w:hAnsi="Calibri" w:cs="Calibri"/>
        </w:rPr>
      </w:pPr>
      <w:r w:rsidRPr="0083491E">
        <w:rPr>
          <w:rFonts w:ascii="Calibri" w:hAnsi="Calibri" w:cs="Calibri"/>
        </w:rPr>
        <w:t>Executive Summ</w:t>
      </w:r>
      <w:r w:rsidR="00926A38">
        <w:rPr>
          <w:rFonts w:ascii="Calibri" w:hAnsi="Calibri" w:cs="Calibri"/>
        </w:rPr>
        <w:t>a</w:t>
      </w:r>
      <w:r w:rsidRPr="0083491E">
        <w:rPr>
          <w:rFonts w:ascii="Calibri" w:hAnsi="Calibri" w:cs="Calibri"/>
        </w:rPr>
        <w:t>ry:</w:t>
      </w:r>
    </w:p>
    <w:p w14:paraId="123DDA01" w14:textId="1F989A1B" w:rsidR="009E53EC" w:rsidRPr="0083491E" w:rsidRDefault="009E53EC" w:rsidP="0083491E">
      <w:pPr>
        <w:jc w:val="both"/>
        <w:rPr>
          <w:rFonts w:ascii="Calibri" w:hAnsi="Calibri" w:cs="Calibri"/>
        </w:rPr>
      </w:pPr>
      <w:r w:rsidRPr="0083491E">
        <w:rPr>
          <w:rFonts w:ascii="Calibri" w:hAnsi="Calibri" w:cs="Calibri"/>
        </w:rPr>
        <w:t xml:space="preserve">Over the past five weeks, </w:t>
      </w:r>
      <w:r w:rsidR="002E2E52">
        <w:rPr>
          <w:rFonts w:ascii="Calibri" w:hAnsi="Calibri" w:cs="Calibri"/>
        </w:rPr>
        <w:t>we</w:t>
      </w:r>
      <w:r w:rsidRPr="0083491E">
        <w:rPr>
          <w:rFonts w:ascii="Calibri" w:hAnsi="Calibri" w:cs="Calibri"/>
        </w:rPr>
        <w:t xml:space="preserve"> </w:t>
      </w:r>
      <w:r w:rsidR="00656F3C">
        <w:rPr>
          <w:rFonts w:ascii="Calibri" w:hAnsi="Calibri" w:cs="Calibri"/>
        </w:rPr>
        <w:t>analyzed</w:t>
      </w:r>
      <w:r w:rsidRPr="0083491E">
        <w:rPr>
          <w:rFonts w:ascii="Calibri" w:hAnsi="Calibri" w:cs="Calibri"/>
        </w:rPr>
        <w:t xml:space="preserve"> </w:t>
      </w:r>
      <w:r w:rsidR="0027533C">
        <w:rPr>
          <w:rFonts w:ascii="Calibri" w:hAnsi="Calibri" w:cs="Calibri"/>
        </w:rPr>
        <w:t>how</w:t>
      </w:r>
      <w:r w:rsidR="00B23E49">
        <w:rPr>
          <w:rFonts w:ascii="Calibri" w:hAnsi="Calibri" w:cs="Calibri"/>
        </w:rPr>
        <w:t xml:space="preserve"> </w:t>
      </w:r>
      <w:r w:rsidR="0027533C" w:rsidRPr="0027533C">
        <w:rPr>
          <w:rFonts w:ascii="Calibri" w:hAnsi="Calibri" w:cs="Calibri"/>
        </w:rPr>
        <w:t xml:space="preserve">Nova Scotia’s labour market has been performing in </w:t>
      </w:r>
      <w:r w:rsidR="00B23E49">
        <w:rPr>
          <w:rFonts w:ascii="Calibri" w:hAnsi="Calibri" w:cs="Calibri"/>
        </w:rPr>
        <w:t>last 10</w:t>
      </w:r>
      <w:r w:rsidR="0027533C" w:rsidRPr="0027533C">
        <w:rPr>
          <w:rFonts w:ascii="Calibri" w:hAnsi="Calibri" w:cs="Calibri"/>
        </w:rPr>
        <w:t xml:space="preserve"> years, especially during a period of higher living costs and changing job demand</w:t>
      </w:r>
      <w:r w:rsidRPr="0083491E">
        <w:rPr>
          <w:rFonts w:ascii="Calibri" w:hAnsi="Calibri" w:cs="Calibri"/>
        </w:rPr>
        <w:t xml:space="preserve">. </w:t>
      </w:r>
      <w:r w:rsidR="0083491E" w:rsidRPr="0083491E">
        <w:rPr>
          <w:rFonts w:ascii="Calibri" w:hAnsi="Calibri" w:cs="Calibri"/>
        </w:rPr>
        <w:t>The analysis focuses on employment, unemployment, wages, industry trends, and workforce participation, with comparisons to the broader Canadian economy to provide context</w:t>
      </w:r>
      <w:r w:rsidRPr="0083491E">
        <w:rPr>
          <w:rFonts w:ascii="Calibri" w:hAnsi="Calibri" w:cs="Calibri"/>
        </w:rPr>
        <w:t>. Data from Statistics Canada and Nova Scotia Open Data was used to assess the impact of COVID</w:t>
      </w:r>
      <w:r w:rsidRPr="0083491E">
        <w:rPr>
          <w:rFonts w:ascii="Calibri" w:hAnsi="Calibri" w:cs="Calibri"/>
        </w:rPr>
        <w:noBreakHyphen/>
        <w:t>19 and the recovery that followed.</w:t>
      </w:r>
    </w:p>
    <w:p w14:paraId="3D298E7B" w14:textId="77777777" w:rsidR="0083491E" w:rsidRPr="0083491E" w:rsidRDefault="0083491E" w:rsidP="0083491E">
      <w:pPr>
        <w:jc w:val="both"/>
        <w:rPr>
          <w:rFonts w:ascii="Calibri" w:hAnsi="Calibri" w:cs="Calibri"/>
        </w:rPr>
      </w:pPr>
      <w:r w:rsidRPr="0083491E">
        <w:rPr>
          <w:rFonts w:ascii="Calibri" w:hAnsi="Calibri" w:cs="Calibri"/>
        </w:rPr>
        <w:t>Overall, the economy is showing steady and stable improvement. Employment has been gradually increasing, supported by population growth, while unemployment has come down after the rise seen during the COVID-19 period. This suggests that the job market is becoming more balanced and stable over time</w:t>
      </w:r>
    </w:p>
    <w:p w14:paraId="0506B596" w14:textId="5568A939" w:rsidR="0083491E" w:rsidRPr="0083491E" w:rsidRDefault="009E53EC" w:rsidP="0083491E">
      <w:pPr>
        <w:jc w:val="both"/>
        <w:rPr>
          <w:rFonts w:ascii="Calibri" w:hAnsi="Calibri" w:cs="Calibri"/>
        </w:rPr>
      </w:pPr>
      <w:r w:rsidRPr="0083491E">
        <w:rPr>
          <w:rFonts w:ascii="Calibri" w:hAnsi="Calibri" w:cs="Calibri"/>
        </w:rPr>
        <w:t xml:space="preserve">However, </w:t>
      </w:r>
      <w:r w:rsidR="0083491E" w:rsidRPr="0083491E">
        <w:rPr>
          <w:rFonts w:ascii="Calibri" w:hAnsi="Calibri" w:cs="Calibri"/>
        </w:rPr>
        <w:t>most job growth is being driven by the service sector, which continues to be the largest source of employment. Industries such as healthcare, education, and retail have remained strong and stable. In contrast, sectors like construction and resource industries tend to fluctuate more and are more sensitive to economic changes. The pandemic affected industries differently, with service-based sectors facing the biggest challenges, while public services remained relatively stable. Although many industries have recovered, some are still below pre-pandemic levels.</w:t>
      </w:r>
    </w:p>
    <w:p w14:paraId="2C77DFCB" w14:textId="77777777" w:rsidR="0083491E" w:rsidRPr="0083491E" w:rsidRDefault="0083491E" w:rsidP="0083491E">
      <w:pPr>
        <w:jc w:val="both"/>
        <w:rPr>
          <w:rFonts w:ascii="Calibri" w:hAnsi="Calibri" w:cs="Calibri"/>
        </w:rPr>
      </w:pPr>
      <w:r w:rsidRPr="0083491E">
        <w:rPr>
          <w:rFonts w:ascii="Calibri" w:hAnsi="Calibri" w:cs="Calibri"/>
        </w:rPr>
        <w:t>There are also clear differences across regions and industries. Areas with a stronger focus on services and urban activity have recovered faster, while regions that depend more on resource-based industries have seen slower and more uneven progress. This highlights the importance of looking beyond overall trends and focusing on specific sectors when making decisions</w:t>
      </w:r>
    </w:p>
    <w:p w14:paraId="580B5281" w14:textId="77777777" w:rsidR="009E53EC" w:rsidRPr="0083491E" w:rsidRDefault="009E53EC" w:rsidP="0083491E">
      <w:pPr>
        <w:jc w:val="both"/>
        <w:rPr>
          <w:rFonts w:ascii="Calibri" w:hAnsi="Calibri" w:cs="Calibri"/>
        </w:rPr>
      </w:pPr>
      <w:r w:rsidRPr="0083491E">
        <w:rPr>
          <w:rFonts w:ascii="Calibri" w:hAnsi="Calibri" w:cs="Calibri"/>
        </w:rPr>
        <w:t>Financial trends reveal a growing reliance on borrowing. Loan activity has increased significantly in recent years following a brief decline, indicating resilience in economic activity but also a stronger dependence on credit. At the same time, the share of income used for debt repayment has risen, suggesting increasing financial pressure on households. Despite stable average income levels, higher borrowing and spending patterns indicate that many households may be stretching their finances beyond sustainable levels.</w:t>
      </w:r>
    </w:p>
    <w:p w14:paraId="3EFA930B" w14:textId="5D3FA885" w:rsidR="00BC039A" w:rsidRPr="0083491E" w:rsidRDefault="0083491E" w:rsidP="0083491E">
      <w:pPr>
        <w:jc w:val="both"/>
        <w:rPr>
          <w:rFonts w:ascii="Calibri" w:hAnsi="Calibri" w:cs="Calibri"/>
        </w:rPr>
      </w:pPr>
      <w:r w:rsidRPr="0083491E">
        <w:rPr>
          <w:rFonts w:ascii="Calibri" w:hAnsi="Calibri" w:cs="Calibri"/>
        </w:rPr>
        <w:t>In summary, Nova Scotia’s economy is moving in a positive direction, with stable job growth and a strong service sector. However, rising debt levels and uneven recovery across industries present potential risks. These findings suggest a need for careful financial management and targeted workforce planning to support long-term, sustainable growth.</w:t>
      </w:r>
    </w:p>
    <w:sectPr w:rsidR="00BC039A" w:rsidRPr="008349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4ED3"/>
    <w:multiLevelType w:val="multilevel"/>
    <w:tmpl w:val="4F5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8E7BA3"/>
    <w:multiLevelType w:val="multilevel"/>
    <w:tmpl w:val="C614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89205B"/>
    <w:multiLevelType w:val="multilevel"/>
    <w:tmpl w:val="DE60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010F9E"/>
    <w:multiLevelType w:val="multilevel"/>
    <w:tmpl w:val="A986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A31479"/>
    <w:multiLevelType w:val="multilevel"/>
    <w:tmpl w:val="1574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E83FF0"/>
    <w:multiLevelType w:val="multilevel"/>
    <w:tmpl w:val="3CC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8C6DA5"/>
    <w:multiLevelType w:val="multilevel"/>
    <w:tmpl w:val="50B2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BA616B"/>
    <w:multiLevelType w:val="multilevel"/>
    <w:tmpl w:val="0650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F65D8"/>
    <w:multiLevelType w:val="multilevel"/>
    <w:tmpl w:val="CFDA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1134092">
    <w:abstractNumId w:val="1"/>
  </w:num>
  <w:num w:numId="2" w16cid:durableId="1577940514">
    <w:abstractNumId w:val="3"/>
  </w:num>
  <w:num w:numId="3" w16cid:durableId="1598245267">
    <w:abstractNumId w:val="4"/>
  </w:num>
  <w:num w:numId="4" w16cid:durableId="1665889349">
    <w:abstractNumId w:val="8"/>
  </w:num>
  <w:num w:numId="5" w16cid:durableId="1696538509">
    <w:abstractNumId w:val="5"/>
  </w:num>
  <w:num w:numId="6" w16cid:durableId="1826706734">
    <w:abstractNumId w:val="7"/>
  </w:num>
  <w:num w:numId="7" w16cid:durableId="254478049">
    <w:abstractNumId w:val="0"/>
  </w:num>
  <w:num w:numId="8" w16cid:durableId="51739312">
    <w:abstractNumId w:val="6"/>
  </w:num>
  <w:num w:numId="9" w16cid:durableId="631444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324"/>
    <w:rsid w:val="000C4F57"/>
    <w:rsid w:val="001016A7"/>
    <w:rsid w:val="001F36CC"/>
    <w:rsid w:val="0027533C"/>
    <w:rsid w:val="002E2E52"/>
    <w:rsid w:val="00384324"/>
    <w:rsid w:val="00656F3C"/>
    <w:rsid w:val="00742015"/>
    <w:rsid w:val="0083491E"/>
    <w:rsid w:val="00926A38"/>
    <w:rsid w:val="009E53EC"/>
    <w:rsid w:val="00B23E49"/>
    <w:rsid w:val="00BC039A"/>
    <w:rsid w:val="00C919EB"/>
    <w:rsid w:val="00D806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F078874"/>
  <w15:chartTrackingRefBased/>
  <w15:docId w15:val="{64CFA812-43E5-4B9F-B625-381EE3F2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324"/>
    <w:rPr>
      <w:rFonts w:eastAsiaTheme="majorEastAsia" w:cstheme="majorBidi"/>
      <w:color w:val="272727" w:themeColor="text1" w:themeTint="D8"/>
    </w:rPr>
  </w:style>
  <w:style w:type="paragraph" w:styleId="Title">
    <w:name w:val="Title"/>
    <w:basedOn w:val="Normal"/>
    <w:next w:val="Normal"/>
    <w:link w:val="TitleChar"/>
    <w:uiPriority w:val="10"/>
    <w:qFormat/>
    <w:rsid w:val="00384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324"/>
    <w:pPr>
      <w:spacing w:before="160"/>
      <w:jc w:val="center"/>
    </w:pPr>
    <w:rPr>
      <w:i/>
      <w:iCs/>
      <w:color w:val="404040" w:themeColor="text1" w:themeTint="BF"/>
    </w:rPr>
  </w:style>
  <w:style w:type="character" w:customStyle="1" w:styleId="QuoteChar">
    <w:name w:val="Quote Char"/>
    <w:basedOn w:val="DefaultParagraphFont"/>
    <w:link w:val="Quote"/>
    <w:uiPriority w:val="29"/>
    <w:rsid w:val="00384324"/>
    <w:rPr>
      <w:i/>
      <w:iCs/>
      <w:color w:val="404040" w:themeColor="text1" w:themeTint="BF"/>
    </w:rPr>
  </w:style>
  <w:style w:type="paragraph" w:styleId="ListParagraph">
    <w:name w:val="List Paragraph"/>
    <w:basedOn w:val="Normal"/>
    <w:uiPriority w:val="34"/>
    <w:qFormat/>
    <w:rsid w:val="00384324"/>
    <w:pPr>
      <w:ind w:left="720"/>
      <w:contextualSpacing/>
    </w:pPr>
  </w:style>
  <w:style w:type="character" w:styleId="IntenseEmphasis">
    <w:name w:val="Intense Emphasis"/>
    <w:basedOn w:val="DefaultParagraphFont"/>
    <w:uiPriority w:val="21"/>
    <w:qFormat/>
    <w:rsid w:val="00384324"/>
    <w:rPr>
      <w:i/>
      <w:iCs/>
      <w:color w:val="0F4761" w:themeColor="accent1" w:themeShade="BF"/>
    </w:rPr>
  </w:style>
  <w:style w:type="paragraph" w:styleId="IntenseQuote">
    <w:name w:val="Intense Quote"/>
    <w:basedOn w:val="Normal"/>
    <w:next w:val="Normal"/>
    <w:link w:val="IntenseQuoteChar"/>
    <w:uiPriority w:val="30"/>
    <w:qFormat/>
    <w:rsid w:val="00384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324"/>
    <w:rPr>
      <w:i/>
      <w:iCs/>
      <w:color w:val="0F4761" w:themeColor="accent1" w:themeShade="BF"/>
    </w:rPr>
  </w:style>
  <w:style w:type="character" w:styleId="IntenseReference">
    <w:name w:val="Intense Reference"/>
    <w:basedOn w:val="DefaultParagraphFont"/>
    <w:uiPriority w:val="32"/>
    <w:qFormat/>
    <w:rsid w:val="00384324"/>
    <w:rPr>
      <w:b/>
      <w:bCs/>
      <w:smallCaps/>
      <w:color w:val="0F4761" w:themeColor="accent1" w:themeShade="BF"/>
      <w:spacing w:val="5"/>
    </w:rPr>
  </w:style>
  <w:style w:type="character" w:styleId="Strong">
    <w:name w:val="Strong"/>
    <w:basedOn w:val="DefaultParagraphFont"/>
    <w:uiPriority w:val="22"/>
    <w:qFormat/>
    <w:rsid w:val="00D80611"/>
    <w:rPr>
      <w:b/>
      <w:bCs/>
    </w:rPr>
  </w:style>
  <w:style w:type="paragraph" w:styleId="NormalWeb">
    <w:name w:val="Normal (Web)"/>
    <w:basedOn w:val="Normal"/>
    <w:uiPriority w:val="99"/>
    <w:semiHidden/>
    <w:unhideWhenUsed/>
    <w:rsid w:val="00D80611"/>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Zafar,Syeda Samiha</dc:creator>
  <cp:keywords/>
  <dc:description/>
  <cp:lastModifiedBy>Zafar,Syeda Samiha</cp:lastModifiedBy>
  <cp:revision>4</cp:revision>
  <dcterms:created xsi:type="dcterms:W3CDTF">2026-05-20T14:10:00Z</dcterms:created>
  <dcterms:modified xsi:type="dcterms:W3CDTF">2026-05-20T15:02:00Z</dcterms:modified>
</cp:coreProperties>
</file>