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A94BE5" w:rsidP="00313E60"/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EC43EB">
              <w:rPr>
                <w:rFonts w:hint="eastAsia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0D64E8">
              <w:rPr>
                <w:rFonts w:hint="eastAsia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  <w:r w:rsidR="00882541">
              <w:rPr>
                <w:rFonts w:hint="eastAsia"/>
              </w:rPr>
              <w:t>(APF</w:t>
            </w:r>
            <w:r w:rsidR="00882541">
              <w:rPr>
                <w:rFonts w:hint="eastAsia"/>
              </w:rPr>
              <w:t>使用者</w:t>
            </w:r>
            <w:r w:rsidR="00882541">
              <w:rPr>
                <w:rFonts w:hint="eastAsia"/>
              </w:rPr>
              <w:t>)</w:t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29300" cy="1895475"/>
                  <wp:effectExtent l="1905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1524000"/>
                  <wp:effectExtent l="19050" t="0" r="0" b="0"/>
                  <wp:docPr id="7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Core_Menu_Root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38475"/>
                  <wp:effectExtent l="19050" t="0" r="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Core_Menu_Node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57525"/>
                  <wp:effectExtent l="19050" t="0" r="0" b="0"/>
                  <wp:docPr id="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Core_Controller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57825" cy="1685925"/>
                  <wp:effectExtent l="19050" t="0" r="9525" b="0"/>
                  <wp:docPr id="1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24500" cy="1685925"/>
                  <wp:effectExtent l="19050" t="0" r="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Core_Permission</w:t>
            </w:r>
            <w:proofErr w:type="spellEnd"/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95975" cy="1895475"/>
                  <wp:effectExtent l="19050" t="0" r="9525" b="0"/>
                  <wp:docPr id="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lastRenderedPageBreak/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  <w:rPr>
                <w:rFonts w:hint="eastAsia"/>
              </w:rPr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7E2" w:rsidRDefault="004157E2">
      <w:r>
        <w:separator/>
      </w:r>
    </w:p>
  </w:endnote>
  <w:endnote w:type="continuationSeparator" w:id="0">
    <w:p w:rsidR="004157E2" w:rsidRDefault="00415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811F4" w:rsidRPr="007811F4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7811F4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7811F4" w:rsidRPr="00EF1A59">
      <w:rPr>
        <w:rFonts w:eastAsia="｢ﾛ｢・｢ﾞ????"/>
        <w:sz w:val="18"/>
        <w:szCs w:val="18"/>
      </w:rPr>
      <w:fldChar w:fldCharType="separate"/>
    </w:r>
    <w:r w:rsidR="008806CA">
      <w:rPr>
        <w:rFonts w:eastAsia="｢ﾛ｢・｢ﾞ????"/>
        <w:noProof/>
        <w:sz w:val="18"/>
        <w:szCs w:val="18"/>
      </w:rPr>
      <w:t>6</w:t>
    </w:r>
    <w:r w:rsidR="007811F4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7811F4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7811F4" w:rsidRPr="00EF1A59">
      <w:rPr>
        <w:rFonts w:eastAsia="｢ﾛ｢・｢ﾞ????"/>
        <w:sz w:val="18"/>
        <w:szCs w:val="18"/>
      </w:rPr>
      <w:fldChar w:fldCharType="separate"/>
    </w:r>
    <w:r w:rsidR="008806CA">
      <w:rPr>
        <w:rFonts w:eastAsia="｢ﾛ｢・｢ﾞ????"/>
        <w:noProof/>
        <w:sz w:val="18"/>
        <w:szCs w:val="18"/>
      </w:rPr>
      <w:t>7</w:t>
    </w:r>
    <w:r w:rsidR="007811F4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7811F4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7E2" w:rsidRDefault="004157E2">
      <w:r>
        <w:separator/>
      </w:r>
    </w:p>
  </w:footnote>
  <w:footnote w:type="continuationSeparator" w:id="0">
    <w:p w:rsidR="004157E2" w:rsidRDefault="00415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7811F4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7811F4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7811F4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560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C0FCA-8ACB-42D9-8ADA-5D8D62B2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451</TotalTime>
  <Pages>7</Pages>
  <Words>408</Words>
  <Characters>2327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57</cp:revision>
  <cp:lastPrinted>2009-04-28T02:07:00Z</cp:lastPrinted>
  <dcterms:created xsi:type="dcterms:W3CDTF">2013-09-06T02:17:00Z</dcterms:created>
  <dcterms:modified xsi:type="dcterms:W3CDTF">2013-09-16T09:16:00Z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