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 {institution_name}</w:t>
      </w:r>
      <w:r>
        <w:rPr>
          <w:rFonts w:ascii="Arial" w:hAnsi="Arial" w:eastAsia="Arial" w:cs="Arial"/>
          <w:color w:val="000000"/>
          <w:rtl w:val="0"/>
        </w:rPr>
        <w:br/>
      </w:r>
      <w:r>
        <w:rPr>
          <w:rFonts w:ascii="Arial" w:hAnsi="Arial" w:eastAsia="Arial" w:cs="Arial"/>
          <w:color w:val="c55911"/>
          <w:rtl w:val="0"/>
        </w:rPr>
        <w:t xml:space="preserve">GME ID: {</w:t>
      </w:r>
      <w:r>
        <w:rPr>
          <w:rFonts w:ascii="Arial" w:hAnsi="Arial" w:eastAsia="Arial" w:cs="Arial"/>
          <w:color w:val="c5591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Department Name: </w:t>
      </w:r>
      <w:r>
        <w:rPr>
          <w:rFonts w:ascii="Arial" w:hAnsi="Arial" w:eastAsia="Arial" w:cs="Arial"/>
          <w:rtl w:val="0"/>
        </w:rPr>
        <w:t xml:space="preserve">Update-with-Department-Name</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rPr>
      </w:r>
      <w:r>
        <w:rPr>
          <w:rFonts w:ascii="Arial" w:hAnsi="Arial" w:eastAsia="Arial" w:cs="Arial"/>
        </w:rPr>
      </w:r>
      <w:r>
        <w:rPr>
          <w:szCs w:val="24"/>
        </w:rPr>
      </w:r>
      <w:r>
        <w:rPr>
          <w:highlight w:val="none"/>
        </w:rPr>
      </w:r>
      <w:r>
        <w:rPr>
          <w:highlight w:val="none"/>
        </w:rPr>
      </w:r>
      <w:r>
        <w:rPr>
          <w:rFonts w:ascii="Arial" w:hAnsi="Arial" w:eastAsia="Arial" w:cs="Arial"/>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highlight w:val="none"/>
          <w:rtl w:val="0"/>
        </w:rPr>
      </w:r>
    </w:p>
    <w:tbl>
      <w:tblPr>
        <w:tblW w:w="10975" w:type="dxa"/>
        <w:tblBorders/>
        <w:tblLayout w:type="fixed"/>
        <w:tblLook w:val="04A0" w:firstRow="1" w:lastRow="0" w:firstColumn="1" w:lastColumn="0" w:noHBand="0" w:noVBand="1"/>
      </w:tblPr>
      <w:tblGrid>
        <w:gridCol w:w="852"/>
        <w:gridCol w:w="1393"/>
        <w:gridCol w:w="4410"/>
        <w:gridCol w:w="1170"/>
        <w:gridCol w:w="1224"/>
        <w:gridCol w:w="1926"/>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{#eras_programs}</w:t>
            </w: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Cs w:val="24"/>
              </w:rPr>
              <w:t xml:space="preserve">{/eras_programs}</w:t>
            </w:r>
            <w:r>
              <w:rPr>
                <w:rFonts w:ascii="Times New Roman" w:hAnsi="Times New Roman" w:cs="Times New Roman"/>
                <w:color w:val="000000"/>
                <w:szCs w:val="24"/>
              </w:rPr>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{#non_eras_programs}</w:t>
            </w:r>
            <w:r>
              <w:rPr>
                <w:rFonts w:ascii="Times New Roman" w:hAnsi="Times New Roman" w:cs="Times New Roman"/>
                <w:color w:val="000000"/>
                <w:sz w:val="44"/>
                <w:szCs w:val="48"/>
              </w:rPr>
            </w:r>
          </w:p>
          <w:p>
            <w:pPr>
              <w:pBdr/>
              <w:spacing w:after="0" w:line="240" w:lineRule="auto"/>
              <w:ind/>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{count}</w:t>
            </w:r>
            <w:r>
              <w:rPr>
                <w:rFonts w:ascii="Times New Roman" w:hAnsi="Times New Roman" w:cs="Times New Roman"/>
                <w:color w:val="000000"/>
                <w:sz w:val="22"/>
                <w:szCs w:val="24"/>
              </w:rPr>
            </w: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Cs w:val="24"/>
              </w:rPr>
            </w:r>
          </w:p>
          <w:p>
            <w:pPr>
              <w:pBdr/>
              <w:spacing w:after="0" w:line="240" w:lineRule="auto"/>
              <w:ind/>
              <w:jc w:val="center"/>
              <w:rPr>
                <w:rFonts w:ascii="Times New Roman" w:hAnsi="Times New Roman" w:cs="Times New Roman"/>
                <w:color w:val="000000"/>
                <w:sz w:val="44"/>
                <w:szCs w:val="44"/>
              </w:rPr>
            </w:pPr>
            <w:r>
              <w:rPr>
                <w:rFonts w:ascii="Times New Roman" w:hAnsi="Times New Roman" w:cs="Times New Roman"/>
                <w:color w:val="000000"/>
                <w:sz w:val="44"/>
                <w:szCs w:val="48"/>
              </w:rPr>
            </w:r>
            <w:r>
              <w:rPr>
                <w:rFonts w:ascii="Times New Roman" w:hAnsi="Times New Roman" w:cs="Times New Roman"/>
                <w:color w:val="000000"/>
                <w:sz w:val="22"/>
                <w:szCs w:val="24"/>
              </w:rPr>
              <w:t xml:space="preserve">{/eras_programs} </w:t>
            </w:r>
            <w:r>
              <w:rPr>
                <w:rFonts w:ascii="Times New Roman" w:hAnsi="Times New Roman" w:cs="Times New Roman"/>
                <w:color w:val="000000"/>
                <w:sz w:val="44"/>
                <w:szCs w:val="48"/>
              </w:rPr>
            </w:r>
            <w:r>
              <w:rPr>
                <w:sz w:val="44"/>
                <w:szCs w:val="4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p>
    <w:tbl>
      <w:tblPr>
        <w:tblW w:w="4883"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3"/>
        <w:gridCol w:w="1984"/>
        <w:gridCol w:w="3312"/>
      </w:tblGrid>
      <w:tr>
        <w:trPr>
          <w:trHeight w:val="1126"/>
        </w:trPr>
        <w:tc>
          <w:tcPr>
            <w:shd w:val="clear" w:color="ffffff" w:fill="bbe4c3"/>
            <w:tcBorders/>
            <w:tcW w:w="2584" w:type="pct"/>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2584"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color w:val="c5591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9588" w:type="dxa"/>
              <w:tblBorders/>
              <w:tblLayout w:type="fixed"/>
              <w:tblLook w:val="0000" w:firstRow="0" w:lastRow="0" w:firstColumn="0" w:lastColumn="0" w:noHBand="0" w:noVBand="0"/>
              <w:tblStyle w:val="991"/>
            </w:tblPr>
            <w:tblGrid>
              <w:gridCol w:w="4428"/>
              <w:gridCol w:w="720"/>
              <w:gridCol w:w="4440"/>
              <w:tblGridChange w:id="1">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2025-06-25T09:14:38Z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